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1D29C"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供应商须提供近三年（2022年10月1日至今）类似项目业绩以合同签订日期为准，每提供一份得2分，最高得10分。 注：业</w:t>
      </w:r>
      <w:bookmarkStart w:id="0" w:name="_GoBack"/>
      <w:bookmarkEnd w:id="0"/>
      <w:r>
        <w:rPr>
          <w:rFonts w:hint="eastAsia"/>
          <w:lang w:val="en-US" w:eastAsia="zh-Hans"/>
        </w:rPr>
        <w:t>绩须提供合同复印件，并加盖供应商公章。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0E8C75BA"/>
    <w:rsid w:val="149522BA"/>
    <w:rsid w:val="18291636"/>
    <w:rsid w:val="279452CC"/>
    <w:rsid w:val="38831619"/>
    <w:rsid w:val="3C6A3714"/>
    <w:rsid w:val="3E1362C0"/>
    <w:rsid w:val="411F2493"/>
    <w:rsid w:val="5DD44404"/>
    <w:rsid w:val="66091C4F"/>
    <w:rsid w:val="7C4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121</Characters>
  <Lines>0</Lines>
  <Paragraphs>0</Paragraphs>
  <TotalTime>1</TotalTime>
  <ScaleCrop>false</ScaleCrop>
  <LinksUpToDate>false</LinksUpToDate>
  <CharactersWithSpaces>122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</cp:lastModifiedBy>
  <dcterms:modified xsi:type="dcterms:W3CDTF">2025-10-22T07:08:46Z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