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版本号：HXGJXM2025-ZC-CS110620251105001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高新区2025年延伸区公共区域及公共场所病媒生物防治服务(二次)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HXGJXM2025-ZC-CS1106</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高新区2025年延伸区公共区域及公共场所病媒生物防治服务(二次)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高新区2025年延伸区公共区域及公共场所病媒生物防治服务(二次)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应结合季节特点，根据《国家卫生城市标准》、《灭鼠、蚊、蝇、蟑螂标准》、《灭鼠、蚊、蝇、蟑螂现场考核办法》标准，对公共区域及公共场所展开病媒生物消杀活动，坚持常年除“四害”，将病媒生物密度控制在国家标准范围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采购包1（病媒生物防治服务）：属于专门面向中小企业采购。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2、信用记录：供应商未被“信用中国”网站列入失信被执行人和重大税收违法失信主体，未被中国政府采购网列入政府采购严重违法失信行为记录名单(处罚期限届满的除外)（以现场信用记录查询结果为准）。</w:t>
      </w:r>
    </w:p>
    <w:p>
      <w:pPr>
        <w:pStyle w:val="null3"/>
      </w:pPr>
      <w:r>
        <w:rPr>
          <w:rFonts w:ascii="仿宋_GB2312" w:hAnsi="仿宋_GB2312" w:cs="仿宋_GB2312" w:eastAsia="仿宋_GB2312"/>
        </w:rPr>
        <w:t>3、联合体：不接受联合体投标。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029-81163325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宋文倩、张艳萍、康敏茹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成交单位在领取成交通知书前，须向采购代理机构一次性支付招标代理服务费。 户名：华夏国际项目管理（西安）有限公司阎良分公司 开户行：中国光大银行股份有限公司西安南二环支行 账号：78620180808713066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宋文倩、张艳萍、康敏茹</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 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应结合季节特点，根据《国家卫生城市标准》、《灭鼠、蚊、蝇、蟑螂标准》、《灭鼠、蚊、蝇、蟑螂现场考核办法》标准，对公共区域及公共场所展开病媒生物消杀活动，坚持常年除“四害”，将病媒生物密度控制在国家标准范围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病媒生物防治服务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标的名称：病媒生物防治服务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一、防制范围</w:t>
            </w:r>
          </w:p>
          <w:p>
            <w:pPr>
              <w:pStyle w:val="null3"/>
            </w:pPr>
            <w:r>
              <w:rPr>
                <w:rFonts w:ascii="仿宋_GB2312" w:hAnsi="仿宋_GB2312" w:cs="仿宋_GB2312" w:eastAsia="仿宋_GB2312"/>
                <w:sz w:val="21"/>
              </w:rPr>
              <w:t>高新区延伸区域内东大、五星、灵沼、庞光、秦渡和草堂街办辖区公共区域及公共场所（沿山撂荒地、道路绿化带、城乡结合部、农(集)贸市场、动拆迁村庄、工地厂房外环境、各类水体、下水井及无主管理区域等）</w:t>
            </w:r>
          </w:p>
          <w:p>
            <w:pPr>
              <w:pStyle w:val="null3"/>
            </w:pPr>
            <w:r>
              <w:rPr>
                <w:rFonts w:ascii="仿宋_GB2312" w:hAnsi="仿宋_GB2312" w:cs="仿宋_GB2312" w:eastAsia="仿宋_GB2312"/>
                <w:sz w:val="21"/>
              </w:rPr>
              <w:t>二、、对供应商要求</w:t>
            </w:r>
          </w:p>
          <w:p>
            <w:pPr>
              <w:pStyle w:val="null3"/>
            </w:pPr>
            <w:r>
              <w:rPr>
                <w:rFonts w:ascii="仿宋_GB2312" w:hAnsi="仿宋_GB2312" w:cs="仿宋_GB2312" w:eastAsia="仿宋_GB2312"/>
                <w:sz w:val="21"/>
              </w:rPr>
              <w:t>1、拟投入本项目的人员不少于20名；作业人员有相关保险。</w:t>
            </w:r>
          </w:p>
          <w:p>
            <w:pPr>
              <w:pStyle w:val="null3"/>
            </w:pPr>
            <w:r>
              <w:rPr>
                <w:rFonts w:ascii="仿宋_GB2312" w:hAnsi="仿宋_GB2312" w:cs="仿宋_GB2312" w:eastAsia="仿宋_GB2312"/>
                <w:sz w:val="21"/>
              </w:rPr>
              <w:t>2、具备有害生物监测能力。</w:t>
            </w:r>
          </w:p>
          <w:p>
            <w:pPr>
              <w:pStyle w:val="null3"/>
            </w:pPr>
            <w:r>
              <w:rPr>
                <w:rFonts w:ascii="仿宋_GB2312" w:hAnsi="仿宋_GB2312" w:cs="仿宋_GB2312" w:eastAsia="仿宋_GB2312"/>
                <w:sz w:val="21"/>
              </w:rPr>
              <w:t>3、具有培训高新区范围内病媒生物滋生地处理、防护设施完善和帮助高新区范围内除四害资料整理的能力；</w:t>
            </w:r>
          </w:p>
          <w:p>
            <w:pPr>
              <w:pStyle w:val="null3"/>
            </w:pPr>
            <w:r>
              <w:rPr>
                <w:rFonts w:ascii="仿宋_GB2312" w:hAnsi="仿宋_GB2312" w:cs="仿宋_GB2312" w:eastAsia="仿宋_GB2312"/>
                <w:sz w:val="21"/>
              </w:rPr>
              <w:t>4、负责组织开展病媒生物预防控制宣传教育；</w:t>
            </w:r>
          </w:p>
          <w:p>
            <w:pPr>
              <w:pStyle w:val="null3"/>
            </w:pPr>
            <w:r>
              <w:rPr>
                <w:rFonts w:ascii="仿宋_GB2312" w:hAnsi="仿宋_GB2312" w:cs="仿宋_GB2312" w:eastAsia="仿宋_GB2312"/>
                <w:sz w:val="21"/>
              </w:rPr>
              <w:t>5、负责组织开展病媒生物预防控制的监测和消杀活动；</w:t>
            </w:r>
          </w:p>
          <w:p>
            <w:pPr>
              <w:pStyle w:val="null3"/>
            </w:pPr>
            <w:r>
              <w:rPr>
                <w:rFonts w:ascii="仿宋_GB2312" w:hAnsi="仿宋_GB2312" w:cs="仿宋_GB2312" w:eastAsia="仿宋_GB2312"/>
                <w:sz w:val="21"/>
              </w:rPr>
              <w:t>6、积极主动配合采购人的检查和考核工作；</w:t>
            </w:r>
          </w:p>
          <w:p>
            <w:pPr>
              <w:pStyle w:val="null3"/>
            </w:pPr>
            <w:r>
              <w:rPr>
                <w:rFonts w:ascii="仿宋_GB2312" w:hAnsi="仿宋_GB2312" w:cs="仿宋_GB2312" w:eastAsia="仿宋_GB2312"/>
                <w:sz w:val="21"/>
              </w:rPr>
              <w:t>7、在每次消杀前做好宣传工作，确保消杀工作安全正常进行，不留任何后患。</w:t>
            </w:r>
          </w:p>
          <w:p>
            <w:pPr>
              <w:pStyle w:val="null3"/>
            </w:pPr>
            <w:r>
              <w:rPr>
                <w:rFonts w:ascii="仿宋_GB2312" w:hAnsi="仿宋_GB2312" w:cs="仿宋_GB2312" w:eastAsia="仿宋_GB2312"/>
                <w:sz w:val="21"/>
              </w:rPr>
              <w:t>三、防制相关标准</w:t>
            </w:r>
          </w:p>
          <w:p>
            <w:pPr>
              <w:pStyle w:val="null3"/>
            </w:pPr>
            <w:r>
              <w:rPr>
                <w:rFonts w:ascii="仿宋_GB2312" w:hAnsi="仿宋_GB2312" w:cs="仿宋_GB2312" w:eastAsia="仿宋_GB2312"/>
                <w:sz w:val="21"/>
              </w:rPr>
              <w:t>1、全国爱卫会和卫生部《病媒生物预防控制管理规定》；</w:t>
            </w:r>
          </w:p>
          <w:p>
            <w:pPr>
              <w:pStyle w:val="null3"/>
            </w:pPr>
            <w:r>
              <w:rPr>
                <w:rFonts w:ascii="仿宋_GB2312" w:hAnsi="仿宋_GB2312" w:cs="仿宋_GB2312" w:eastAsia="仿宋_GB2312"/>
                <w:sz w:val="21"/>
              </w:rPr>
              <w:t>2、全国爱卫会关于印发《国家卫生城市标准》和《国家卫生城市考核鉴定和监督管理办法（试行）》的通知；</w:t>
            </w:r>
          </w:p>
          <w:p>
            <w:pPr>
              <w:pStyle w:val="null3"/>
            </w:pPr>
            <w:r>
              <w:rPr>
                <w:rFonts w:ascii="仿宋_GB2312" w:hAnsi="仿宋_GB2312" w:cs="仿宋_GB2312" w:eastAsia="仿宋_GB2312"/>
                <w:sz w:val="21"/>
              </w:rPr>
              <w:t>3、全国爱卫会除四害标准；</w:t>
            </w:r>
          </w:p>
          <w:p>
            <w:pPr>
              <w:pStyle w:val="null3"/>
            </w:pPr>
            <w:r>
              <w:rPr>
                <w:rFonts w:ascii="仿宋_GB2312" w:hAnsi="仿宋_GB2312" w:cs="仿宋_GB2312" w:eastAsia="仿宋_GB2312"/>
                <w:sz w:val="21"/>
              </w:rPr>
              <w:t>4、全国爱卫会关于印发《灭鼠、蚊、蝇、蟑螂标准》 及《灭鼠、蚊、蝇、蟑螂考核鉴定办法》的通知；</w:t>
            </w:r>
          </w:p>
          <w:p>
            <w:pPr>
              <w:pStyle w:val="null3"/>
            </w:pPr>
            <w:r>
              <w:rPr>
                <w:rFonts w:ascii="仿宋_GB2312" w:hAnsi="仿宋_GB2312" w:cs="仿宋_GB2312" w:eastAsia="仿宋_GB2312"/>
                <w:sz w:val="21"/>
              </w:rPr>
              <w:t>5、病媒生物监测国家标准、病媒生物密度控制国家标准以及病媒生物监测方案；</w:t>
            </w:r>
          </w:p>
          <w:p>
            <w:pPr>
              <w:pStyle w:val="null3"/>
            </w:pPr>
            <w:r>
              <w:rPr>
                <w:rFonts w:ascii="仿宋_GB2312" w:hAnsi="仿宋_GB2312" w:cs="仿宋_GB2312" w:eastAsia="仿宋_GB2312"/>
                <w:sz w:val="21"/>
              </w:rPr>
              <w:t>6、国家、陕西省、西安市相关标准及要求；</w:t>
            </w:r>
          </w:p>
          <w:p>
            <w:pPr>
              <w:pStyle w:val="null3"/>
            </w:pPr>
            <w:r>
              <w:rPr>
                <w:rFonts w:ascii="仿宋_GB2312" w:hAnsi="仿宋_GB2312" w:cs="仿宋_GB2312" w:eastAsia="仿宋_GB2312"/>
                <w:sz w:val="21"/>
              </w:rPr>
              <w:t>7、采购人在项目实施过程中的要求。</w:t>
            </w:r>
          </w:p>
          <w:p>
            <w:pPr>
              <w:pStyle w:val="null3"/>
            </w:pPr>
            <w:r>
              <w:rPr>
                <w:rFonts w:ascii="仿宋_GB2312" w:hAnsi="仿宋_GB2312" w:cs="仿宋_GB2312" w:eastAsia="仿宋_GB2312"/>
                <w:sz w:val="21"/>
              </w:rPr>
              <w:t>四、项目管理要求</w:t>
            </w:r>
          </w:p>
          <w:p>
            <w:pPr>
              <w:pStyle w:val="null3"/>
            </w:pPr>
            <w:r>
              <w:rPr>
                <w:rFonts w:ascii="仿宋_GB2312" w:hAnsi="仿宋_GB2312" w:cs="仿宋_GB2312" w:eastAsia="仿宋_GB2312"/>
                <w:sz w:val="21"/>
              </w:rPr>
              <w:t>1、组织实施要求：供应商须制定完整、可行、详细的公共场所消杀、监测服务组织实施方案，明确人员配备、消杀要求、质量标准、检查办法、安全措施、应急预案等。</w:t>
            </w:r>
          </w:p>
          <w:p>
            <w:pPr>
              <w:pStyle w:val="null3"/>
            </w:pPr>
            <w:r>
              <w:rPr>
                <w:rFonts w:ascii="仿宋_GB2312" w:hAnsi="仿宋_GB2312" w:cs="仿宋_GB2312" w:eastAsia="仿宋_GB2312"/>
                <w:sz w:val="21"/>
              </w:rPr>
              <w:t>2、成交供应商制定的工作实施方案、用药方案、操作规程必须报送采购方审批，通过后方可实施。</w:t>
            </w:r>
          </w:p>
          <w:p>
            <w:pPr>
              <w:pStyle w:val="null3"/>
            </w:pPr>
            <w:r>
              <w:rPr>
                <w:rFonts w:ascii="仿宋_GB2312" w:hAnsi="仿宋_GB2312" w:cs="仿宋_GB2312" w:eastAsia="仿宋_GB2312"/>
                <w:sz w:val="21"/>
              </w:rPr>
              <w:t>3、为更好地开展病媒生物防制工作，建立起完善的消杀、监测质量机制，成交供应商必须制订年度、季度、月度的工作计划。</w:t>
            </w:r>
          </w:p>
          <w:p>
            <w:pPr>
              <w:pStyle w:val="null3"/>
            </w:pPr>
            <w:r>
              <w:rPr>
                <w:rFonts w:ascii="仿宋_GB2312" w:hAnsi="仿宋_GB2312" w:cs="仿宋_GB2312" w:eastAsia="仿宋_GB2312"/>
                <w:sz w:val="21"/>
              </w:rPr>
              <w:t>4、员工持证上岗，规范操作，文明作业、统一着佩戴相关标志的工作装；</w:t>
            </w:r>
          </w:p>
          <w:p>
            <w:pPr>
              <w:pStyle w:val="null3"/>
            </w:pPr>
            <w:r>
              <w:rPr>
                <w:rFonts w:ascii="仿宋_GB2312" w:hAnsi="仿宋_GB2312" w:cs="仿宋_GB2312" w:eastAsia="仿宋_GB2312"/>
                <w:sz w:val="21"/>
              </w:rPr>
              <w:t xml:space="preserve">5、各种监测器械及防制药品必须符合国家产品质量要求和环保要求，并有产品合格证明。使用前，应由采购人验收许可后方能使用，并建立台账。  </w:t>
            </w:r>
          </w:p>
          <w:p>
            <w:pPr>
              <w:pStyle w:val="null3"/>
            </w:pPr>
            <w:r>
              <w:rPr>
                <w:rFonts w:ascii="仿宋_GB2312" w:hAnsi="仿宋_GB2312" w:cs="仿宋_GB2312" w:eastAsia="仿宋_GB2312"/>
                <w:sz w:val="21"/>
              </w:rPr>
              <w:t>6、器械、药品的配备：成交供应商除配备足够的日常之用外，还应储备足够数量的器械和药品，以备突发事件的应急处理。</w:t>
            </w:r>
          </w:p>
          <w:p>
            <w:pPr>
              <w:pStyle w:val="null3"/>
            </w:pPr>
            <w:r>
              <w:rPr>
                <w:rFonts w:ascii="仿宋_GB2312" w:hAnsi="仿宋_GB2312" w:cs="仿宋_GB2312" w:eastAsia="仿宋_GB2312"/>
                <w:sz w:val="21"/>
              </w:rPr>
              <w:t>7、采购方将根据工作需要对供应商工作质量进行检查和考核，供应商必须接受该局组织的检查和考核，对采购人作出的决定认真执行。</w:t>
            </w:r>
          </w:p>
          <w:p>
            <w:pPr>
              <w:pStyle w:val="null3"/>
            </w:pPr>
            <w:r>
              <w:rPr>
                <w:rFonts w:ascii="仿宋_GB2312" w:hAnsi="仿宋_GB2312" w:cs="仿宋_GB2312" w:eastAsia="仿宋_GB2312"/>
                <w:sz w:val="21"/>
              </w:rPr>
              <w:t>8、供应商不按照规定使用药物,或违规操作的,检查确认3次(含3次)，采购人可单方终止合同。</w:t>
            </w:r>
          </w:p>
          <w:p>
            <w:pPr>
              <w:pStyle w:val="null3"/>
            </w:pPr>
            <w:r>
              <w:rPr>
                <w:rFonts w:ascii="仿宋_GB2312" w:hAnsi="仿宋_GB2312" w:cs="仿宋_GB2312" w:eastAsia="仿宋_GB2312"/>
                <w:sz w:val="21"/>
              </w:rPr>
              <w:t>9、合同期内，供应商发生一人以上死亡或两人以上重伤并负主要责任的，将终止合同，经济损失和法律责任由供应商承担。</w:t>
            </w:r>
          </w:p>
          <w:p>
            <w:pPr>
              <w:pStyle w:val="null3"/>
            </w:pPr>
            <w:r>
              <w:rPr>
                <w:rFonts w:ascii="仿宋_GB2312" w:hAnsi="仿宋_GB2312" w:cs="仿宋_GB2312" w:eastAsia="仿宋_GB2312"/>
                <w:sz w:val="21"/>
              </w:rPr>
              <w:t xml:space="preserve">10、供应商擅自将服务合同转包或部分分包给第三者，将终止合同，经济损失和法律责任由成交供应商承担。       </w:t>
            </w:r>
          </w:p>
          <w:p>
            <w:pPr>
              <w:pStyle w:val="null3"/>
            </w:pPr>
            <w:r>
              <w:rPr>
                <w:rFonts w:ascii="仿宋_GB2312" w:hAnsi="仿宋_GB2312" w:cs="仿宋_GB2312" w:eastAsia="仿宋_GB2312"/>
                <w:sz w:val="21"/>
              </w:rPr>
              <w:t xml:space="preserve">11、弄虚作假及其他不正当行为的，将终止合同，经济损失和法律责任由成交供应商承担。              </w:t>
            </w:r>
          </w:p>
          <w:p>
            <w:pPr>
              <w:pStyle w:val="null3"/>
            </w:pPr>
            <w:r>
              <w:rPr>
                <w:rFonts w:ascii="仿宋_GB2312" w:hAnsi="仿宋_GB2312" w:cs="仿宋_GB2312" w:eastAsia="仿宋_GB2312"/>
                <w:sz w:val="21"/>
              </w:rPr>
              <w:t>12、违反劳动法或其他相关法律法规，造成恶劣影响，将终止合同，经济损失和法律责任由成交供应商承担。</w:t>
            </w:r>
          </w:p>
          <w:p>
            <w:pPr>
              <w:pStyle w:val="null3"/>
            </w:pPr>
            <w:r>
              <w:rPr>
                <w:rFonts w:ascii="仿宋_GB2312" w:hAnsi="仿宋_GB2312" w:cs="仿宋_GB2312" w:eastAsia="仿宋_GB2312"/>
                <w:sz w:val="21"/>
              </w:rPr>
              <w:t>五、防制作业要求</w:t>
            </w:r>
          </w:p>
          <w:p>
            <w:pPr>
              <w:pStyle w:val="null3"/>
            </w:pPr>
            <w:r>
              <w:rPr>
                <w:rFonts w:ascii="仿宋_GB2312" w:hAnsi="仿宋_GB2312" w:cs="仿宋_GB2312" w:eastAsia="仿宋_GB2312"/>
                <w:sz w:val="21"/>
              </w:rPr>
              <w:t>1、供应商必须指定切实可行的病媒生物预防控制工作方案和消杀工作日程计划安排，并根据消杀日程安排，提前做好宣传和告知工作，提醒各单位、居民、商户、市民等，注意安全，对于临街商品、食品、蔬菜、瓜果、鱼肉等实施撤离或遮盖措施，提请各单位及商户、居民关好门窗，对于围观市民做好清劝工作，劝其远离消杀现场，不要围观，切实做好安全防范工作。</w:t>
            </w:r>
          </w:p>
          <w:p>
            <w:pPr>
              <w:pStyle w:val="null3"/>
            </w:pPr>
            <w:r>
              <w:rPr>
                <w:rFonts w:ascii="仿宋_GB2312" w:hAnsi="仿宋_GB2312" w:cs="仿宋_GB2312" w:eastAsia="仿宋_GB2312"/>
                <w:sz w:val="21"/>
              </w:rPr>
              <w:t>2、实施杀灭作业前，必须先到现场调查卫生四害的本底情况，应对卫生害虫种类、栖息部位、密度状况及孳生环境等情况有全面的了解，因地制宜修订合理的害虫综合控制方案。</w:t>
            </w:r>
          </w:p>
          <w:p>
            <w:pPr>
              <w:pStyle w:val="null3"/>
            </w:pPr>
            <w:r>
              <w:rPr>
                <w:rFonts w:ascii="仿宋_GB2312" w:hAnsi="仿宋_GB2312" w:cs="仿宋_GB2312" w:eastAsia="仿宋_GB2312"/>
                <w:sz w:val="21"/>
              </w:rPr>
              <w:t>3、科学、安全用药，不使用国家禁用或伪劣的灭鼠杀虫剂，配制、使用药物不污染环境，不造成人、畜、禽和鱼类中毒事故；药品采购必须有合法来源证明和产品合格证明（农药“三证”）及药物出入库台帐（相关票据证明、台帐需整理归档备查）。</w:t>
            </w:r>
          </w:p>
          <w:p>
            <w:pPr>
              <w:pStyle w:val="null3"/>
            </w:pPr>
            <w:r>
              <w:rPr>
                <w:rFonts w:ascii="仿宋_GB2312" w:hAnsi="仿宋_GB2312" w:cs="仿宋_GB2312" w:eastAsia="仿宋_GB2312"/>
                <w:sz w:val="21"/>
              </w:rPr>
              <w:t>4、根据控制方案备好药品器械和个人防护用品。</w:t>
            </w:r>
          </w:p>
          <w:p>
            <w:pPr>
              <w:pStyle w:val="null3"/>
            </w:pPr>
            <w:r>
              <w:rPr>
                <w:rFonts w:ascii="仿宋_GB2312" w:hAnsi="仿宋_GB2312" w:cs="仿宋_GB2312" w:eastAsia="仿宋_GB2312"/>
                <w:sz w:val="21"/>
              </w:rPr>
              <w:t>5、实施防制作业，应遵守安全操作规定，合理用药，施药到位，保证防制效果，并防止药品污染环境。</w:t>
            </w:r>
          </w:p>
          <w:p>
            <w:pPr>
              <w:pStyle w:val="null3"/>
            </w:pPr>
            <w:r>
              <w:rPr>
                <w:rFonts w:ascii="仿宋_GB2312" w:hAnsi="仿宋_GB2312" w:cs="仿宋_GB2312" w:eastAsia="仿宋_GB2312"/>
                <w:sz w:val="21"/>
              </w:rPr>
              <w:t>6、作业完成后应认真填写服务记录卡交由采购人现场签认，双方各执一份，保存待查。</w:t>
            </w:r>
          </w:p>
          <w:p>
            <w:pPr>
              <w:pStyle w:val="null3"/>
            </w:pPr>
            <w:r>
              <w:rPr>
                <w:rFonts w:ascii="仿宋_GB2312" w:hAnsi="仿宋_GB2312" w:cs="仿宋_GB2312" w:eastAsia="仿宋_GB2312"/>
                <w:sz w:val="21"/>
              </w:rPr>
              <w:t>7、根据卫生害虫种类和有关规定，定期进行虫害密度监测或防制效果监测，资料及时统计分析上报并归档保存。</w:t>
            </w:r>
          </w:p>
          <w:p>
            <w:pPr>
              <w:pStyle w:val="null3"/>
            </w:pPr>
            <w:r>
              <w:rPr>
                <w:rFonts w:ascii="仿宋_GB2312" w:hAnsi="仿宋_GB2312" w:cs="仿宋_GB2312" w:eastAsia="仿宋_GB2312"/>
                <w:sz w:val="21"/>
              </w:rPr>
              <w:t>八、突发事件处理</w:t>
            </w:r>
          </w:p>
          <w:p>
            <w:pPr>
              <w:pStyle w:val="null3"/>
              <w:jc w:val="both"/>
            </w:pPr>
            <w:r>
              <w:rPr>
                <w:rFonts w:ascii="仿宋_GB2312" w:hAnsi="仿宋_GB2312" w:cs="仿宋_GB2312" w:eastAsia="仿宋_GB2312"/>
                <w:sz w:val="21"/>
              </w:rPr>
              <w:t>供应商必须制定紧急预案，防制区内出现突发疫情或重大病媒生物入侵事件，按采购人的要求，启动紧急预案，迅速组织力量（人、药、器械到位）全力投入工作，确保监测和消杀工作质量，圆满完成任务。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控制水平达到国家卫生城市标准（C级以上），满足《国家卫生城市和卫生县》（2021版）标准要求。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供应商未被“信用中国”网站列入失信被执行人和重大税收违法失信主体，未被中国政府采购网列入政府采购严重违法失信行为记录名单(处罚期限届满的除外)（以现场信用记录查询结果为准）。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报价表 磋商资格证明文件.docx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报价表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报价表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报价表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报价表 磋商资格证明文件.docx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供应商应提交的相关业绩证明材料.docx 中小企业声明函 残疾人福利性单位声明函 商务应答表 服务方案 标的清单 商务条款偏离表及投入人员汇总.docx 报价表 磋商资格证明文件.docx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根据各供应商提供的服务方案内环境分析、实施方案、质控方案、病媒生物消杀防制工作方案、技术支持、创新、管理及制度、各分项实施方案。 1、方案全面、针对性强、可行高利于项目实施，得14分； 2、方案全面，针对性较强，可行性较高，得12分； 3、方案基本全面，针对性一般，可行性一般，得8分； 4、方案一般、针对性一般、基本可行稍有欠缺，得6分； 5、方案欠妥，针对性较差、可行性较差，得3分； 6、方案大部分内容缺失，无针对性、无可行性，得1分； 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根据各供应商提供的质量保证措施、质量标准（包括消杀鼠、蚊、蝇、蟑螂标准等需达到采购内容质量要求） 1、质量保证措施切实可行，针对性强，得10分； 2、质量保证措施可行性一般，针对性一般，得8分； 3、质量保证措施基本可行但稍有欠缺，针对性一般，得5分； 4、质量保证措施可行性较差，无针对性，得3分；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消杀药品投入方案</w:t>
            </w:r>
          </w:p>
        </w:tc>
        <w:tc>
          <w:tcPr>
            <w:tcW w:type="dxa" w:w="2492"/>
          </w:tcPr>
          <w:p>
            <w:pPr>
              <w:pStyle w:val="null3"/>
            </w:pPr>
            <w:r>
              <w:rPr>
                <w:rFonts w:ascii="仿宋_GB2312" w:hAnsi="仿宋_GB2312" w:cs="仿宋_GB2312" w:eastAsia="仿宋_GB2312"/>
              </w:rPr>
              <w:t>提供的药品品质、性能、安全性、影响性： 1、药品选用针对性强、准确、环保、安全，符合性好，得10分； 2、药品选用针对性较强、安全及符合性较好，满足环保安全要求，得8分； 3、药品选用针对性一般、安全及符合性一般，基本满足环保安全要求，得5分； 4、药品选用针对性较差、安全及符合性差，无法满足环保安全要求，得3分； 未提供不得分。 注（药品需提供农药登记证、质检报告、MSDS（化学品安全说明书））。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团队人员方案</w:t>
            </w:r>
          </w:p>
        </w:tc>
        <w:tc>
          <w:tcPr>
            <w:tcW w:type="dxa" w:w="2492"/>
          </w:tcPr>
          <w:p>
            <w:pPr>
              <w:pStyle w:val="null3"/>
            </w:pPr>
            <w:r>
              <w:rPr>
                <w:rFonts w:ascii="仿宋_GB2312" w:hAnsi="仿宋_GB2312" w:cs="仿宋_GB2312" w:eastAsia="仿宋_GB2312"/>
              </w:rPr>
              <w:t>1、人员结构及专业配置规模适合、结构合理，与防制工作的内容和要求相适应，完全满足采购需求，得 10 分； 2、人员结构及专业配置基本适合、结构合理，与防制工作的内容和要求适应，得8分； 3、人员结构及专业配置规模不合适、结构不合理，与防制工作的内容和要求不适应，稍有欠缺，得5分； 4、人员结构及专业配置规模不合适、结构不合理，与防制工作的内容和 要求不适应，无法满足采购需求，得 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拟派人员具有病媒防治员证书或专业技术机构专业培训资格证书，每提供一份有效证书得 2 分，最高得6分。未提供不计分。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提供的作业车辆、机械设备配备及使用状况（包含名称、型号、状况、适用环境等） 1、设备先进并完全满足本项目的使用要求，得10分； 2、设备较先进满足本项目的使用要求得8分； 3、设备一般基本满足本项目的使用要求，得5分； 4、设备老旧无法满足本项目使用要求，得3分；未提供不得分。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安全应急处理措施方案</w:t>
            </w:r>
          </w:p>
        </w:tc>
        <w:tc>
          <w:tcPr>
            <w:tcW w:type="dxa" w:w="2492"/>
          </w:tcPr>
          <w:p>
            <w:pPr>
              <w:pStyle w:val="null3"/>
            </w:pPr>
            <w:r>
              <w:rPr>
                <w:rFonts w:ascii="仿宋_GB2312" w:hAnsi="仿宋_GB2312" w:cs="仿宋_GB2312" w:eastAsia="仿宋_GB2312"/>
              </w:rPr>
              <w:t>制定详细周全的人员作业安全措施及突发事件应急措施（出现突发病媒传染病疫情或重大病媒生物入侵事件，按采购人的要求，启动积极预案，迅速组织力量（人、药、器械到位）全力投入工作确保监测和消杀工作质量）。 1、措施明确、完善，可行性强，得10分； 2、措施较为明确，可行性一般，得8分； 3、措施笼统，可行性差，有待优化，得5分； 4、措施内容简洁，无针对性，得3分；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合理化建议方案</w:t>
            </w:r>
          </w:p>
        </w:tc>
        <w:tc>
          <w:tcPr>
            <w:tcW w:type="dxa" w:w="2492"/>
          </w:tcPr>
          <w:p>
            <w:pPr>
              <w:pStyle w:val="null3"/>
            </w:pPr>
            <w:r>
              <w:rPr>
                <w:rFonts w:ascii="仿宋_GB2312" w:hAnsi="仿宋_GB2312" w:cs="仿宋_GB2312" w:eastAsia="仿宋_GB2312"/>
              </w:rPr>
              <w:t>制定详细周全合理化建议，包括但不限于病媒的防制措施，如何避免病媒的传播，采购人如何增强消杀意识的内容。 1、方案明确、完善，可行性强，得10分； 2、方案较为明确，可行性一般，得8分； 3、方案笼统，可行性差，有待优化，得5分； 4、方案内容简洁，无针对性，得3分；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供应商须提供近三年（2022年10月1日至今）类似项目业绩以合同签订日期为准，每提供一份得2分，最高得10分。 注：业绩须提供合同复印件，并加盖供应商公章。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详见附件：磋商资格证明文件.docx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