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AB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" w:eastAsia="仿宋_GB2312"/>
          <w:bCs/>
          <w:sz w:val="44"/>
          <w:szCs w:val="44"/>
          <w:highlight w:val="none"/>
        </w:rPr>
      </w:pPr>
      <w:r>
        <w:rPr>
          <w:rFonts w:hint="eastAsia" w:ascii="仿宋_GB2312" w:hAnsi="仿宋" w:eastAsia="仿宋_GB2312"/>
          <w:b/>
          <w:bCs w:val="0"/>
          <w:sz w:val="44"/>
          <w:szCs w:val="44"/>
          <w:highlight w:val="none"/>
        </w:rPr>
        <w:t>拟签订采购合同文本</w:t>
      </w:r>
    </w:p>
    <w:p w14:paraId="3AB7821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 w14:paraId="7964A34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乙方（成交供应商）： </w:t>
      </w:r>
    </w:p>
    <w:p w14:paraId="35F6247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辅警劳务派遣项目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(项目编号：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SXHC2025-284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，由陕西华采招标有限公司组织竞争性磋商，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6C436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" w:eastAsia="仿宋_GB2312"/>
          <w:bCs/>
          <w:sz w:val="28"/>
          <w:szCs w:val="28"/>
          <w:highlight w:val="none"/>
        </w:rPr>
      </w:pP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依据《中华人民共</w:t>
      </w:r>
      <w:bookmarkStart w:id="0" w:name="_GoBack"/>
      <w:bookmarkEnd w:id="0"/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和国民法典》和《中华人民共和国政府采购法》之规定，经双方在平等、自愿、互利的基础上，签订本合同，共同信守。</w:t>
      </w:r>
    </w:p>
    <w:p w14:paraId="795ADC7E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一、合同价款</w:t>
      </w:r>
    </w:p>
    <w:p w14:paraId="025DFE9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合同价款</w:t>
      </w:r>
      <w:r>
        <w:rPr>
          <w:rFonts w:hint="eastAsia" w:ascii="仿宋_GB2312" w:hAnsi="仿宋" w:eastAsia="仿宋_GB2312"/>
          <w:bCs/>
          <w:sz w:val="28"/>
          <w:szCs w:val="28"/>
        </w:rPr>
        <w:t>为人民币（大写）</w:t>
      </w:r>
      <w:r>
        <w:rPr>
          <w:rFonts w:hint="eastAsia" w:ascii="仿宋_GB2312" w:hAnsi="仿宋" w:eastAsia="仿宋_GB2312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" w:eastAsia="仿宋_GB2312"/>
          <w:bCs/>
          <w:sz w:val="28"/>
          <w:szCs w:val="28"/>
        </w:rPr>
        <w:t>（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¥</w:t>
      </w:r>
      <w:r>
        <w:rPr>
          <w:rFonts w:hint="eastAsia" w:ascii="仿宋_GB2312" w:hAnsi="仿宋" w:eastAsia="仿宋_GB2312"/>
          <w:bCs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/>
          <w:bCs/>
          <w:sz w:val="28"/>
          <w:szCs w:val="28"/>
        </w:rPr>
        <w:t>）。</w:t>
      </w:r>
    </w:p>
    <w:p w14:paraId="03ADA2E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（二）合同价款包括但不限于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  <w:lang w:val="en-US" w:eastAsia="zh-CN"/>
        </w:rPr>
        <w:t>劳务派遣费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  <w:lang w:val="zh-CN"/>
        </w:rPr>
        <w:t>、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不可预见费用、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直接费、间接费及其他相关的一切费用。</w:t>
      </w:r>
    </w:p>
    <w:p w14:paraId="7DF5EA1F">
      <w:pPr>
        <w:pStyle w:val="21"/>
        <w:spacing w:line="360" w:lineRule="auto"/>
        <w:ind w:firstLine="562" w:firstLineChars="200"/>
        <w:rPr>
          <w:rFonts w:hint="default" w:eastAsia="仿宋_GB2312"/>
          <w:u w:val="single"/>
          <w:lang w:val="en-US" w:eastAsia="zh-CN"/>
        </w:rPr>
      </w:pPr>
      <w:r>
        <w:rPr>
          <w:rFonts w:hint="eastAsia" w:ascii="仿宋_GB2312" w:hAnsi="仿宋" w:eastAsia="仿宋_GB2312"/>
          <w:b/>
          <w:bCs/>
          <w:color w:val="auto"/>
          <w:sz w:val="28"/>
          <w:szCs w:val="28"/>
        </w:rPr>
        <w:t>二、委托工作内容：</w:t>
      </w:r>
      <w:r>
        <w:rPr>
          <w:rFonts w:hint="eastAsia" w:ascii="仿宋_GB2312" w:hAnsi="仿宋" w:eastAsia="仿宋_GB2312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仿宋_GB2312" w:hAnsi="仿宋" w:eastAsia="仿宋_GB2312"/>
          <w:b/>
          <w:bCs/>
          <w:color w:val="auto"/>
          <w:sz w:val="28"/>
          <w:szCs w:val="28"/>
          <w:u w:val="none"/>
          <w:lang w:val="en-US" w:eastAsia="zh-CN"/>
        </w:rPr>
        <w:t>。</w:t>
      </w:r>
    </w:p>
    <w:p w14:paraId="23D3A197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三、款项结算</w:t>
      </w:r>
    </w:p>
    <w:p w14:paraId="3B534C8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（一）付款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28"/>
          <w:szCs w:val="28"/>
        </w:rPr>
        <w:t>甲方按月向乙方支付派遣服务费，派遣服务费按每名派遣员工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元/人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28"/>
          <w:szCs w:val="28"/>
        </w:rPr>
        <w:t>月的标准以实际人数进行支付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  <w:lang w:val="en-US" w:eastAsia="zh-CN"/>
        </w:rPr>
        <w:t>。</w:t>
      </w:r>
    </w:p>
    <w:p w14:paraId="0575E6B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 w:cs="Times New Roman"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仿宋" w:eastAsia="仿宋_GB2312" w:cs="Times New Roman"/>
          <w:bCs/>
          <w:sz w:val="28"/>
          <w:szCs w:val="28"/>
          <w:highlight w:val="none"/>
          <w:lang w:eastAsia="zh-CN"/>
        </w:rPr>
        <w:t>（二）结算方式：银行转账。</w:t>
      </w:r>
    </w:p>
    <w:p w14:paraId="73959C9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 w:cs="Times New Roman"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仿宋" w:eastAsia="仿宋_GB2312" w:cs="Times New Roman"/>
          <w:bCs/>
          <w:sz w:val="28"/>
          <w:szCs w:val="28"/>
          <w:highlight w:val="none"/>
          <w:lang w:eastAsia="zh-CN"/>
        </w:rPr>
        <w:t>（三）结算单位：由甲方负责结算，乙方开具合同价款的全额发票给甲方。</w:t>
      </w:r>
    </w:p>
    <w:p w14:paraId="679B53CF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四、服务地点及服务期</w:t>
      </w:r>
    </w:p>
    <w:p w14:paraId="21A56CA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  <w:highlight w:val="none"/>
        </w:rPr>
      </w:pP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（一）服务地点：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西安市范围内，具体以采购人指定地点为准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。</w:t>
      </w:r>
    </w:p>
    <w:p w14:paraId="02163D4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/>
          <w:highlight w:val="yellow"/>
        </w:rPr>
      </w:pP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（二）服务期：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  <w:lang w:eastAsia="zh-CN"/>
        </w:rPr>
        <w:t>自合同签订之日起一年，本项目采取一次招标三年沿用，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在后期项目实施阶段采购人可根据《政府购买服务管理办法》（财政部令第102号）文件的规定，在费用不变，合同内容不变，且符合合同服务内容和要求，量化考核达标的情况下，为了保证服务工作的延续性，可进行续签，续签合同期限不超过两年。</w:t>
      </w:r>
    </w:p>
    <w:p w14:paraId="6238D7E9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五、双方的权利和义务</w:t>
      </w:r>
    </w:p>
    <w:p w14:paraId="44541D2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（一）甲方的权利与义务</w:t>
      </w:r>
    </w:p>
    <w:p w14:paraId="4486BCC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1、甲方应为乙方外包人员提供与岗位相关的办公场地、设施设备等工作保障。</w:t>
      </w:r>
    </w:p>
    <w:p w14:paraId="691A4F6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2、甲方应向乙方外包人员提供岗位工作职责说明书,并对其工作职责履行情况进行考核。</w:t>
      </w:r>
    </w:p>
    <w:p w14:paraId="144CC19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3、乙方外包人员违反甲方岗位要求及工作纪律，受到群众投诉、媒体曝光并造成不良影响的,甲方可提请乙方无条件更换外包人员,乙方应在8小时内作出响应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在不影响工作的前提下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5个工作日内补充人员到位；如经甲方研究认定造成严重影响的，除要求乙方无条件更换外包人员外，乙方以本季度应付款项为基数，按每天3‰计算向甲方支付违约金。</w:t>
      </w:r>
    </w:p>
    <w:p w14:paraId="390012B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4、乙方在服务期间出现重大失误的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甲方有权终止协议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并向乙方追索因失误造成的相关损失。</w:t>
      </w:r>
    </w:p>
    <w:p w14:paraId="47F8437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5、甲方若因特殊情况需要减少外包岗位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须提前30日以书面形式通知乙方,并依法支付补偿金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。</w:t>
      </w:r>
    </w:p>
    <w:p w14:paraId="1311FED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bCs/>
          <w:sz w:val="28"/>
          <w:szCs w:val="28"/>
        </w:rPr>
        <w:t>、甲方有权对乙方的工作进行监督和考核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并根据甲方考核结果核算应付款项</w:t>
      </w:r>
      <w:r>
        <w:rPr>
          <w:rFonts w:hint="eastAsia" w:ascii="仿宋_GB2312" w:hAnsi="仿宋" w:eastAsia="仿宋_GB2312"/>
          <w:bCs/>
          <w:sz w:val="28"/>
          <w:szCs w:val="28"/>
        </w:rPr>
        <w:t>。</w:t>
      </w:r>
    </w:p>
    <w:p w14:paraId="6F6E8EB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（二）乙方的权利与义务</w:t>
      </w:r>
    </w:p>
    <w:p w14:paraId="478EAA49">
      <w:pPr>
        <w:keepNext w:val="0"/>
        <w:keepLines w:val="0"/>
        <w:pageBreakBefore w:val="0"/>
        <w:widowControl w:val="0"/>
        <w:tabs>
          <w:tab w:val="left" w:pos="73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9"/>
        <w:textAlignment w:val="baseline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1、根据本合同约定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乙方应按甲方需求岗位安排外包人员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并保持外包人员的相对稳定；外包人员应按照甲方要求的工作时间、工作内容、工作规范开展工作。</w:t>
      </w:r>
    </w:p>
    <w:p w14:paraId="47962E8E">
      <w:pPr>
        <w:keepNext w:val="0"/>
        <w:keepLines w:val="0"/>
        <w:pageBreakBefore w:val="0"/>
        <w:widowControl w:val="0"/>
        <w:tabs>
          <w:tab w:val="left" w:pos="73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9"/>
        <w:textAlignment w:val="baseline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2、乙方根据国家《</w:t>
      </w:r>
      <w:r>
        <w:rPr>
          <w:rFonts w:hint="eastAsia" w:ascii="仿宋_GB2312" w:hAnsi="仿宋_GB2312" w:eastAsia="仿宋_GB2312" w:cs="仿宋_GB2312"/>
          <w:sz w:val="28"/>
          <w:szCs w:val="28"/>
        </w:rPr>
        <w:t>中华人民共和国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劳动合同法》等规定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与向甲方提供外包服务的外包人员建立劳动关系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按时支付劳动报酬及社会保险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同时为外包人员办理用工登记手续。</w:t>
      </w:r>
    </w:p>
    <w:p w14:paraId="3A34B14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3、乙方根据甲方委托事项及要求进行外包人员招聘、岗位培训、服务标准、目标管理、廉政教育、安全生产教育，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组织辅警及巡防队员加入公司工会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同时做好外包人员心理辅导、团队建设、档案管理等工作。</w:t>
      </w:r>
    </w:p>
    <w:p w14:paraId="6CEED02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4、乙方应根据甲方的要求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建立并完善内部考核管理制度，外包人员综合服务群众满意度测评须达到95%以上。</w:t>
      </w:r>
    </w:p>
    <w:p w14:paraId="4A6382F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5、乙方定期对外包岗位服务工作进行情况分析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向甲方提出意见和建议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不断改进完善服务工作。</w:t>
      </w:r>
    </w:p>
    <w:p w14:paraId="4CDF6AF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6、乙方负责处理外包人员的劳动争议事宜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并承担劳动稽查部门对外包人员社会保障的各项稽核责任。</w:t>
      </w:r>
    </w:p>
    <w:p w14:paraId="0DBB2C7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7、乙方外包人员若被发现有任何影响甲方正常岗位工作的行为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乙方管理人员应及时处置解决。</w:t>
      </w:r>
    </w:p>
    <w:p w14:paraId="0E671CF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8、乙方外包人员患病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或非因工受伤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或死亡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或发生工伤事故的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由乙方按照国家《</w:t>
      </w:r>
      <w:r>
        <w:rPr>
          <w:rFonts w:hint="eastAsia" w:ascii="仿宋_GB2312" w:hAnsi="仿宋_GB2312" w:eastAsia="仿宋_GB2312" w:cs="仿宋_GB2312"/>
          <w:sz w:val="28"/>
          <w:szCs w:val="28"/>
        </w:rPr>
        <w:t>中华人民共和国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劳动合同法》及相关法律法规全权处理。</w:t>
      </w:r>
    </w:p>
    <w:p w14:paraId="0ED174B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default" w:ascii="仿宋_GB2312" w:hAnsi="仿宋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9、在服务期间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乙方及其外包人员需保证所使用设施设备的完好、完整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若由于操作或使用不当造成设备损坏或丢失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须原价赔偿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。</w:t>
      </w:r>
    </w:p>
    <w:p w14:paraId="66AEE3A7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六、服务质量保证</w:t>
      </w:r>
    </w:p>
    <w:p w14:paraId="24FC480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（一）乙方需建立高效的管理团队，项目团队组成合理。</w:t>
      </w:r>
    </w:p>
    <w:p w14:paraId="3C1A2DB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（二）乙方需派一名项目经理，直接与甲方沟通，项目经理接收甲方提出的问题与要求，并及时反馈给工作组，解决在项目实施过程中遇到的问题。</w:t>
      </w:r>
    </w:p>
    <w:p w14:paraId="56BF3E0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（三）项目在实施过程中会出现不可预料的需求变更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需求细化</w:t>
      </w:r>
      <w:r>
        <w:rPr>
          <w:rFonts w:hint="eastAsia" w:ascii="仿宋_GB2312" w:hAnsi="仿宋" w:eastAsia="仿宋_GB2312"/>
          <w:bCs/>
          <w:sz w:val="28"/>
          <w:szCs w:val="28"/>
        </w:rPr>
        <w:t>，乙方需积极配合甲方的需求变更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需求细化</w:t>
      </w:r>
      <w:r>
        <w:rPr>
          <w:rFonts w:hint="eastAsia" w:ascii="仿宋_GB2312" w:hAnsi="仿宋" w:eastAsia="仿宋_GB2312"/>
          <w:bCs/>
          <w:sz w:val="28"/>
          <w:szCs w:val="28"/>
        </w:rPr>
        <w:t>，并按照变更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细化</w:t>
      </w:r>
      <w:r>
        <w:rPr>
          <w:rFonts w:hint="eastAsia" w:ascii="仿宋_GB2312" w:hAnsi="仿宋" w:eastAsia="仿宋_GB2312"/>
          <w:bCs/>
          <w:sz w:val="28"/>
          <w:szCs w:val="28"/>
        </w:rPr>
        <w:t>后的需求继续实施。</w:t>
      </w:r>
    </w:p>
    <w:p w14:paraId="4034160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（四）乙方需设有详细的技术资料档案和服务档案以便于更好地提供服务</w:t>
      </w:r>
    </w:p>
    <w:p w14:paraId="016DF37D">
      <w:pPr>
        <w:spacing w:line="360" w:lineRule="auto"/>
        <w:ind w:firstLine="562" w:firstLineChars="200"/>
        <w:rPr>
          <w:rFonts w:hint="eastAsia" w:ascii="仿宋_GB2312" w:hAnsi="仿宋" w:eastAsia="仿宋_GB2312"/>
          <w:b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_GB2312"/>
          <w:b/>
          <w:sz w:val="28"/>
          <w:szCs w:val="28"/>
        </w:rPr>
        <w:t>、保密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规定</w:t>
      </w:r>
    </w:p>
    <w:p w14:paraId="7B968A2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合同任何一方以书面、或者电子邮件等形式提供给另一方的信息或者数据,包括：客户信息、财务数据、双方订立的合同等为保密信息。一方未经对方事先书面同意,不得以任何形式将保密信息的部分或者全部披露、许可给任何第三方。</w:t>
      </w:r>
    </w:p>
    <w:p w14:paraId="466CA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乙方应对外包人员进行保密教育，乙方及外包人员应遵守甲方的保密制度。对其他单位查询的资料、档案需按照甲方规定流程和程序予以公开；对其他单位查询的甲方非公开文件、资料、档案及第三方隐私、商业秘密等资料、档案、文件，未经甲方同意不得随意公开。因外包人员或乙方有关人员违反本协议保密义务的，由乙方承担赔偿责任。</w:t>
      </w:r>
    </w:p>
    <w:p w14:paraId="2B0FB97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）保密义务不因本合同的终止而终止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F442D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_GB2312" w:hAnsi="仿宋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仿宋_GB2312" w:hAnsi="仿宋" w:eastAsia="仿宋_GB2312"/>
          <w:b/>
          <w:sz w:val="28"/>
          <w:szCs w:val="28"/>
        </w:rPr>
        <w:t>、其他事项</w:t>
      </w:r>
    </w:p>
    <w:p w14:paraId="7BB7C7FD">
      <w:pPr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（一）乙方不得转让给其它单位或个人。</w:t>
      </w:r>
    </w:p>
    <w:p w14:paraId="226170E4">
      <w:pPr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（二）乙方的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投标</w:t>
      </w:r>
      <w:r>
        <w:rPr>
          <w:rFonts w:hint="eastAsia" w:ascii="仿宋_GB2312" w:hAnsi="仿宋" w:eastAsia="仿宋_GB2312"/>
          <w:bCs/>
          <w:sz w:val="28"/>
          <w:szCs w:val="28"/>
        </w:rPr>
        <w:t>文件和承诺等内容将列入合同。</w:t>
      </w:r>
    </w:p>
    <w:p w14:paraId="4958D1AD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九</w:t>
      </w:r>
      <w:r>
        <w:rPr>
          <w:rFonts w:hint="eastAsia" w:ascii="仿宋_GB2312" w:hAnsi="仿宋" w:eastAsia="仿宋_GB2312"/>
          <w:b/>
          <w:sz w:val="28"/>
          <w:szCs w:val="28"/>
        </w:rPr>
        <w:t>、违约责任</w:t>
      </w:r>
    </w:p>
    <w:p w14:paraId="0316817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（一）按《中华人民共和国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民法典</w:t>
      </w:r>
      <w:r>
        <w:rPr>
          <w:rFonts w:hint="eastAsia" w:ascii="仿宋_GB2312" w:hAnsi="仿宋" w:eastAsia="仿宋_GB2312"/>
          <w:bCs/>
          <w:sz w:val="28"/>
          <w:szCs w:val="28"/>
        </w:rPr>
        <w:t>》中的相关条款执行。</w:t>
      </w:r>
    </w:p>
    <w:p w14:paraId="583BF48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（二）未按合同要求提供服务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/>
          <w:bCs/>
          <w:sz w:val="28"/>
          <w:szCs w:val="28"/>
        </w:rPr>
        <w:t>服务质量不能满足本次招标要求，甲方会同监督机构、采购代理机构有权终止合同和对乙方违约行为进行追究，同时按政府采购法的有关规定进行相应的处罚。</w:t>
      </w:r>
    </w:p>
    <w:p w14:paraId="6077049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" w:eastAsia="仿宋_GB2312"/>
          <w:bCs/>
          <w:sz w:val="28"/>
          <w:szCs w:val="28"/>
        </w:rPr>
        <w:t>）甲方有权解除合同情形:</w:t>
      </w:r>
    </w:p>
    <w:p w14:paraId="52FBF3F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1、</w:t>
      </w:r>
      <w:r>
        <w:rPr>
          <w:rFonts w:hint="eastAsia" w:ascii="仿宋_GB2312" w:hAnsi="仿宋" w:eastAsia="仿宋_GB2312"/>
          <w:bCs/>
          <w:sz w:val="28"/>
          <w:szCs w:val="28"/>
        </w:rPr>
        <w:t>乙方不能满足甲方实际工作需要，不服从甲方日常工作管理，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甲</w:t>
      </w:r>
      <w:r>
        <w:rPr>
          <w:rFonts w:hint="eastAsia" w:ascii="仿宋_GB2312" w:hAnsi="仿宋" w:eastAsia="仿宋_GB2312"/>
          <w:bCs/>
          <w:sz w:val="28"/>
          <w:szCs w:val="28"/>
        </w:rPr>
        <w:t>方有权解除与乙方的合同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；</w:t>
      </w:r>
    </w:p>
    <w:p w14:paraId="77C65FE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default" w:ascii="仿宋_GB2312" w:hAnsi="仿宋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2、乙方未通过甲方各部门相关绩效考核，甲方有权解除合同；</w:t>
      </w:r>
    </w:p>
    <w:p w14:paraId="4BC615E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3、</w:t>
      </w:r>
      <w:r>
        <w:rPr>
          <w:rFonts w:hint="eastAsia" w:ascii="仿宋_GB2312" w:hAnsi="仿宋" w:eastAsia="仿宋_GB2312"/>
          <w:bCs/>
          <w:sz w:val="28"/>
          <w:szCs w:val="28"/>
        </w:rPr>
        <w:t>因乙方管理不到位，造成群发性事件，给甲方声誉带来严重影响的，甲方有权解除合同</w:t>
      </w:r>
      <w:r>
        <w:rPr>
          <w:rFonts w:hint="eastAsia" w:ascii="仿宋_GB2312" w:hAnsi="仿宋" w:eastAsia="仿宋_GB2312"/>
          <w:bCs/>
          <w:sz w:val="28"/>
          <w:szCs w:val="28"/>
          <w:lang w:eastAsia="zh-CN"/>
        </w:rPr>
        <w:t>；</w:t>
      </w:r>
    </w:p>
    <w:p w14:paraId="1ED4EDD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/>
        </w:rPr>
      </w:pP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3、</w:t>
      </w:r>
      <w:r>
        <w:rPr>
          <w:rFonts w:hint="eastAsia" w:ascii="仿宋_GB2312" w:hAnsi="仿宋" w:eastAsia="仿宋_GB2312"/>
          <w:bCs/>
          <w:sz w:val="28"/>
          <w:szCs w:val="28"/>
        </w:rPr>
        <w:t>发生各类突发性应急事件或甲方举行重大活动时，乙方如不服从甲方的统一调配，甲方有权解除合同。</w:t>
      </w:r>
    </w:p>
    <w:p w14:paraId="65376008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十、合同争议解决的方式</w:t>
      </w:r>
    </w:p>
    <w:p w14:paraId="22DAD66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本合同在履行过程中发生的争议，由甲、乙双方当事人协商解决，协商不成的按下列第</w:t>
      </w:r>
      <w:r>
        <w:rPr>
          <w:rFonts w:hint="eastAsia" w:ascii="仿宋_GB2312" w:hAnsi="仿宋" w:eastAsia="仿宋_GB2312"/>
          <w:bCs/>
          <w:sz w:val="28"/>
          <w:szCs w:val="28"/>
          <w:u w:val="single"/>
        </w:rPr>
        <w:t>（二）</w:t>
      </w:r>
      <w:r>
        <w:rPr>
          <w:rFonts w:hint="eastAsia" w:ascii="仿宋_GB2312" w:hAnsi="仿宋" w:eastAsia="仿宋_GB2312"/>
          <w:bCs/>
          <w:sz w:val="28"/>
          <w:szCs w:val="28"/>
        </w:rPr>
        <w:t>种方式解决：</w:t>
      </w:r>
    </w:p>
    <w:p w14:paraId="0DAFFB1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（一）提交西安仲裁委员会仲裁；</w:t>
      </w:r>
    </w:p>
    <w:p w14:paraId="59DA88B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（二）依法向甲方所在地人民法院起诉。</w:t>
      </w:r>
    </w:p>
    <w:p w14:paraId="598BD0B2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十一、</w:t>
      </w:r>
      <w:r>
        <w:rPr>
          <w:rFonts w:hint="eastAsia" w:ascii="仿宋_GB2312" w:hAnsi="仿宋" w:eastAsia="仿宋_GB2312"/>
          <w:b/>
          <w:sz w:val="28"/>
          <w:szCs w:val="28"/>
        </w:rPr>
        <w:t>合同生效</w:t>
      </w:r>
    </w:p>
    <w:p w14:paraId="480D644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（一）本合同须经甲、乙双方的法定代表人（授权代表）在合同书上签字并加盖本单位公章后正式生效。</w:t>
      </w:r>
    </w:p>
    <w:p w14:paraId="05E2AE2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（二）合同生效后，甲、乙双方须严格执行本合同条款的规定，全面履行合同，违者按《中华人民共和国民法典》的有关规定承担相应责任。</w:t>
      </w:r>
    </w:p>
    <w:p w14:paraId="629EC94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（三）本合同一式</w:t>
      </w:r>
      <w:r>
        <w:rPr>
          <w:rFonts w:hint="eastAsia" w:ascii="仿宋_GB2312" w:hAnsi="仿宋" w:eastAsia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hAnsi="仿宋" w:eastAsia="仿宋_GB2312"/>
          <w:bCs/>
          <w:sz w:val="28"/>
          <w:szCs w:val="28"/>
        </w:rPr>
        <w:t>份，甲乙双方各执</w:t>
      </w:r>
      <w:r>
        <w:rPr>
          <w:rFonts w:hint="eastAsia" w:ascii="仿宋_GB2312" w:hAnsi="仿宋" w:eastAsia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bCs/>
          <w:sz w:val="28"/>
          <w:szCs w:val="28"/>
        </w:rPr>
        <w:t>份。</w:t>
      </w:r>
    </w:p>
    <w:p w14:paraId="47413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360" w:lineRule="auto"/>
        <w:ind w:firstLine="560" w:firstLineChars="200"/>
        <w:textAlignment w:val="auto"/>
        <w:rPr>
          <w:rFonts w:hint="eastAsia" w:ascii="仿宋_GB2312" w:hAnsi="仿宋" w:eastAsia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（四）本合同如有未尽事宜，甲、乙双方协商解决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</w:rPr>
        <w:t>。</w:t>
      </w:r>
    </w:p>
    <w:p w14:paraId="1D031BA7">
      <w:pPr>
        <w:pStyle w:val="8"/>
        <w:rPr>
          <w:rFonts w:hint="eastAsia" w:ascii="仿宋_GB2312" w:hAnsi="仿宋" w:eastAsia="仿宋_GB2312"/>
          <w:bCs/>
          <w:sz w:val="28"/>
          <w:szCs w:val="28"/>
          <w:highlight w:val="none"/>
        </w:rPr>
      </w:pPr>
    </w:p>
    <w:p w14:paraId="0D1AF8F1">
      <w:pPr>
        <w:pStyle w:val="8"/>
        <w:rPr>
          <w:rFonts w:hint="eastAsia" w:ascii="仿宋_GB2312" w:hAnsi="仿宋" w:eastAsia="仿宋_GB2312"/>
          <w:bCs/>
          <w:sz w:val="28"/>
          <w:szCs w:val="28"/>
          <w:highlight w:val="none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6572C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E231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61FD5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乙  方</w:t>
            </w:r>
          </w:p>
        </w:tc>
      </w:tr>
      <w:tr w14:paraId="1BC0F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14BC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51DA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（盖章）</w:t>
            </w:r>
          </w:p>
        </w:tc>
      </w:tr>
      <w:tr w14:paraId="77BEA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14AB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06DA9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地址：</w:t>
            </w:r>
          </w:p>
        </w:tc>
      </w:tr>
      <w:tr w14:paraId="3C244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3C62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 xml:space="preserve">法定代表人 </w:t>
            </w:r>
          </w:p>
        </w:tc>
        <w:tc>
          <w:tcPr>
            <w:tcW w:w="4202" w:type="dxa"/>
            <w:noWrap w:val="0"/>
            <w:vAlign w:val="center"/>
          </w:tcPr>
          <w:p w14:paraId="22110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法定代表人</w:t>
            </w:r>
          </w:p>
        </w:tc>
      </w:tr>
      <w:tr w14:paraId="13A36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DF62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或授权代表：</w:t>
            </w:r>
          </w:p>
        </w:tc>
        <w:tc>
          <w:tcPr>
            <w:tcW w:w="4202" w:type="dxa"/>
            <w:noWrap w:val="0"/>
            <w:vAlign w:val="center"/>
          </w:tcPr>
          <w:p w14:paraId="2590E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或授权代表：</w:t>
            </w:r>
          </w:p>
        </w:tc>
      </w:tr>
      <w:tr w14:paraId="42756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3389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4A9DC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电话：</w:t>
            </w:r>
          </w:p>
        </w:tc>
      </w:tr>
      <w:tr w14:paraId="24F51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E41B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21607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传真：</w:t>
            </w:r>
          </w:p>
        </w:tc>
      </w:tr>
      <w:tr w14:paraId="601F5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0EF9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69C98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highlight w:val="none"/>
              </w:rPr>
              <w:t>开户银行：</w:t>
            </w:r>
          </w:p>
        </w:tc>
      </w:tr>
    </w:tbl>
    <w:p w14:paraId="231E44F1"/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016E641-0F0B-47C2-944F-EEA2D8FDBAA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5328994-F369-4559-B8AD-F36B64EE2E0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6AC3334-78A2-417B-925C-0949EAF662A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78FE8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2623820</wp:posOffset>
              </wp:positionH>
              <wp:positionV relativeFrom="paragraph">
                <wp:posOffset>-174625</wp:posOffset>
              </wp:positionV>
              <wp:extent cx="467360" cy="172720"/>
              <wp:effectExtent l="0" t="0" r="2540" b="1143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" cy="172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FA8E70">
                          <w:pPr>
                            <w:pStyle w:val="8"/>
                            <w:tabs>
                              <w:tab w:val="center" w:pos="4153"/>
                              <w:tab w:val="right" w:pos="8306"/>
                              <w:tab w:val="clear" w:pos="4140"/>
                              <w:tab w:val="clear" w:pos="8300"/>
                            </w:tabs>
                          </w:pPr>
                          <w:r>
                            <w:rPr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6pt;margin-top:-13.75pt;height:13.6pt;width:36.8pt;mso-position-horizontal-relative:margin;mso-wrap-style:none;z-index:251659264;mso-width-relative:page;mso-height-relative:page;" filled="f" stroked="f" coordsize="21600,21600" o:gfxdata="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svhy41gAAAAkBAAAPAAAAAAAAAAEAIAAAACIAAABkcnMvZG93bnJldi54bWxQSwEC&#10;FAAUAAAACACHTuJALEJu2i8CAABTBAAADgAAAAAAAAABACAAAAAl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A8E70">
                    <w:pPr>
                      <w:pStyle w:val="8"/>
                      <w:tabs>
                        <w:tab w:val="center" w:pos="4153"/>
                        <w:tab w:val="right" w:pos="8306"/>
                        <w:tab w:val="clear" w:pos="4140"/>
                        <w:tab w:val="clear" w:pos="8300"/>
                      </w:tabs>
                    </w:pPr>
                    <w:r>
                      <w:rPr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C11F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29BB6BC2"/>
    <w:rsid w:val="00032C77"/>
    <w:rsid w:val="00042B50"/>
    <w:rsid w:val="0005444A"/>
    <w:rsid w:val="00055484"/>
    <w:rsid w:val="00196F8D"/>
    <w:rsid w:val="002134F5"/>
    <w:rsid w:val="00240D10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7646EA"/>
    <w:rsid w:val="008B1E38"/>
    <w:rsid w:val="009015B2"/>
    <w:rsid w:val="009F1E94"/>
    <w:rsid w:val="00AD6F4F"/>
    <w:rsid w:val="00B35765"/>
    <w:rsid w:val="00C65FC8"/>
    <w:rsid w:val="00CC3A78"/>
    <w:rsid w:val="00CE21B5"/>
    <w:rsid w:val="00CF6641"/>
    <w:rsid w:val="00E8712A"/>
    <w:rsid w:val="00EF3803"/>
    <w:rsid w:val="00F47186"/>
    <w:rsid w:val="00FA5ACA"/>
    <w:rsid w:val="00FC1B97"/>
    <w:rsid w:val="01981D96"/>
    <w:rsid w:val="02680F16"/>
    <w:rsid w:val="06044D8E"/>
    <w:rsid w:val="063C3527"/>
    <w:rsid w:val="071938B9"/>
    <w:rsid w:val="0B186D4E"/>
    <w:rsid w:val="0BFB500F"/>
    <w:rsid w:val="0CF24C32"/>
    <w:rsid w:val="0DA008CC"/>
    <w:rsid w:val="0EBB3568"/>
    <w:rsid w:val="0EC60B07"/>
    <w:rsid w:val="10332904"/>
    <w:rsid w:val="10CF4970"/>
    <w:rsid w:val="10F63A27"/>
    <w:rsid w:val="14561BE7"/>
    <w:rsid w:val="172B4FA4"/>
    <w:rsid w:val="192A37C4"/>
    <w:rsid w:val="198577DD"/>
    <w:rsid w:val="19966094"/>
    <w:rsid w:val="1CA80820"/>
    <w:rsid w:val="1D6E70FD"/>
    <w:rsid w:val="21665943"/>
    <w:rsid w:val="244871F4"/>
    <w:rsid w:val="25295AB7"/>
    <w:rsid w:val="274E2D73"/>
    <w:rsid w:val="27EF733B"/>
    <w:rsid w:val="292902AA"/>
    <w:rsid w:val="29BB6BC2"/>
    <w:rsid w:val="2C0F4050"/>
    <w:rsid w:val="2EEA293E"/>
    <w:rsid w:val="2F1025C8"/>
    <w:rsid w:val="30104537"/>
    <w:rsid w:val="313868D1"/>
    <w:rsid w:val="325B49C3"/>
    <w:rsid w:val="326A7D77"/>
    <w:rsid w:val="33EF3E56"/>
    <w:rsid w:val="39094D4C"/>
    <w:rsid w:val="3CCE5611"/>
    <w:rsid w:val="3CE71A85"/>
    <w:rsid w:val="412A6A1E"/>
    <w:rsid w:val="414032D5"/>
    <w:rsid w:val="45FB0DB9"/>
    <w:rsid w:val="467E02E4"/>
    <w:rsid w:val="4EC118A7"/>
    <w:rsid w:val="4F1C52C5"/>
    <w:rsid w:val="4FDA2485"/>
    <w:rsid w:val="54F63A8A"/>
    <w:rsid w:val="57DF2953"/>
    <w:rsid w:val="5C7E1FD1"/>
    <w:rsid w:val="5D3B49BA"/>
    <w:rsid w:val="60E414E6"/>
    <w:rsid w:val="61E5759F"/>
    <w:rsid w:val="64A137DB"/>
    <w:rsid w:val="696F3399"/>
    <w:rsid w:val="734E36BE"/>
    <w:rsid w:val="741C09D0"/>
    <w:rsid w:val="74343D24"/>
    <w:rsid w:val="764F97C9"/>
    <w:rsid w:val="78C53AE4"/>
    <w:rsid w:val="7EB51055"/>
    <w:rsid w:val="7FB46D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8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2">
    <w:name w:val="Body Text First Indent"/>
    <w:basedOn w:val="5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basedOn w:val="15"/>
    <w:autoRedefine/>
    <w:qFormat/>
    <w:uiPriority w:val="0"/>
    <w:rPr>
      <w:sz w:val="21"/>
      <w:szCs w:val="21"/>
    </w:rPr>
  </w:style>
  <w:style w:type="character" w:customStyle="1" w:styleId="17">
    <w:name w:val="页眉 Char"/>
    <w:basedOn w:val="15"/>
    <w:link w:val="9"/>
    <w:autoRedefine/>
    <w:qFormat/>
    <w:uiPriority w:val="0"/>
    <w:rPr>
      <w:kern w:val="2"/>
      <w:sz w:val="18"/>
      <w:szCs w:val="18"/>
    </w:rPr>
  </w:style>
  <w:style w:type="character" w:customStyle="1" w:styleId="18">
    <w:name w:val="批注框文本 Char"/>
    <w:basedOn w:val="15"/>
    <w:link w:val="7"/>
    <w:autoRedefine/>
    <w:qFormat/>
    <w:uiPriority w:val="0"/>
    <w:rPr>
      <w:kern w:val="2"/>
      <w:sz w:val="18"/>
      <w:szCs w:val="18"/>
    </w:rPr>
  </w:style>
  <w:style w:type="paragraph" w:customStyle="1" w:styleId="19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1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2573</Words>
  <Characters>2589</Characters>
  <Lines>12</Lines>
  <Paragraphs>3</Paragraphs>
  <TotalTime>0</TotalTime>
  <ScaleCrop>false</ScaleCrop>
  <LinksUpToDate>false</LinksUpToDate>
  <CharactersWithSpaces>2798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2025-03-26T08:38:00Z</dcterms:created>
  <dc:creator>独舞的蒲公英</dc:creator>
  <cp:lastModifiedBy>陕西华采招标有限公司</cp:lastModifiedBy>
  <cp:lastPrinted>2022-09-28T14:56:00Z</cp:lastPrinted>
  <dcterms:modified xsi:type="dcterms:W3CDTF">2025-11-05T03:45:16Z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E79E879024B94D3FB100E7468F0D228F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