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版本号：THXZB2025-108420251214001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细柳街道涉及征迁项目地上建筑物及构筑物评估服务项目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THXZB2025-1084</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细柳街道涉及征迁项目地上建筑物及构筑物评估服务项目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细柳街道涉及征迁项目地上建筑物及构筑物评估服务项目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细柳街道等驾坡宅基地 、等驾坡外围（南等村）、肖里村、向阳村、中祝村、沣惠渠绿道（苗木）、沣惠渠绿道（房屋）、铂力特三期、标准厂房、零星项目地上建筑物及构筑物的征迁工作推进需要，需对上述区域内地上建筑物及构筑物进行专业价值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3、公司资质：供应商须具备住房和城乡建设部门下发的房地产估价机构备案证书三级及以上资质， 供应商需在项目电子化交易系统中按要求上传相应证明文件并进行电子签章；</w:t>
      </w:r>
    </w:p>
    <w:p>
      <w:pPr>
        <w:pStyle w:val="null3"/>
      </w:pPr>
      <w:r>
        <w:rPr>
          <w:rFonts w:ascii="仿宋_GB2312" w:hAnsi="仿宋_GB2312" w:cs="仿宋_GB2312" w:eastAsia="仿宋_GB2312"/>
        </w:rPr>
        <w:t>4、项目负责人要求：拟派项目负责人需具有国家注册房地产估价师执业资格证书，且在本单位注册，供应商需在项目电子化交易系统中按要求上传相应证明文件并进行电子签章。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029-85912310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采购包1：892,344.07元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代理服务费收费标准：参照国家发展和改革委员会《招标代理服务收费暂行办法》（计价格[2002]1980号）和国家发展改革委（发改价格[2003]857号）文件规定计取，以成交金额作为基数，差额累进法进行计算。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细柳街道等驾坡宅基地 、等驾坡外围（南等村）、肖里村、向阳村、中祝村、沣惠渠绿道（苗木）、沣惠渠绿道（房屋）、铂力特三期、标准厂房、零星项目地上建筑物及构筑物的征迁工作推进需要，需对上述区域内地上建筑物及构筑物进行专业价值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892,344.07</w:t>
      </w:r>
    </w:p>
    <w:p>
      <w:pPr>
        <w:pStyle w:val="null3"/>
      </w:pPr>
      <w:r>
        <w:rPr>
          <w:rFonts w:ascii="仿宋_GB2312" w:hAnsi="仿宋_GB2312" w:cs="仿宋_GB2312" w:eastAsia="仿宋_GB2312"/>
        </w:rPr>
        <w:t>采购包最高限价（元）: 892,344.07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采购金额892344.07元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892,344.07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标的名称：采购金额892344.07元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color w:val="000000"/>
              </w:rPr>
              <w:t>项目名称：</w:t>
            </w:r>
          </w:p>
          <w:p>
            <w:pPr>
              <w:pStyle w:val="null3"/>
              <w:ind w:firstLine="480"/>
              <w:jc w:val="both"/>
            </w:pPr>
            <w:r>
              <w:rPr>
                <w:rFonts w:ascii="仿宋_GB2312" w:hAnsi="仿宋_GB2312" w:cs="仿宋_GB2312" w:eastAsia="仿宋_GB2312"/>
                <w:sz w:val="24"/>
              </w:rPr>
              <w:t>细柳街道涉及征迁项目地上建筑物及构筑物评估服务项目</w:t>
            </w:r>
          </w:p>
          <w:p>
            <w:pPr>
              <w:pStyle w:val="null3"/>
              <w:ind w:firstLine="480"/>
              <w:jc w:val="both"/>
            </w:pPr>
            <w:r>
              <w:rPr>
                <w:rFonts w:ascii="仿宋_GB2312" w:hAnsi="仿宋_GB2312" w:cs="仿宋_GB2312" w:eastAsia="仿宋_GB2312"/>
                <w:sz w:val="24"/>
              </w:rPr>
              <w:t>评估范围：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color w:val="000000"/>
              </w:rPr>
              <w:t>评估范围：细柳</w:t>
            </w:r>
            <w:r>
              <w:rPr>
                <w:rFonts w:ascii="仿宋_GB2312" w:hAnsi="仿宋_GB2312" w:cs="仿宋_GB2312" w:eastAsia="仿宋_GB2312"/>
                <w:sz w:val="24"/>
              </w:rPr>
              <w:t>街道</w:t>
            </w:r>
            <w:r>
              <w:rPr>
                <w:rFonts w:ascii="仿宋_GB2312" w:hAnsi="仿宋_GB2312" w:cs="仿宋_GB2312" w:eastAsia="仿宋_GB2312"/>
                <w:sz w:val="24"/>
              </w:rPr>
              <w:t>等驾坡宅基地</w:t>
            </w:r>
            <w:r>
              <w:rPr>
                <w:rFonts w:ascii="仿宋_GB2312" w:hAnsi="仿宋_GB2312" w:cs="仿宋_GB2312" w:eastAsia="仿宋_GB2312"/>
                <w:sz w:val="24"/>
              </w:rPr>
              <w:t>、</w:t>
            </w:r>
            <w:r>
              <w:rPr>
                <w:rFonts w:ascii="仿宋_GB2312" w:hAnsi="仿宋_GB2312" w:cs="仿宋_GB2312" w:eastAsia="仿宋_GB2312"/>
                <w:sz w:val="24"/>
              </w:rPr>
              <w:t>等驾坡外围（南等村）</w:t>
            </w:r>
            <w:r>
              <w:rPr>
                <w:rFonts w:ascii="仿宋_GB2312" w:hAnsi="仿宋_GB2312" w:cs="仿宋_GB2312" w:eastAsia="仿宋_GB2312"/>
                <w:sz w:val="24"/>
              </w:rPr>
              <w:t>、</w:t>
            </w:r>
            <w:r>
              <w:rPr>
                <w:rFonts w:ascii="仿宋_GB2312" w:hAnsi="仿宋_GB2312" w:cs="仿宋_GB2312" w:eastAsia="仿宋_GB2312"/>
                <w:sz w:val="24"/>
              </w:rPr>
              <w:t>肖里</w:t>
            </w:r>
            <w:r>
              <w:rPr>
                <w:rFonts w:ascii="仿宋_GB2312" w:hAnsi="仿宋_GB2312" w:cs="仿宋_GB2312" w:eastAsia="仿宋_GB2312"/>
                <w:sz w:val="24"/>
              </w:rPr>
              <w:t>村、</w:t>
            </w:r>
            <w:r>
              <w:rPr>
                <w:rFonts w:ascii="仿宋_GB2312" w:hAnsi="仿宋_GB2312" w:cs="仿宋_GB2312" w:eastAsia="仿宋_GB2312"/>
                <w:sz w:val="24"/>
              </w:rPr>
              <w:t>向阳</w:t>
            </w:r>
            <w:r>
              <w:rPr>
                <w:rFonts w:ascii="仿宋_GB2312" w:hAnsi="仿宋_GB2312" w:cs="仿宋_GB2312" w:eastAsia="仿宋_GB2312"/>
                <w:sz w:val="24"/>
              </w:rPr>
              <w:t>村、</w:t>
            </w:r>
            <w:r>
              <w:rPr>
                <w:rFonts w:ascii="仿宋_GB2312" w:hAnsi="仿宋_GB2312" w:cs="仿宋_GB2312" w:eastAsia="仿宋_GB2312"/>
                <w:sz w:val="24"/>
              </w:rPr>
              <w:t>中祝</w:t>
            </w:r>
            <w:r>
              <w:rPr>
                <w:rFonts w:ascii="仿宋_GB2312" w:hAnsi="仿宋_GB2312" w:cs="仿宋_GB2312" w:eastAsia="仿宋_GB2312"/>
                <w:sz w:val="24"/>
              </w:rPr>
              <w:t>村、</w:t>
            </w:r>
            <w:r>
              <w:rPr>
                <w:rFonts w:ascii="仿宋_GB2312" w:hAnsi="仿宋_GB2312" w:cs="仿宋_GB2312" w:eastAsia="仿宋_GB2312"/>
                <w:sz w:val="24"/>
              </w:rPr>
              <w:t>沣惠渠绿道（苗木）、沣惠渠绿道（房屋）、铂力特三期、标准厂房、零星项目地上建筑物及构筑物</w:t>
            </w:r>
            <w:r>
              <w:rPr>
                <w:rFonts w:ascii="仿宋_GB2312" w:hAnsi="仿宋_GB2312" w:cs="仿宋_GB2312" w:eastAsia="仿宋_GB2312"/>
                <w:sz w:val="24"/>
              </w:rPr>
              <w:t>的征迁工作推进需要，需对上述区域内地上建筑物及构筑物进行专业价值评估。</w:t>
            </w:r>
          </w:p>
          <w:p>
            <w:pPr>
              <w:pStyle w:val="null3"/>
              <w:ind w:firstLine="480"/>
              <w:jc w:val="both"/>
            </w:pPr>
            <w:r>
              <w:rPr>
                <w:rFonts w:ascii="仿宋_GB2312" w:hAnsi="仿宋_GB2312" w:cs="仿宋_GB2312" w:eastAsia="仿宋_GB2312"/>
                <w:sz w:val="24"/>
                <w:color w:val="000000"/>
              </w:rPr>
              <w:t>2.工作内容包括但不限于：成交供应商对征地资产评估项目进行评估，本次评估目的为征收补偿提供参考依据。</w:t>
            </w:r>
          </w:p>
          <w:p>
            <w:pPr>
              <w:pStyle w:val="null3"/>
              <w:ind w:firstLine="480"/>
              <w:jc w:val="both"/>
            </w:pPr>
            <w:r>
              <w:rPr>
                <w:rFonts w:ascii="仿宋_GB2312" w:hAnsi="仿宋_GB2312" w:cs="仿宋_GB2312" w:eastAsia="仿宋_GB2312"/>
                <w:sz w:val="24"/>
                <w:color w:val="000000"/>
              </w:rPr>
              <w:t>采购金额：</w:t>
            </w:r>
            <w:r>
              <w:rPr>
                <w:rFonts w:ascii="仿宋_GB2312" w:hAnsi="仿宋_GB2312" w:cs="仿宋_GB2312" w:eastAsia="仿宋_GB2312"/>
                <w:sz w:val="24"/>
              </w:rPr>
              <w:t xml:space="preserve">892344.07 </w:t>
            </w:r>
            <w:r>
              <w:rPr>
                <w:rFonts w:ascii="仿宋_GB2312" w:hAnsi="仿宋_GB2312" w:cs="仿宋_GB2312" w:eastAsia="仿宋_GB2312"/>
                <w:sz w:val="24"/>
              </w:rPr>
              <w:t>元。</w:t>
            </w:r>
          </w:p>
          <w:p>
            <w:pPr>
              <w:pStyle w:val="null3"/>
              <w:ind w:firstLine="482"/>
              <w:jc w:val="left"/>
            </w:pPr>
            <w:r>
              <w:rPr>
                <w:rFonts w:ascii="仿宋_GB2312" w:hAnsi="仿宋_GB2312" w:cs="仿宋_GB2312" w:eastAsia="仿宋_GB2312"/>
                <w:sz w:val="24"/>
                <w:b/>
                <w:color w:val="000000"/>
              </w:rPr>
              <w:t>二、服务期限及地点</w:t>
            </w:r>
          </w:p>
          <w:p>
            <w:pPr>
              <w:pStyle w:val="null3"/>
              <w:ind w:firstLine="480"/>
              <w:jc w:val="left"/>
            </w:pPr>
            <w:r>
              <w:rPr>
                <w:rFonts w:ascii="仿宋_GB2312" w:hAnsi="仿宋_GB2312" w:cs="仿宋_GB2312" w:eastAsia="仿宋_GB2312"/>
                <w:sz w:val="24"/>
                <w:color w:val="000000"/>
              </w:rPr>
              <w:t>（一）服务期限：自合同签订生效之日起至项目结束。</w:t>
            </w:r>
          </w:p>
          <w:p>
            <w:pPr>
              <w:pStyle w:val="null3"/>
              <w:ind w:firstLine="480"/>
              <w:jc w:val="left"/>
            </w:pPr>
            <w:r>
              <w:rPr>
                <w:rFonts w:ascii="仿宋_GB2312" w:hAnsi="仿宋_GB2312" w:cs="仿宋_GB2312" w:eastAsia="仿宋_GB2312"/>
                <w:sz w:val="24"/>
                <w:color w:val="000000"/>
              </w:rPr>
              <w:t>（二）服务地点：采购人指定地点。</w:t>
            </w:r>
          </w:p>
          <w:p>
            <w:pPr>
              <w:pStyle w:val="null3"/>
              <w:ind w:firstLine="482"/>
              <w:jc w:val="left"/>
            </w:pPr>
            <w:r>
              <w:rPr>
                <w:rFonts w:ascii="仿宋_GB2312" w:hAnsi="仿宋_GB2312" w:cs="仿宋_GB2312" w:eastAsia="仿宋_GB2312"/>
                <w:sz w:val="24"/>
                <w:b/>
                <w:color w:val="000000"/>
              </w:rPr>
              <w:t>三、服务要求</w:t>
            </w:r>
          </w:p>
          <w:p>
            <w:pPr>
              <w:pStyle w:val="null3"/>
              <w:ind w:firstLine="480"/>
              <w:jc w:val="left"/>
            </w:pPr>
            <w:r>
              <w:rPr>
                <w:rFonts w:ascii="仿宋_GB2312" w:hAnsi="仿宋_GB2312" w:cs="仿宋_GB2312" w:eastAsia="仿宋_GB2312"/>
                <w:sz w:val="24"/>
                <w:color w:val="000000"/>
              </w:rPr>
              <w:t>对细柳街道此项目评估范围内提供专业的评估服务及政策咨询。按委托方指定的宗地范围，遵循公正、公平、公开的原则和科学的评估方法，按国家规定出具符合规范要求的评估报告。</w:t>
            </w:r>
          </w:p>
          <w:p>
            <w:pPr>
              <w:pStyle w:val="null3"/>
              <w:ind w:firstLine="482"/>
              <w:jc w:val="left"/>
            </w:pPr>
            <w:r>
              <w:rPr>
                <w:rFonts w:ascii="仿宋_GB2312" w:hAnsi="仿宋_GB2312" w:cs="仿宋_GB2312" w:eastAsia="仿宋_GB2312"/>
                <w:sz w:val="24"/>
                <w:b/>
                <w:color w:val="000000"/>
              </w:rPr>
              <w:t>四、工作要求</w:t>
            </w:r>
          </w:p>
          <w:p>
            <w:pPr>
              <w:pStyle w:val="null3"/>
              <w:ind w:firstLine="480"/>
              <w:jc w:val="left"/>
            </w:pPr>
            <w:r>
              <w:rPr>
                <w:rFonts w:ascii="仿宋_GB2312" w:hAnsi="仿宋_GB2312" w:cs="仿宋_GB2312" w:eastAsia="仿宋_GB2312"/>
                <w:sz w:val="24"/>
                <w:color w:val="000000"/>
              </w:rPr>
              <w:t>对</w:t>
            </w:r>
            <w:r>
              <w:rPr>
                <w:rFonts w:ascii="仿宋_GB2312" w:hAnsi="仿宋_GB2312" w:cs="仿宋_GB2312" w:eastAsia="仿宋_GB2312"/>
                <w:sz w:val="24"/>
                <w:color w:val="000000"/>
              </w:rPr>
              <w:t>此项目评估范围内</w:t>
            </w:r>
            <w:r>
              <w:rPr>
                <w:rFonts w:ascii="仿宋_GB2312" w:hAnsi="仿宋_GB2312" w:cs="仿宋_GB2312" w:eastAsia="仿宋_GB2312"/>
                <w:sz w:val="24"/>
                <w:color w:val="000000"/>
              </w:rPr>
              <w:t>各类型</w:t>
            </w:r>
            <w:r>
              <w:rPr>
                <w:rFonts w:ascii="仿宋_GB2312" w:hAnsi="仿宋_GB2312" w:cs="仿宋_GB2312" w:eastAsia="仿宋_GB2312"/>
                <w:sz w:val="24"/>
              </w:rPr>
              <w:t>地上建筑物</w:t>
            </w:r>
            <w:r>
              <w:rPr>
                <w:rFonts w:ascii="仿宋_GB2312" w:hAnsi="仿宋_GB2312" w:cs="仿宋_GB2312" w:eastAsia="仿宋_GB2312"/>
                <w:sz w:val="24"/>
                <w:color w:val="000000"/>
              </w:rPr>
              <w:t>及构筑物进行评估，以区域地价实际情况、近年来区域经济发展状况为基础，通过资料收集、市场调研、严密测算，开展本次评估工作。</w:t>
            </w:r>
          </w:p>
          <w:p>
            <w:pPr>
              <w:pStyle w:val="null3"/>
              <w:ind w:firstLine="480"/>
              <w:jc w:val="left"/>
            </w:pPr>
            <w:r>
              <w:rPr>
                <w:rFonts w:ascii="仿宋_GB2312" w:hAnsi="仿宋_GB2312" w:cs="仿宋_GB2312" w:eastAsia="仿宋_GB2312"/>
                <w:sz w:val="24"/>
                <w:color w:val="000000"/>
              </w:rPr>
              <w:t>具体要求如下：</w:t>
            </w:r>
          </w:p>
          <w:p>
            <w:pPr>
              <w:pStyle w:val="null3"/>
              <w:ind w:firstLine="480"/>
              <w:jc w:val="left"/>
            </w:pPr>
            <w:r>
              <w:rPr>
                <w:rFonts w:ascii="仿宋_GB2312" w:hAnsi="仿宋_GB2312" w:cs="仿宋_GB2312" w:eastAsia="仿宋_GB2312"/>
                <w:sz w:val="24"/>
                <w:color w:val="000000"/>
              </w:rPr>
              <w:t>（一）评估机构在社会上具有良好的信誉度、技术力量雄厚、保密意识强；</w:t>
            </w:r>
          </w:p>
          <w:p>
            <w:pPr>
              <w:pStyle w:val="null3"/>
              <w:ind w:firstLine="480"/>
              <w:jc w:val="left"/>
            </w:pPr>
            <w:r>
              <w:rPr>
                <w:rFonts w:ascii="仿宋_GB2312" w:hAnsi="仿宋_GB2312" w:cs="仿宋_GB2312" w:eastAsia="仿宋_GB2312"/>
                <w:sz w:val="24"/>
                <w:color w:val="000000"/>
              </w:rPr>
              <w:t>（二）评估机构在接受委托后，根据委托方提供的资料，拟定估价工作方案，收集所需背景资料；</w:t>
            </w:r>
          </w:p>
          <w:p>
            <w:pPr>
              <w:pStyle w:val="null3"/>
              <w:ind w:firstLine="480"/>
              <w:jc w:val="left"/>
            </w:pPr>
            <w:r>
              <w:rPr>
                <w:rFonts w:ascii="仿宋_GB2312" w:hAnsi="仿宋_GB2312" w:cs="仿宋_GB2312" w:eastAsia="仿宋_GB2312"/>
                <w:sz w:val="24"/>
                <w:color w:val="000000"/>
              </w:rPr>
              <w:t>（三）对评估项目实地查勘；</w:t>
            </w:r>
          </w:p>
          <w:p>
            <w:pPr>
              <w:pStyle w:val="null3"/>
              <w:ind w:firstLine="480"/>
              <w:jc w:val="left"/>
            </w:pPr>
            <w:r>
              <w:rPr>
                <w:rFonts w:ascii="仿宋_GB2312" w:hAnsi="仿宋_GB2312" w:cs="仿宋_GB2312" w:eastAsia="仿宋_GB2312"/>
                <w:sz w:val="24"/>
                <w:color w:val="000000"/>
              </w:rPr>
              <w:t>（四）选定估价方法进行评估，估价方法不少于</w:t>
            </w:r>
            <w:r>
              <w:rPr>
                <w:rFonts w:ascii="仿宋_GB2312" w:hAnsi="仿宋_GB2312" w:cs="仿宋_GB2312" w:eastAsia="仿宋_GB2312"/>
                <w:sz w:val="24"/>
                <w:color w:val="000000"/>
              </w:rPr>
              <w:t>2种且符合国家规定要求；</w:t>
            </w:r>
          </w:p>
          <w:p>
            <w:pPr>
              <w:pStyle w:val="null3"/>
              <w:ind w:firstLine="480"/>
              <w:jc w:val="left"/>
            </w:pPr>
            <w:r>
              <w:rPr>
                <w:rFonts w:ascii="仿宋_GB2312" w:hAnsi="仿宋_GB2312" w:cs="仿宋_GB2312" w:eastAsia="仿宋_GB2312"/>
                <w:sz w:val="24"/>
                <w:color w:val="000000"/>
              </w:rPr>
              <w:t>（五）根据区域市场情况、有关法律法规和政策规定，确定估价结果；</w:t>
            </w:r>
          </w:p>
          <w:p>
            <w:pPr>
              <w:pStyle w:val="null3"/>
              <w:ind w:firstLine="480"/>
              <w:jc w:val="left"/>
            </w:pPr>
            <w:r>
              <w:rPr>
                <w:rFonts w:ascii="仿宋_GB2312" w:hAnsi="仿宋_GB2312" w:cs="仿宋_GB2312" w:eastAsia="仿宋_GB2312"/>
                <w:sz w:val="24"/>
                <w:color w:val="000000"/>
              </w:rPr>
              <w:t>（六）撰写评估报告，并由两名评估师签署。</w:t>
            </w:r>
          </w:p>
          <w:p>
            <w:pPr>
              <w:pStyle w:val="null3"/>
              <w:ind w:firstLine="482"/>
              <w:jc w:val="left"/>
            </w:pPr>
            <w:r>
              <w:rPr>
                <w:rFonts w:ascii="仿宋_GB2312" w:hAnsi="仿宋_GB2312" w:cs="仿宋_GB2312" w:eastAsia="仿宋_GB2312"/>
                <w:sz w:val="24"/>
                <w:b/>
                <w:color w:val="000000"/>
              </w:rPr>
              <w:t>五、成果要求</w:t>
            </w:r>
          </w:p>
          <w:p>
            <w:pPr>
              <w:pStyle w:val="null3"/>
            </w:pPr>
            <w:r>
              <w:rPr>
                <w:rFonts w:ascii="仿宋_GB2312" w:hAnsi="仿宋_GB2312" w:cs="仿宋_GB2312" w:eastAsia="仿宋_GB2312"/>
                <w:sz w:val="24"/>
                <w:color w:val="000000"/>
              </w:rPr>
              <w:t>根据细柳街道提供的项目资料，按期完成各项工作，形成各类成果，保证技术服务成果的科学性、合理性、准确性，并确保评估成果符合国家规定及规范的要求，承担相应法律责任。根据委托方要求提供评估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细柳街道等驾坡宅基地 、等驾坡外围（南等村）、肖里村、向阳村、中祝村、沣惠渠绿道（苗木）、沣惠渠绿道（房屋）、铂力特三期等。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 本合同项下服务费用按评估报告出具进度据实结算。 2. 乙方完成单批次征拆标的物的实地查勘、数据核算并出具正式评估报告，经甲方审核确认无误后 15个工作日内，甲方按该批次评估服务对应的收费标准支付相应费用。全部评估服务完成、所有正式评估报告交付且甲方验收合格后 15个工作日内，双方完成费用对账结算，甲方一次性支付剩余未结款项</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1、本项目不专门面向中小企业。2、本项目属性为：服务 。 3、成交供应商需在领取中标通知书时提供纸质响应文件正本壹份、副本贰份、电子版壹份（U盘壹份）。4、本项目采购标的所属行业为：其他未列明行业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供应商需在项目电子化交易系统中按要求填写《供应商承诺书》完成承诺并进行电子签章。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供应商须具备住房和城乡建设部门下发的房地产估价机构备案证书三级及以上资质，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拟派项目负责人需具有国家注册房地产估价师执业资格证书，且在本单位注册，供应商需在项目电子化交易系统中按要求上传相应证明文件并进行电子签章。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基本资格条件承诺函.docx 中小企业声明函 残疾人福利性单位声明函 商务应答表 法定代表人授权委托书.docx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基本资格条件承诺函.docx 残疾人福利性单位声明函 中小企业声明函 商务应答表 响应函 法定代表人授权委托书.docx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磋商响应方案.docx 供应商特定资格证明文件.docx 基本资格条件承诺函.docx 服务内容及服务邀请应答表 中小企业声明函 商务应答表 供应商应提交的相关资格证明材料 供应商承诺书.docx 响应文件封面 供应商需要说明的其他内容.docx 残疾人福利性单位声明函 服务方案 标的清单 供应商业绩.docx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2.整体工作方案</w:t>
            </w:r>
          </w:p>
        </w:tc>
        <w:tc>
          <w:tcPr>
            <w:tcW w:type="dxa" w:w="2492"/>
          </w:tcPr>
          <w:p>
            <w:pPr>
              <w:pStyle w:val="null3"/>
            </w:pPr>
            <w:r>
              <w:rPr>
                <w:rFonts w:ascii="仿宋_GB2312" w:hAnsi="仿宋_GB2312" w:cs="仿宋_GB2312" w:eastAsia="仿宋_GB2312"/>
              </w:rPr>
              <w:t>根据供应商对制定的总体工作方案进行评分： 1.全部响应采购要求与技术要求，方案详细、科学合理得10分； 2.响应采购要求与技术要求，方案较为详细、科学合理得8分， 3.响应采购要求与技术要求，比较齐全、合理可行得6分； 4.基本响应采购要求与技术要求得4分； 5.合理性一般，可行性一般的得2分； 未提供或方案偏差过大得0分。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3.重、难点分析</w:t>
            </w:r>
          </w:p>
        </w:tc>
        <w:tc>
          <w:tcPr>
            <w:tcW w:type="dxa" w:w="2492"/>
          </w:tcPr>
          <w:p>
            <w:pPr>
              <w:pStyle w:val="null3"/>
            </w:pPr>
            <w:r>
              <w:rPr>
                <w:rFonts w:ascii="仿宋_GB2312" w:hAnsi="仿宋_GB2312" w:cs="仿宋_GB2312" w:eastAsia="仿宋_GB2312"/>
              </w:rPr>
              <w:t>根据供应商对本项目的关键性技术、重点难点的解决方案进行评分： 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4.进度计划及保障方案</w:t>
            </w:r>
          </w:p>
        </w:tc>
        <w:tc>
          <w:tcPr>
            <w:tcW w:type="dxa" w:w="2492"/>
          </w:tcPr>
          <w:p>
            <w:pPr>
              <w:pStyle w:val="null3"/>
            </w:pPr>
            <w:r>
              <w:rPr>
                <w:rFonts w:ascii="仿宋_GB2312" w:hAnsi="仿宋_GB2312" w:cs="仿宋_GB2312" w:eastAsia="仿宋_GB2312"/>
              </w:rPr>
              <w:t>根据各供应商提供的进度计划及进度保障措施进行评分： 1.进度计划及进度保障措施全面、详细、明确、可操作性强，得6分； 2.进度计划及进度保障措施较全面，但不够详细、明确、可操作性较强的，得4分； 3.进度计划及进度保障措施不全面，不够详细、明确、可操作性不强的，得2分； 4.无相关内容不得分。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5.质量控制方案</w:t>
            </w:r>
          </w:p>
        </w:tc>
        <w:tc>
          <w:tcPr>
            <w:tcW w:type="dxa" w:w="2492"/>
          </w:tcPr>
          <w:p>
            <w:pPr>
              <w:pStyle w:val="null3"/>
            </w:pPr>
            <w:r>
              <w:rPr>
                <w:rFonts w:ascii="仿宋_GB2312" w:hAnsi="仿宋_GB2312" w:cs="仿宋_GB2312" w:eastAsia="仿宋_GB2312"/>
              </w:rPr>
              <w:t>根据各供应商提供的质量保障措施、承诺进行评分： 1.质量保障措施、服务承诺全面、详细、明确、可操作性强，得7分； 2.质量保障措施、承诺较全面，不够详细、明确、可操作性较强的，得5分；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6.信息保密方案及措施</w:t>
            </w:r>
          </w:p>
        </w:tc>
        <w:tc>
          <w:tcPr>
            <w:tcW w:type="dxa" w:w="2492"/>
          </w:tcPr>
          <w:p>
            <w:pPr>
              <w:pStyle w:val="null3"/>
            </w:pPr>
            <w:r>
              <w:rPr>
                <w:rFonts w:ascii="仿宋_GB2312" w:hAnsi="仿宋_GB2312" w:cs="仿宋_GB2312" w:eastAsia="仿宋_GB2312"/>
              </w:rPr>
              <w:t>针对本项目数据及成果的信息保密出具整体方案及对应措施。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1.承诺全面、详实，服务质量配合承诺清晰明确，得6分； 2.承诺较为详实全面，服务质量配合承诺基本完善，得4分； 3.承诺不全面，服务质量配合承诺较为简略，得2分；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8.服务团队岗位设置</w:t>
            </w:r>
          </w:p>
        </w:tc>
        <w:tc>
          <w:tcPr>
            <w:tcW w:type="dxa" w:w="2492"/>
          </w:tcPr>
          <w:p>
            <w:pPr>
              <w:pStyle w:val="null3"/>
            </w:pPr>
            <w:r>
              <w:rPr>
                <w:rFonts w:ascii="仿宋_GB2312" w:hAnsi="仿宋_GB2312" w:cs="仿宋_GB2312" w:eastAsia="仿宋_GB2312"/>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4.未提供或方案偏差过大得0分。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9.服务团队人员</w:t>
            </w:r>
          </w:p>
        </w:tc>
        <w:tc>
          <w:tcPr>
            <w:tcW w:type="dxa" w:w="2492"/>
          </w:tcPr>
          <w:p>
            <w:pPr>
              <w:pStyle w:val="null3"/>
            </w:pPr>
            <w:r>
              <w:rPr>
                <w:rFonts w:ascii="仿宋_GB2312" w:hAnsi="仿宋_GB2312" w:cs="仿宋_GB2312" w:eastAsia="仿宋_GB2312"/>
              </w:rPr>
              <w:t>根据拟派服务团队的人员数量、专业技术能力、从业经历等赋分。 1.人员经验丰富、配备合理充足，证明材料齐全得6分； 2.人员有一定经验、人员配备无严重缺漏，但有证明材料得4分； 3.人员缺乏经验、配备情况无法充分完成服务工作，且证明材料不足得2分； 4.未提供或人员配备完全无法胜任本项目工作的得0分。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12.合理化建议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1.合理化建议详尽、全面、有效、合理，可实施性强，得6分； 2.合理化建议有效、合理、可实施，得4分； 3.合理化建议基本有效，但可实施性有所欠缺，得2分；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13.业绩</w:t>
            </w:r>
          </w:p>
        </w:tc>
        <w:tc>
          <w:tcPr>
            <w:tcW w:type="dxa" w:w="2492"/>
          </w:tcPr>
          <w:p>
            <w:pPr>
              <w:pStyle w:val="null3"/>
            </w:pPr>
            <w:r>
              <w:rPr>
                <w:rFonts w:ascii="仿宋_GB2312" w:hAnsi="仿宋_GB2312" w:cs="仿宋_GB2312" w:eastAsia="仿宋_GB2312"/>
              </w:rPr>
              <w:t>2022年12月1日至今同类项目的业绩，提供合同复印件并加盖公章，每提供1份有效业绩得2分，共10分，未提供的不得分。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