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版本号：XDZ2025-420-N-253、XACH2025-15520251214001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机关食堂食材及配送服务项目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XDZ2025-420-N-253、XACH2025-155</w:t>
      </w:r>
      <w:r>
        <w:br/>
      </w:r>
      <w:r>
        <w:br/>
      </w:r>
      <w:r>
        <w:br/>
      </w:r>
    </w:p>
    <w:p>
      <w:pPr>
        <w:pStyle w:val="null3"/>
        <w:jc w:val="center"/>
        <w:outlineLvl w:val="2"/>
      </w:pPr>
      <w:r>
        <w:rPr>
          <w:rFonts w:ascii="仿宋_GB2312" w:hAnsi="仿宋_GB2312" w:cs="仿宋_GB2312" w:eastAsia="仿宋_GB2312"/>
          <w:sz w:val="28"/>
          <w:b/>
        </w:rPr>
        <w:t>西安市长安区细柳街道办事处</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西安市长安区细柳街道办事处</w:t>
      </w:r>
      <w:r>
        <w:rPr>
          <w:rFonts w:ascii="仿宋_GB2312" w:hAnsi="仿宋_GB2312" w:cs="仿宋_GB2312" w:eastAsia="仿宋_GB2312"/>
        </w:rPr>
        <w:t>委托，拟对</w:t>
      </w:r>
      <w:r>
        <w:rPr>
          <w:rFonts w:ascii="仿宋_GB2312" w:hAnsi="仿宋_GB2312" w:cs="仿宋_GB2312" w:eastAsia="仿宋_GB2312"/>
        </w:rPr>
        <w:t>机关食堂食材及配送服务项目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XDZ2025-420-N-253、XACH2025-155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机关食堂食材及配送服务项目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为规范细柳街道办事处机关食堂食材管理，保障机关干部职工用餐食材安全健康，采购机关食堂食材及配送服务。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4、企业资质：供应商须具备有效的《食品经营许可证》；供应商需在项目电子化交易系统中按要求上传相应证明文件并进行电子签章。</w:t>
      </w:r>
    </w:p>
    <w:p>
      <w:pPr>
        <w:pStyle w:val="null3"/>
      </w:pPr>
      <w:r>
        <w:rPr>
          <w:rFonts w:ascii="仿宋_GB2312" w:hAnsi="仿宋_GB2312" w:cs="仿宋_GB2312" w:eastAsia="仿宋_GB2312"/>
        </w:rPr>
        <w:t>5、非联合体磋商：非联合体磋商声明；供应商需在项目电子化交易系统中按要求上传相应证明文件并进行电子签章。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西安市长安区细柳街道办事处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西安市长安区细柳街道府君庙甲字四号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029-85962302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赵苗苗、商碧红、王文文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采购包1：613,800.00元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人支付代理服务费，代理服务费参照《国家计委关于印发&lt;招标代理服务收费管理暂行办法&gt;的通知》（计价格〔2002〕1980号）和发改办价格〔2003〕857号以及发改价格〔2011〕534号文中规定的标准执行，按差额定率累进法收取费用。根据差额定率累进计费方式，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西安市长安区细柳街道办事处</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西安市长安区细柳街道办事处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西安市长安区细柳街道办事处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联系人：赵苗苗、商碧红、王文文</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为规范细柳街道办事处机关食堂食材管理，保障机关干部职工用餐食材安全健康，采购机关食堂食材及配送服务。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613,800.00</w:t>
      </w:r>
    </w:p>
    <w:p>
      <w:pPr>
        <w:pStyle w:val="null3"/>
      </w:pPr>
      <w:r>
        <w:rPr>
          <w:rFonts w:ascii="仿宋_GB2312" w:hAnsi="仿宋_GB2312" w:cs="仿宋_GB2312" w:eastAsia="仿宋_GB2312"/>
        </w:rPr>
        <w:t>采购包最高限价（元）: 613,800.00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采购金额613800元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613,800.00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标的名称：采购金额613800元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一、采购内容</w:t>
            </w:r>
          </w:p>
          <w:p>
            <w:pPr>
              <w:pStyle w:val="null3"/>
            </w:pPr>
            <w:r>
              <w:rPr>
                <w:rFonts w:ascii="仿宋_GB2312" w:hAnsi="仿宋_GB2312" w:cs="仿宋_GB2312" w:eastAsia="仿宋_GB2312"/>
                <w:sz w:val="21"/>
              </w:rPr>
              <w:t>为规范细柳街道办事处机关食堂食材管理，保障机关干部职工用餐食材安全健康，采购机关食堂食材及配送服务。</w:t>
            </w:r>
          </w:p>
          <w:p>
            <w:pPr>
              <w:pStyle w:val="null3"/>
            </w:pPr>
            <w:r>
              <w:rPr>
                <w:rFonts w:ascii="仿宋_GB2312" w:hAnsi="仿宋_GB2312" w:cs="仿宋_GB2312" w:eastAsia="仿宋_GB2312"/>
                <w:sz w:val="21"/>
              </w:rPr>
              <w:t>二、服务内容</w:t>
            </w:r>
          </w:p>
          <w:p>
            <w:pPr>
              <w:pStyle w:val="null3"/>
            </w:pPr>
            <w:r>
              <w:rPr>
                <w:rFonts w:ascii="仿宋_GB2312" w:hAnsi="仿宋_GB2312" w:cs="仿宋_GB2312" w:eastAsia="仿宋_GB2312"/>
                <w:sz w:val="21"/>
              </w:rPr>
              <w:t>1.食材采购：食材采购流程应合法合规，严控采购质量，确保食材质量和安全；食材的品类内容需达到一定的丰富程度；烹饪所用调料应符合行业规范，并严格把控质量。</w:t>
            </w:r>
          </w:p>
          <w:p>
            <w:pPr>
              <w:pStyle w:val="null3"/>
            </w:pPr>
            <w:r>
              <w:rPr>
                <w:rFonts w:ascii="仿宋_GB2312" w:hAnsi="仿宋_GB2312" w:cs="仿宋_GB2312" w:eastAsia="仿宋_GB2312"/>
                <w:sz w:val="21"/>
              </w:rPr>
              <w:t>2.配送服务：食材配送应采取安全可靠方式，包括但不限于独立包装、冷链运输等措施；配送人员及使用载具应符合国家有关食品运输要求；工作日须每日配送，节假日在不影响食材质量的情况下，可两日集中配送。</w:t>
            </w:r>
          </w:p>
          <w:p>
            <w:pPr>
              <w:pStyle w:val="null3"/>
            </w:pPr>
            <w:r>
              <w:rPr>
                <w:rFonts w:ascii="仿宋_GB2312" w:hAnsi="仿宋_GB2312" w:cs="仿宋_GB2312" w:eastAsia="仿宋_GB2312"/>
                <w:sz w:val="21"/>
              </w:rPr>
              <w:t>三、服务期限及地点</w:t>
            </w:r>
          </w:p>
          <w:p>
            <w:pPr>
              <w:pStyle w:val="null3"/>
            </w:pPr>
            <w:r>
              <w:rPr>
                <w:rFonts w:ascii="仿宋_GB2312" w:hAnsi="仿宋_GB2312" w:cs="仿宋_GB2312" w:eastAsia="仿宋_GB2312"/>
                <w:sz w:val="21"/>
              </w:rPr>
              <w:t>1.服务期限1年（以合同签订时间为准）。</w:t>
            </w:r>
          </w:p>
          <w:p>
            <w:pPr>
              <w:pStyle w:val="null3"/>
            </w:pPr>
            <w:r>
              <w:rPr>
                <w:rFonts w:ascii="仿宋_GB2312" w:hAnsi="仿宋_GB2312" w:cs="仿宋_GB2312" w:eastAsia="仿宋_GB2312"/>
                <w:sz w:val="21"/>
              </w:rPr>
              <w:t>2.机关食堂配送地点分两处，一处设在街道机关院内，一处设在街道社区（村）管理和网格化服务中心。</w:t>
            </w:r>
          </w:p>
          <w:p>
            <w:pPr>
              <w:pStyle w:val="null3"/>
            </w:pPr>
            <w:r>
              <w:rPr>
                <w:rFonts w:ascii="仿宋_GB2312" w:hAnsi="仿宋_GB2312" w:cs="仿宋_GB2312" w:eastAsia="仿宋_GB2312"/>
                <w:sz w:val="21"/>
              </w:rPr>
              <w:t>3.交货时间：供应商所订所有货品于协商时间之前送达，必须做到保质保量按时送到。</w:t>
            </w:r>
          </w:p>
          <w:p>
            <w:pPr>
              <w:pStyle w:val="null3"/>
            </w:pPr>
            <w:r>
              <w:rPr>
                <w:rFonts w:ascii="仿宋_GB2312" w:hAnsi="仿宋_GB2312" w:cs="仿宋_GB2312" w:eastAsia="仿宋_GB2312"/>
                <w:sz w:val="21"/>
              </w:rPr>
              <w:t>四、采购需求</w:t>
            </w:r>
          </w:p>
          <w:p>
            <w:pPr>
              <w:pStyle w:val="null3"/>
            </w:pPr>
            <w:r>
              <w:rPr>
                <w:rFonts w:ascii="仿宋_GB2312" w:hAnsi="仿宋_GB2312" w:cs="仿宋_GB2312" w:eastAsia="仿宋_GB2312"/>
                <w:sz w:val="21"/>
              </w:rPr>
              <w:t>（一）食材要求</w:t>
            </w:r>
          </w:p>
          <w:p>
            <w:pPr>
              <w:pStyle w:val="null3"/>
            </w:pPr>
            <w:r>
              <w:rPr>
                <w:rFonts w:ascii="仿宋_GB2312" w:hAnsi="仿宋_GB2312" w:cs="仿宋_GB2312" w:eastAsia="仿宋_GB2312"/>
                <w:sz w:val="21"/>
              </w:rPr>
              <w:t>1.品类要求：早餐须有鸡蛋，主食可有包子、馒头、花卷、煎饼、油条、面包等；稀饭可有粥、牛奶、酸奶、胡辣汤等；配菜为素菜且与当日早餐内容搭配合理。午餐周一、周三、周五面食可有面条、凉皮、米线、饸络等，搭配可有肉夹馍、素夹馍等，水果可有苹果、橘子、橙子、香蕉等；周二、周四主食为米饭，配菜可有鸡肉、鱼肉、猪肉或鸭肉等荤菜和芹菜、豆腐、莲藕、菌菇等时令蔬菜，需保证两荤两素，汤品根据当日菜品搭配合理即可。食材应满足以上菜品需求，因天气、配送等原因无法保证当日菜品的，可在同等标准内调整。</w:t>
            </w:r>
          </w:p>
          <w:p>
            <w:pPr>
              <w:pStyle w:val="null3"/>
            </w:pPr>
            <w:r>
              <w:rPr>
                <w:rFonts w:ascii="仿宋_GB2312" w:hAnsi="仿宋_GB2312" w:cs="仿宋_GB2312" w:eastAsia="仿宋_GB2312"/>
                <w:sz w:val="21"/>
              </w:rPr>
              <w:t>2.份量要求：周一至周五早餐、午餐、晚餐需保证187人份，周末及节假日早餐、午餐、晚餐需保证20人份，如遇加班倒班等特殊情况，以实际在岗人数为准供餐。用餐实行自助餐，员工可根据个人喜好选餐用餐，食用不限份量和品种。</w:t>
            </w:r>
          </w:p>
          <w:p>
            <w:pPr>
              <w:pStyle w:val="null3"/>
            </w:pPr>
            <w:r>
              <w:rPr>
                <w:rFonts w:ascii="仿宋_GB2312" w:hAnsi="仿宋_GB2312" w:cs="仿宋_GB2312" w:eastAsia="仿宋_GB2312"/>
                <w:sz w:val="21"/>
              </w:rPr>
              <w:t>3.质量要求：所有采购食材须符合国家安全健康部门和市场监管部门有关食品供应标准，具有固定生产经营场所、仓储能力及生产厂家合法经销授权。肉类、蔬菜、水果、调料、蛋奶、粮油等食材需在准时配送的前提下，保证质量优良、程度新鲜。菜品搭配应满足合理的营养和分量。大米类等级可选特级、一级或二级，面粉类等级可选特一级粉、特二级粉或标准粉，食用油类等级可选非转基因的花生油、葵花籽油、菜籽油、大豆油，肉类及水产品类等级可选新鲜或冷冻，蔬菜类等级须为新鲜有机或无机。</w:t>
            </w:r>
          </w:p>
          <w:p>
            <w:pPr>
              <w:pStyle w:val="null3"/>
            </w:pPr>
            <w:r>
              <w:rPr>
                <w:rFonts w:ascii="仿宋_GB2312" w:hAnsi="仿宋_GB2312" w:cs="仿宋_GB2312" w:eastAsia="仿宋_GB2312"/>
                <w:sz w:val="21"/>
              </w:rPr>
              <w:t>（二）配送要求</w:t>
            </w:r>
          </w:p>
          <w:p>
            <w:pPr>
              <w:pStyle w:val="null3"/>
            </w:pPr>
            <w:r>
              <w:rPr>
                <w:rFonts w:ascii="仿宋_GB2312" w:hAnsi="仿宋_GB2312" w:cs="仿宋_GB2312" w:eastAsia="仿宋_GB2312"/>
                <w:sz w:val="21"/>
              </w:rPr>
              <w:t>配送载具及人员应符合食品运送餐厅劳务人员应具备相应岗位的技能，身体状况良好，能提供有效健康证明。运输途中应严格区分不同类别的食材，不得出现散乱混装配送，分装所用封装袋须为食品级。配送车辆需专车专用，定期消毒。</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根据技术参数与性能指标配备相应人数，确保项目顺利实施。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根据技术参数与性能指标配备相应设施设备，确保项目顺利实施。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机关食堂配送地点分两处，一处设在街道机关院内，一处设在街道社区（村）管理和网格化服务中心。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月由采购人考核评分，80分为及格，如果当次考核分未达到80分（含）以上，第一次采购人对供应商下达整改通知，供应商提出可行的整改方案并经采购人同意，限期整改；第二次考核未达到要求的，采购人扣除供应商当月服务费的15%;第三次考核未达到要求的(非连续月份)，扣除当月所有服务费（考核标准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合同款按月平均支付，经采购人确认服务合格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（1）供应商送货质量问题给采购人造成损失的，由供应商承担全部责任。由于采购人保管原因造成的食品安全问题由采购人承担全部责任。 （2）采购人逾期未向供应商支付货款，供应商催要无果的，供应商有权终止向采购人供货，并催收货款。 （3）如连续三个月考核未达到要求的，或对下达两次整改通知书后仍无改进、因食材品质或配送管理不到位出现食品安全事故等重大违约行为，采购人有权终止合同，供应商应按合同总价30%的金额向采购人承担违约责任，并将相关资料一并移交采购人，供应商不得以任何理由拒绝或拖延提交有关资料，或提供不真实、不准确、不完整的资料。 （4）任何一方要终止合同都应提前一周(即：7天)以书面方式通知对方。 （5）供应商严格按照采购人订单指定采购食材，如因采购人订单失误造成供应商采购货品错误，供应商不承担责任。 解决争议的方法：本合同在履行过程中发生的争议，由采购人、供应商双方当事人协商解决，协商不成的按下列第②种方式解决： ①提交西安仲裁委员会仲裁； ②依法向采购人所在地人民法院起诉。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报价为完成本项目磋商文件中所提出的工作范围及要求的全部内容，并达到国家及采购人验收标准而产生的所有费用，包括但不限于食材采购、仓储、运杂费、配送费、装卸费、检验费、包装费、人工费、培训费、管理费、招标代理服务费、利润、风险、税金等在项目实施过程中所发生的所有费用，任何错报、漏报由供应商自行负责。 3.4.2采购标的对应的所属行业：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3.4.3成交人领取成交通知书时须向代理机构提交纸质版磋商响应文件：正本壹份、副本壹份、电子版（U盘）贰份。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 分项报价附表.docx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响应文件按规定格式签字、盖章；</w:t>
            </w:r>
          </w:p>
        </w:tc>
        <w:tc>
          <w:tcPr>
            <w:tcW w:type="dxa" w:w="1661"/>
          </w:tcPr>
          <w:p>
            <w:pPr>
              <w:pStyle w:val="null3"/>
            </w:pPr>
            <w:r>
              <w:rPr>
                <w:rFonts w:ascii="仿宋_GB2312" w:hAnsi="仿宋_GB2312" w:cs="仿宋_GB2312" w:eastAsia="仿宋_GB2312"/>
              </w:rPr>
              <w:t>首轮报价表 分项报价表 中小企业声明函 商务应答表 服务内容及服务要求应答表 承诺书.docx 资格证明文件.docx 分项报价附表.docx 响应文件封面 业绩证明文件及响应方案说明.docx 残疾人福利性单位声明函 投标（响应）函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投标（响应）函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首轮报价表 分项报价表 中小企业声明函 商务应答表 服务内容及服务要求应答表 承诺书.docx 资格证明文件.docx 分项报价附表.docx 响应文件封面 业绩证明文件及响应方案说明.docx 残疾人福利性单位声明函 投标（响应）函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首轮报价表 分项报价表 中小企业声明函 商务应答表 服务内容及服务要求应答表 承诺书.docx 资格证明文件.docx 分项报价附表.docx 响应文件封面 业绩证明文件及响应方案说明.docx 残疾人福利性单位声明函 投标（响应）函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首轮报价表 分项报价表 中小企业声明函 商务应答表 服务内容及服务要求应答表 承诺书.docx 资格证明文件.docx 分项报价附表.docx 响应文件封面 业绩证明文件及响应方案说明.docx 残疾人福利性单位声明函 投标（响应）函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首轮报价表 分项报价表 中小企业声明函 商务应答表 服务内容及服务要求应答表 承诺书.docx 资格证明文件.docx 分项报价附表.docx 响应文件封面 业绩证明文件及响应方案说明.docx 残疾人福利性单位声明函 投标（响应）函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提供2022年以来类似项目业绩合同（以合同签订时间为准），每份计2分，满分10分。（注：以上证明文件在磋商响应文件中附业绩合同扫描件并加盖公司公章。）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食材供货总体方案</w:t>
            </w:r>
          </w:p>
        </w:tc>
        <w:tc>
          <w:tcPr>
            <w:tcW w:type="dxa" w:w="2492"/>
          </w:tcPr>
          <w:p>
            <w:pPr>
              <w:pStyle w:val="null3"/>
            </w:pPr>
            <w:r>
              <w:rPr>
                <w:rFonts w:ascii="仿宋_GB2312" w:hAnsi="仿宋_GB2312" w:cs="仿宋_GB2312" w:eastAsia="仿宋_GB2312"/>
              </w:rPr>
              <w:t>针对本项目提供食材供货总体方案，包含采购需求分析，采购计划制定，采买时间计划，服务流程安排等。本项满分8分，未提供不得分。方案内容完整，可实施性强，具有针对性计（5-8]分；方案内容基本完整，虽有内容但不完善、不合理，针对性不够清晰明确计（3-5]分；方案内容缺失，可实施性低，针对性弱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确保食材质量的技术保证措施</w:t>
            </w:r>
          </w:p>
        </w:tc>
        <w:tc>
          <w:tcPr>
            <w:tcW w:type="dxa" w:w="2492"/>
          </w:tcPr>
          <w:p>
            <w:pPr>
              <w:pStyle w:val="null3"/>
            </w:pPr>
            <w:r>
              <w:rPr>
                <w:rFonts w:ascii="仿宋_GB2312" w:hAnsi="仿宋_GB2312" w:cs="仿宋_GB2312" w:eastAsia="仿宋_GB2312"/>
              </w:rPr>
              <w:t>确保食材质量的技术保证措施，包含食材来源渠道证明、采购质量标准及要求、检验检疫流程、检查方案（抽样检查及日常检查）、食品来源追溯体系等。本项满分10分，未提供不得分。措施内容完整，可实施性强，具有针对性计（7-10]分；措施内容基本完整,虽有内容但不完善、不合理，针对性不够清晰明确计（4-7]分；措施内容简单，可实施性低，针对性弱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提供食品安全管理方案。有详细的安全预防方案、安全责任划分标准及安全事故的应对措施。本项满分10分，未提供不计分。方案内容完整，可实施性强，具有针对性计（7-10]分；方案内容基本完整，虽有内容但不完善、不合理，针对性不够清晰明确计（4-7]分；方案内容简单，可实施性低，针对性弱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食品卫生保证措施</w:t>
            </w:r>
          </w:p>
        </w:tc>
        <w:tc>
          <w:tcPr>
            <w:tcW w:type="dxa" w:w="2492"/>
          </w:tcPr>
          <w:p>
            <w:pPr>
              <w:pStyle w:val="null3"/>
            </w:pPr>
            <w:r>
              <w:rPr>
                <w:rFonts w:ascii="仿宋_GB2312" w:hAnsi="仿宋_GB2312" w:cs="仿宋_GB2312" w:eastAsia="仿宋_GB2312"/>
              </w:rPr>
              <w:t>提供食品卫生保证措施。包含食品卫生要求，仓储环境卫生、配送车辆卫生、设施设备卫生、食品包装及人员卫生标准，本项满分10分，未提供不得分。措施内容完整，可实施性强，具有针对性计（7-10]分；措施内容基本完整,虽有内容但不完善、不合理，针对性不够清晰明确计（4-7]分；措施内容简单，可实施性低，针对性弱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食材配送方案</w:t>
            </w:r>
          </w:p>
        </w:tc>
        <w:tc>
          <w:tcPr>
            <w:tcW w:type="dxa" w:w="2492"/>
          </w:tcPr>
          <w:p>
            <w:pPr>
              <w:pStyle w:val="null3"/>
            </w:pPr>
            <w:r>
              <w:rPr>
                <w:rFonts w:ascii="仿宋_GB2312" w:hAnsi="仿宋_GB2312" w:cs="仿宋_GB2312" w:eastAsia="仿宋_GB2312"/>
              </w:rPr>
              <w:t>提供食材配送方案，包括仓储、运输、派送、运输路线规划等。本项满分8分。未提供不得分。方案内容完整，可实施性强，具有针对性计（5-8]分；方案内容基本完整，虽有内容但不完善、不合理，针对性不够清晰明确计（3-5]分；方案内容缺失，可实施性低，针对性弱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拟投入本项目人员情况</w:t>
            </w:r>
          </w:p>
        </w:tc>
        <w:tc>
          <w:tcPr>
            <w:tcW w:type="dxa" w:w="2492"/>
          </w:tcPr>
          <w:p>
            <w:pPr>
              <w:pStyle w:val="null3"/>
            </w:pPr>
            <w:r>
              <w:rPr>
                <w:rFonts w:ascii="仿宋_GB2312" w:hAnsi="仿宋_GB2312" w:cs="仿宋_GB2312" w:eastAsia="仿宋_GB2312"/>
              </w:rPr>
              <w:t>拟投入本项目人员情况，包含人员组织架构、拟配备人数、工作经验、健康状况、岗位职责、管理制度。本项满分8分，未提供不得分。组织架构合理，人员数量充足、经验丰富、职责制度清晰计（5-8]分；组织架构基本合理，人员数量较为充足、经验尚佳、职责制度比较清晰计（3-5]分；组织架构不合理，人员数量缺失，经验欠缺，职责制度模糊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拟投入本项目的服务设备情况</w:t>
            </w:r>
          </w:p>
        </w:tc>
        <w:tc>
          <w:tcPr>
            <w:tcW w:type="dxa" w:w="2492"/>
          </w:tcPr>
          <w:p>
            <w:pPr>
              <w:pStyle w:val="null3"/>
            </w:pPr>
            <w:r>
              <w:rPr>
                <w:rFonts w:ascii="仿宋_GB2312" w:hAnsi="仿宋_GB2312" w:cs="仿宋_GB2312" w:eastAsia="仿宋_GB2312"/>
              </w:rPr>
              <w:t>拟投入本项目的服务设备情况，包括食材存储设备、配送车辆及其他设备等。本项满分8分，未提供不得分。投入设备清单详细完整，数量充足，配备合理计[5-8]分；投入设备清单简单，数量配备基本合理计[3-5)分；投入设备清单缺失，数量配备不合理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具有完善的突发状况的处理预案</w:t>
            </w:r>
          </w:p>
        </w:tc>
        <w:tc>
          <w:tcPr>
            <w:tcW w:type="dxa" w:w="2492"/>
          </w:tcPr>
          <w:p>
            <w:pPr>
              <w:pStyle w:val="null3"/>
            </w:pPr>
            <w:r>
              <w:rPr>
                <w:rFonts w:ascii="仿宋_GB2312" w:hAnsi="仿宋_GB2312" w:cs="仿宋_GB2312" w:eastAsia="仿宋_GB2312"/>
              </w:rPr>
              <w:t>具有完善的突发状况的处理预案，包括但不限于针对采购人临时采购需求、恶劣天气影响、突发交通问题等特殊情况的处理预案、配送服务过程中可能发生的突发状况等。本项满分8分，未提供不得分。处理预案内容完整，可实施性强，具有针对性计（5-8]分；处理预案内容基本完整，虽有内容但不完善、不合理，针对性不够清晰明确计（3-5]分；处理预案内容简单，可实施性低，针对性弱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承诺完全响应磋商文件和合同条款的要求，严格按照服务方案执行，根据其对服务期的质量保证、交付时间、人员到位情况、不能完全履行服务承诺时接受处罚等情况做出实质性承诺。本项满分10分，未提供不得分。服务承诺可操作性强、细节描述详细、完整优越计（7-10］分；内容基本完整,虽有内容但不完善、不合理，细节考虑不够全面计（3-7］分；内容简单，不易操作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分项报价附表.docx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采购标的对应的所属行业：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分项报价附表.docx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详见附件：投标（响应）函</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详见附件：分项报价附表.docx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