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50ED5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napToGrid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36"/>
          <w:shd w:val="clear" w:color="auto" w:fill="FFFFFF"/>
        </w:rPr>
        <w:t>业绩证明文件及响应方案说明</w:t>
      </w:r>
    </w:p>
    <w:p w14:paraId="63A3192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一、业绩证明文件</w:t>
      </w:r>
      <w:bookmarkEnd w:id="0"/>
    </w:p>
    <w:p w14:paraId="3E644274">
      <w:pPr>
        <w:spacing w:line="360" w:lineRule="auto"/>
        <w:rPr>
          <w:rFonts w:hint="eastAsia" w:ascii="仿宋" w:hAnsi="仿宋" w:eastAsia="仿宋" w:cs="仿宋"/>
          <w:color w:val="auto"/>
          <w:sz w:val="28"/>
        </w:rPr>
      </w:pPr>
    </w:p>
    <w:p w14:paraId="1F7EAB6D">
      <w:pPr>
        <w:spacing w:line="360" w:lineRule="auto"/>
        <w:rPr>
          <w:rFonts w:hint="eastAsia" w:ascii="仿宋" w:hAnsi="仿宋" w:eastAsia="仿宋" w:cs="仿宋"/>
          <w:color w:val="auto"/>
          <w:sz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u w:val="single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2BE556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0C9A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AFF4F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4638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69509D1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599E7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A2CB7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B38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26AC46C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16AF1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72913B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7352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E4D2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5ECD4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E552E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225F3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FABC0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EDA90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182D72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70CA1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63C64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D94C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9EB40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16CA9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EACEC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C97FC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1D259B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F6F9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813B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9AE7D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AACFD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B62F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E7DE4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C9DC8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1F8630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1FEE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E6EA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C8DAC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EAE2E0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6A8A1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FF36A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CECB2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7DEFF6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5778D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3AC53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532C3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D2C5A1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504AC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64698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99BA1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34156B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8FC8E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FED17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F13DC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97418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B4B47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44925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905DF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53D32C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EB19B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86C80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8055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061A1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EB33B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F0A68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D95DA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70CA0C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E7FD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57D76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CDBB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E32D3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D2314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7C12F6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B3D41A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  <w:tr w14:paraId="66509C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6A3DDC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95200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52CF2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8BB0EF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EB15A5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3EF8C8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BBDA29">
            <w:pPr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lang w:eastAsia="en-US"/>
              </w:rPr>
            </w:pPr>
          </w:p>
        </w:tc>
      </w:tr>
    </w:tbl>
    <w:p w14:paraId="64C6CCEE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</w:rPr>
      </w:pPr>
      <w:r>
        <w:rPr>
          <w:rFonts w:hint="eastAsia" w:ascii="仿宋" w:hAnsi="仿宋" w:eastAsia="仿宋" w:cs="仿宋"/>
          <w:b/>
          <w:color w:val="auto"/>
          <w:sz w:val="28"/>
        </w:rPr>
        <w:t>注：1.若表格不够用，各供应商可按此表自行复制；</w:t>
      </w:r>
    </w:p>
    <w:p w14:paraId="08469F3A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</w:rPr>
      </w:pPr>
      <w:r>
        <w:rPr>
          <w:rFonts w:hint="eastAsia" w:ascii="仿宋" w:hAnsi="仿宋" w:eastAsia="仿宋" w:cs="仿宋"/>
          <w:b/>
          <w:color w:val="auto"/>
          <w:sz w:val="28"/>
        </w:rPr>
        <w:t>2.提供2022年以来类似项目业绩合同（以合同签订时间为准）；</w:t>
      </w:r>
    </w:p>
    <w:p w14:paraId="374F8F5C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附业绩合同扫描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件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并加盖公章</w:t>
      </w:r>
      <w:r>
        <w:rPr>
          <w:rFonts w:hint="eastAsia" w:ascii="仿宋" w:hAnsi="仿宋" w:eastAsia="仿宋" w:cs="仿宋"/>
          <w:b/>
          <w:color w:val="auto"/>
          <w:sz w:val="28"/>
        </w:rPr>
        <w:t>。</w:t>
      </w:r>
    </w:p>
    <w:p w14:paraId="4B5B3A94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39095CF0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2CBA5F7E">
      <w:pPr>
        <w:tabs>
          <w:tab w:val="left" w:pos="2394"/>
        </w:tabs>
        <w:spacing w:line="360" w:lineRule="auto"/>
        <w:ind w:firstLine="2520" w:firstLineChars="9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6DF74CA3">
      <w:pPr>
        <w:pStyle w:val="4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</w:rPr>
        <w:t>二、响应方案说明</w:t>
      </w:r>
    </w:p>
    <w:p w14:paraId="6D9F003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1、供应商企业简介；</w:t>
      </w:r>
    </w:p>
    <w:p w14:paraId="66E59C0B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食材供货总体方案</w:t>
      </w:r>
    </w:p>
    <w:p w14:paraId="11D014B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确保食材质量的技术保证措施</w:t>
      </w:r>
    </w:p>
    <w:p w14:paraId="7566072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食品安全管理方案</w:t>
      </w:r>
    </w:p>
    <w:p w14:paraId="6B0471D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食品卫生保证措施</w:t>
      </w:r>
    </w:p>
    <w:p w14:paraId="7AD21EE2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食材配送方案</w:t>
      </w:r>
    </w:p>
    <w:p w14:paraId="4B39EE5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拟投入本项目人员情况</w:t>
      </w:r>
    </w:p>
    <w:p w14:paraId="2FD0693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拟投入本项目的服务设备情况</w:t>
      </w:r>
    </w:p>
    <w:p w14:paraId="721A02F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具有完善的突发状况的处理预案</w:t>
      </w:r>
    </w:p>
    <w:p w14:paraId="6F883629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服务承诺</w:t>
      </w:r>
    </w:p>
    <w:p w14:paraId="4761FEC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、供应商认为有必要提供而增加其竞争性的其它资料。</w:t>
      </w:r>
    </w:p>
    <w:p w14:paraId="36115F7A">
      <w:pPr>
        <w:spacing w:line="360" w:lineRule="auto"/>
        <w:rPr>
          <w:rFonts w:hint="eastAsia" w:ascii="仿宋" w:hAnsi="仿宋" w:eastAsia="仿宋" w:cs="仿宋"/>
          <w:color w:val="auto"/>
          <w:szCs w:val="21"/>
        </w:rPr>
      </w:pPr>
    </w:p>
    <w:p w14:paraId="148B2F2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72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宋体" w:eastAsia="宋体" w:cs="仿宋"/>
      <w:b/>
      <w:bCs/>
      <w:color w:val="000000"/>
      <w:kern w:val="0"/>
      <w:sz w:val="40"/>
      <w:szCs w:val="40"/>
    </w:rPr>
  </w:style>
  <w:style w:type="paragraph" w:customStyle="1" w:styleId="3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2025-12-14T05:45:25Z</dcterms:created>
  <dc:creator>ASUS</dc:creator>
  <cp:lastModifiedBy>Cat</cp:lastModifiedBy>
  <dcterms:modified xsi:type="dcterms:W3CDTF">2025-12-14T05:46:50Z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E5B29310776C4681ACED548406E41DDA_12</vt:lpwstr>
  </property>
</Properties>
</file>