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D6A85">
      <w:pPr>
        <w:pStyle w:val="11"/>
        <w:spacing w:line="360" w:lineRule="auto"/>
        <w:jc w:val="center"/>
        <w:outlineLvl w:val="1"/>
        <w:rPr>
          <w:rFonts w:hint="eastAsia" w:ascii="仿宋" w:hAnsi="仿宋" w:eastAsia="仿宋" w:cs="仿宋"/>
          <w:color w:val="auto"/>
          <w:sz w:val="28"/>
          <w:szCs w:val="28"/>
          <w:lang w:eastAsia="zh-CN"/>
        </w:rPr>
      </w:pPr>
    </w:p>
    <w:p w14:paraId="35B2F873">
      <w:pPr>
        <w:pStyle w:val="2"/>
        <w:rPr>
          <w:rFonts w:hint="eastAsia" w:ascii="仿宋" w:hAnsi="仿宋" w:eastAsia="仿宋" w:cs="仿宋"/>
          <w:color w:val="auto"/>
          <w:highlight w:val="none"/>
        </w:rPr>
      </w:pPr>
    </w:p>
    <w:p w14:paraId="70D4A87C">
      <w:pPr>
        <w:pStyle w:val="2"/>
        <w:rPr>
          <w:rFonts w:hint="eastAsia" w:ascii="仿宋" w:hAnsi="仿宋" w:eastAsia="仿宋" w:cs="仿宋"/>
          <w:color w:val="auto"/>
          <w:highlight w:val="none"/>
        </w:rPr>
      </w:pPr>
    </w:p>
    <w:p w14:paraId="12444DB7">
      <w:pPr>
        <w:rPr>
          <w:rFonts w:hint="eastAsia" w:ascii="仿宋" w:hAnsi="仿宋" w:eastAsia="仿宋" w:cs="仿宋"/>
          <w:color w:val="auto"/>
          <w:highlight w:val="none"/>
        </w:rPr>
      </w:pPr>
    </w:p>
    <w:p w14:paraId="7BB36BAC">
      <w:pPr>
        <w:spacing w:line="600" w:lineRule="auto"/>
        <w:jc w:val="center"/>
        <w:rPr>
          <w:rFonts w:hint="eastAsia" w:ascii="仿宋" w:hAnsi="仿宋" w:eastAsia="仿宋" w:cs="仿宋"/>
          <w:b/>
          <w:bCs/>
          <w:color w:val="auto"/>
          <w:kern w:val="0"/>
          <w:sz w:val="44"/>
          <w:szCs w:val="44"/>
          <w:highlight w:val="none"/>
          <w:lang w:val="en-US" w:eastAsia="zh-CN" w:bidi="ar-SA"/>
        </w:rPr>
      </w:pPr>
      <w:r>
        <w:rPr>
          <w:rFonts w:hint="eastAsia" w:ascii="仿宋" w:hAnsi="仿宋" w:eastAsia="仿宋" w:cs="仿宋"/>
          <w:b/>
          <w:bCs/>
          <w:color w:val="auto"/>
          <w:kern w:val="0"/>
          <w:sz w:val="44"/>
          <w:szCs w:val="44"/>
          <w:highlight w:val="none"/>
          <w:lang w:val="en-US" w:eastAsia="zh-CN" w:bidi="ar-SA"/>
        </w:rPr>
        <w:t>机关食堂食材及配送服务项目</w:t>
      </w:r>
    </w:p>
    <w:p w14:paraId="43009CC6">
      <w:pPr>
        <w:pStyle w:val="7"/>
        <w:ind w:firstLine="280"/>
        <w:rPr>
          <w:rFonts w:hint="eastAsia"/>
          <w:color w:val="auto"/>
          <w:highlight w:val="none"/>
        </w:rPr>
      </w:pPr>
    </w:p>
    <w:p w14:paraId="4FB53B49">
      <w:pPr>
        <w:pStyle w:val="7"/>
        <w:ind w:firstLine="280"/>
        <w:rPr>
          <w:rFonts w:hint="eastAsia"/>
          <w:color w:val="auto"/>
          <w:highlight w:val="none"/>
        </w:rPr>
      </w:pPr>
    </w:p>
    <w:p w14:paraId="53B2ED53">
      <w:pPr>
        <w:jc w:val="center"/>
        <w:rPr>
          <w:rFonts w:hint="eastAsia" w:ascii="仿宋" w:hAnsi="仿宋" w:eastAsia="仿宋" w:cs="仿宋"/>
          <w:b/>
          <w:color w:val="auto"/>
          <w:sz w:val="56"/>
          <w:szCs w:val="56"/>
          <w:highlight w:val="none"/>
        </w:rPr>
      </w:pPr>
      <w:r>
        <w:rPr>
          <w:rFonts w:hint="eastAsia" w:ascii="仿宋" w:hAnsi="仿宋" w:eastAsia="仿宋" w:cs="仿宋"/>
          <w:b/>
          <w:color w:val="auto"/>
          <w:sz w:val="56"/>
          <w:szCs w:val="56"/>
          <w:highlight w:val="none"/>
        </w:rPr>
        <w:t>合同主要条款</w:t>
      </w:r>
    </w:p>
    <w:p w14:paraId="149E94D0">
      <w:pPr>
        <w:pStyle w:val="4"/>
        <w:rPr>
          <w:rFonts w:hint="eastAsia" w:ascii="仿宋" w:hAnsi="仿宋" w:eastAsia="仿宋" w:cs="仿宋"/>
          <w:color w:val="auto"/>
          <w:highlight w:val="none"/>
        </w:rPr>
      </w:pPr>
      <w:r>
        <w:rPr>
          <w:rFonts w:hint="eastAsia" w:ascii="仿宋" w:hAnsi="仿宋" w:eastAsia="仿宋" w:cs="仿宋"/>
          <w:b/>
          <w:color w:val="auto"/>
          <w:kern w:val="0"/>
          <w:sz w:val="24"/>
          <w:szCs w:val="24"/>
          <w:highlight w:val="none"/>
        </w:rPr>
        <w:t>（本格式条款供双方签订合同参考，可根据项目的实际情况增加条款和内容）</w:t>
      </w:r>
    </w:p>
    <w:p w14:paraId="6978736B">
      <w:pPr>
        <w:jc w:val="center"/>
        <w:rPr>
          <w:rFonts w:hint="eastAsia" w:ascii="仿宋" w:hAnsi="仿宋" w:eastAsia="仿宋" w:cs="仿宋"/>
          <w:b/>
          <w:color w:val="auto"/>
          <w:sz w:val="48"/>
          <w:szCs w:val="48"/>
          <w:highlight w:val="none"/>
        </w:rPr>
      </w:pPr>
    </w:p>
    <w:p w14:paraId="228EA410">
      <w:pPr>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12CB4E50">
      <w:pPr>
        <w:rPr>
          <w:rFonts w:hint="eastAsia" w:ascii="仿宋" w:hAnsi="仿宋" w:eastAsia="仿宋" w:cs="仿宋"/>
          <w:b/>
          <w:color w:val="auto"/>
          <w:highlight w:val="none"/>
        </w:rPr>
      </w:pPr>
    </w:p>
    <w:p w14:paraId="58079C1C">
      <w:pPr>
        <w:rPr>
          <w:rFonts w:hint="eastAsia" w:ascii="仿宋" w:hAnsi="仿宋" w:eastAsia="仿宋" w:cs="仿宋"/>
          <w:b/>
          <w:color w:val="auto"/>
          <w:highlight w:val="none"/>
        </w:rPr>
      </w:pPr>
    </w:p>
    <w:p w14:paraId="79E1F0B4">
      <w:pPr>
        <w:rPr>
          <w:rFonts w:hint="eastAsia" w:ascii="仿宋" w:hAnsi="仿宋" w:eastAsia="仿宋" w:cs="仿宋"/>
          <w:b/>
          <w:color w:val="auto"/>
          <w:highlight w:val="none"/>
        </w:rPr>
      </w:pPr>
    </w:p>
    <w:p w14:paraId="1370F677">
      <w:pPr>
        <w:rPr>
          <w:rFonts w:hint="eastAsia" w:ascii="仿宋" w:hAnsi="仿宋" w:eastAsia="仿宋" w:cs="仿宋"/>
          <w:b/>
          <w:color w:val="auto"/>
          <w:highlight w:val="none"/>
        </w:rPr>
      </w:pPr>
    </w:p>
    <w:p w14:paraId="2F2DB4C9">
      <w:pPr>
        <w:rPr>
          <w:rFonts w:hint="eastAsia" w:ascii="仿宋" w:hAnsi="仿宋" w:eastAsia="仿宋" w:cs="仿宋"/>
          <w:b/>
          <w:color w:val="auto"/>
          <w:highlight w:val="none"/>
        </w:rPr>
      </w:pPr>
    </w:p>
    <w:p w14:paraId="03D5F7A2">
      <w:pPr>
        <w:rPr>
          <w:rFonts w:hint="eastAsia" w:ascii="仿宋" w:hAnsi="仿宋" w:eastAsia="仿宋" w:cs="仿宋"/>
          <w:b/>
          <w:color w:val="auto"/>
          <w:sz w:val="48"/>
          <w:szCs w:val="48"/>
          <w:highlight w:val="none"/>
        </w:rPr>
      </w:pPr>
    </w:p>
    <w:p w14:paraId="2AACBEC0">
      <w:pPr>
        <w:pStyle w:val="2"/>
        <w:rPr>
          <w:rFonts w:hint="eastAsia"/>
          <w:color w:val="auto"/>
          <w:highlight w:val="none"/>
        </w:rPr>
      </w:pPr>
    </w:p>
    <w:p w14:paraId="00C5243A">
      <w:pPr>
        <w:pStyle w:val="2"/>
        <w:rPr>
          <w:rFonts w:hint="eastAsia" w:ascii="仿宋" w:hAnsi="仿宋" w:eastAsia="仿宋" w:cs="仿宋"/>
          <w:color w:val="auto"/>
          <w:highlight w:val="none"/>
        </w:rPr>
      </w:pPr>
    </w:p>
    <w:p w14:paraId="777F133D">
      <w:pPr>
        <w:spacing w:line="360" w:lineRule="auto"/>
        <w:ind w:firstLine="2204" w:firstLineChars="600"/>
        <w:jc w:val="both"/>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lang w:eastAsia="zh-CN"/>
        </w:rPr>
        <w:t>采购人</w:t>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r>
        <w:rPr>
          <w:rFonts w:hint="eastAsia" w:ascii="仿宋" w:hAnsi="仿宋" w:eastAsia="仿宋" w:cs="仿宋"/>
          <w:color w:val="auto"/>
          <w:spacing w:val="23"/>
          <w:sz w:val="28"/>
          <w:szCs w:val="28"/>
          <w:highlight w:val="none"/>
          <w:u w:val="single"/>
          <w:lang w:val="en-US" w:eastAsia="zh-CN"/>
        </w:rPr>
        <w:t xml:space="preserve">  </w:t>
      </w:r>
      <w:r>
        <w:rPr>
          <w:rFonts w:hint="eastAsia" w:ascii="仿宋" w:hAnsi="仿宋" w:eastAsia="仿宋" w:cs="仿宋"/>
          <w:color w:val="auto"/>
          <w:spacing w:val="23"/>
          <w:sz w:val="28"/>
          <w:szCs w:val="28"/>
          <w:highlight w:val="none"/>
          <w:u w:val="single"/>
        </w:rPr>
        <w:t></w:t>
      </w:r>
    </w:p>
    <w:p w14:paraId="17A70D40">
      <w:pPr>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b/>
          <w:color w:val="auto"/>
          <w:spacing w:val="23"/>
          <w:sz w:val="32"/>
          <w:szCs w:val="32"/>
          <w:highlight w:val="none"/>
          <w:lang w:eastAsia="zh-CN"/>
        </w:rPr>
        <w:t>成交人</w:t>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64521810">
      <w:pPr>
        <w:spacing w:line="500" w:lineRule="atLeast"/>
        <w:jc w:val="center"/>
        <w:rPr>
          <w:rFonts w:hint="eastAsia" w:ascii="仿宋" w:hAnsi="仿宋" w:eastAsia="仿宋" w:cs="仿宋"/>
          <w:b/>
          <w:bCs/>
          <w:color w:val="auto"/>
          <w:sz w:val="40"/>
          <w:szCs w:val="40"/>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42DECDEA">
      <w:pPr>
        <w:rPr>
          <w:rFonts w:hint="eastAsia" w:ascii="仿宋" w:hAnsi="仿宋" w:eastAsia="仿宋" w:cs="仿宋"/>
          <w:b/>
          <w:snapToGrid w:val="0"/>
          <w:color w:val="auto"/>
          <w:kern w:val="0"/>
          <w:sz w:val="28"/>
          <w:szCs w:val="28"/>
        </w:rPr>
      </w:pPr>
      <w:r>
        <w:rPr>
          <w:rFonts w:hint="eastAsia" w:ascii="仿宋" w:hAnsi="仿宋" w:eastAsia="仿宋" w:cs="仿宋"/>
          <w:b/>
          <w:snapToGrid w:val="0"/>
          <w:color w:val="auto"/>
          <w:kern w:val="0"/>
          <w:sz w:val="28"/>
          <w:szCs w:val="28"/>
        </w:rPr>
        <w:br w:type="page"/>
      </w:r>
    </w:p>
    <w:p w14:paraId="726DD269">
      <w:pPr>
        <w:spacing w:line="360" w:lineRule="auto"/>
        <w:ind w:firstLine="562" w:firstLineChars="200"/>
        <w:rPr>
          <w:rFonts w:ascii="仿宋" w:hAnsi="仿宋" w:eastAsia="仿宋" w:cs="宋体"/>
          <w:b/>
          <w:bCs/>
          <w:color w:val="auto"/>
          <w:sz w:val="28"/>
          <w:szCs w:val="28"/>
        </w:rPr>
      </w:pPr>
      <w:r>
        <w:rPr>
          <w:rFonts w:hint="eastAsia" w:ascii="仿宋" w:hAnsi="仿宋" w:eastAsia="仿宋" w:cs="宋体"/>
          <w:b/>
          <w:bCs/>
          <w:color w:val="auto"/>
          <w:sz w:val="28"/>
          <w:szCs w:val="28"/>
        </w:rPr>
        <w:t>甲方：</w:t>
      </w:r>
      <w:r>
        <w:rPr>
          <w:rFonts w:hint="eastAsia" w:ascii="仿宋" w:hAnsi="仿宋" w:eastAsia="仿宋" w:cs="宋体"/>
          <w:b/>
          <w:bCs/>
          <w:color w:val="auto"/>
          <w:sz w:val="28"/>
          <w:szCs w:val="28"/>
          <w:u w:val="single"/>
          <w:lang w:val="zh-TW"/>
        </w:rPr>
        <w:t xml:space="preserve">                     </w:t>
      </w:r>
    </w:p>
    <w:p w14:paraId="7D0FF6A7">
      <w:pPr>
        <w:spacing w:line="360" w:lineRule="auto"/>
        <w:ind w:firstLine="562" w:firstLineChars="200"/>
        <w:rPr>
          <w:rFonts w:ascii="仿宋" w:hAnsi="仿宋" w:eastAsia="仿宋"/>
          <w:color w:val="auto"/>
          <w:sz w:val="28"/>
          <w:szCs w:val="28"/>
        </w:rPr>
      </w:pPr>
      <w:r>
        <w:rPr>
          <w:rFonts w:hint="eastAsia" w:ascii="仿宋" w:hAnsi="仿宋" w:eastAsia="仿宋" w:cs="宋体"/>
          <w:b/>
          <w:bCs/>
          <w:color w:val="auto"/>
          <w:sz w:val="28"/>
          <w:szCs w:val="28"/>
        </w:rPr>
        <w:t>乙方：</w:t>
      </w:r>
      <w:r>
        <w:rPr>
          <w:rFonts w:hint="eastAsia" w:ascii="仿宋" w:hAnsi="仿宋" w:eastAsia="仿宋" w:cs="宋体"/>
          <w:b/>
          <w:bCs/>
          <w:color w:val="auto"/>
          <w:sz w:val="28"/>
          <w:szCs w:val="28"/>
          <w:u w:val="single"/>
          <w:lang w:val="zh-TW"/>
        </w:rPr>
        <w:t xml:space="preserve">                     </w:t>
      </w:r>
    </w:p>
    <w:p w14:paraId="1C54A795">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依照《中华人民共和国民法典》、《中华人民共和国政府采购法》及实施条例等法律、行政法规，遵循平等、自愿、公平和诚实信用的原则，就下述项目范围与相关服务事项协商一致，订立本合同。</w:t>
      </w:r>
    </w:p>
    <w:p w14:paraId="51C48A3F">
      <w:pPr>
        <w:spacing w:line="360" w:lineRule="auto"/>
        <w:ind w:firstLine="562" w:firstLineChars="200"/>
        <w:rPr>
          <w:rFonts w:hint="eastAsia" w:ascii="仿宋" w:hAnsi="仿宋" w:eastAsia="仿宋" w:cs="宋体"/>
          <w:b/>
          <w:bCs/>
          <w:color w:val="auto"/>
          <w:sz w:val="28"/>
          <w:szCs w:val="28"/>
        </w:rPr>
      </w:pPr>
      <w:r>
        <w:rPr>
          <w:rFonts w:hint="eastAsia" w:ascii="仿宋" w:hAnsi="仿宋" w:eastAsia="仿宋" w:cs="宋体"/>
          <w:b/>
          <w:bCs/>
          <w:color w:val="auto"/>
          <w:sz w:val="28"/>
          <w:szCs w:val="28"/>
        </w:rPr>
        <w:t>一、合同价款</w:t>
      </w:r>
    </w:p>
    <w:p w14:paraId="365E8AF8">
      <w:pPr>
        <w:spacing w:line="360" w:lineRule="auto"/>
        <w:ind w:firstLine="560" w:firstLineChars="200"/>
        <w:rPr>
          <w:rFonts w:hint="eastAsia" w:ascii="仿宋" w:hAnsi="仿宋" w:eastAsia="仿宋" w:cs="宋体"/>
          <w:b w:val="0"/>
          <w:bCs w:val="0"/>
          <w:color w:val="auto"/>
          <w:sz w:val="28"/>
          <w:szCs w:val="28"/>
        </w:rPr>
      </w:pPr>
      <w:r>
        <w:rPr>
          <w:rFonts w:hint="eastAsia" w:ascii="仿宋" w:hAnsi="仿宋" w:eastAsia="仿宋" w:cs="宋体"/>
          <w:b w:val="0"/>
          <w:bCs w:val="0"/>
          <w:color w:val="auto"/>
          <w:sz w:val="28"/>
          <w:szCs w:val="28"/>
          <w:lang w:val="en-US" w:eastAsia="zh-CN"/>
        </w:rPr>
        <w:t>1、</w:t>
      </w:r>
      <w:r>
        <w:rPr>
          <w:rFonts w:hint="eastAsia" w:ascii="仿宋" w:hAnsi="仿宋" w:eastAsia="仿宋" w:cs="宋体"/>
          <w:b w:val="0"/>
          <w:bCs w:val="0"/>
          <w:color w:val="auto"/>
          <w:sz w:val="28"/>
          <w:szCs w:val="28"/>
        </w:rPr>
        <w:t>合同总价：大写：</w:t>
      </w:r>
      <w:r>
        <w:rPr>
          <w:rFonts w:hint="eastAsia" w:ascii="仿宋" w:hAnsi="仿宋" w:eastAsia="仿宋" w:cs="宋体"/>
          <w:b w:val="0"/>
          <w:bCs w:val="0"/>
          <w:color w:val="auto"/>
          <w:sz w:val="28"/>
          <w:szCs w:val="28"/>
          <w:u w:val="single"/>
        </w:rPr>
        <w:t xml:space="preserve">        </w:t>
      </w:r>
      <w:r>
        <w:rPr>
          <w:rFonts w:hint="eastAsia" w:ascii="仿宋" w:hAnsi="仿宋" w:eastAsia="仿宋" w:cs="宋体"/>
          <w:b w:val="0"/>
          <w:bCs w:val="0"/>
          <w:color w:val="auto"/>
          <w:sz w:val="28"/>
          <w:szCs w:val="28"/>
        </w:rPr>
        <w:t>元；小写：</w:t>
      </w:r>
      <w:r>
        <w:rPr>
          <w:rFonts w:hint="eastAsia" w:ascii="仿宋" w:hAnsi="仿宋" w:eastAsia="仿宋" w:cs="宋体"/>
          <w:b w:val="0"/>
          <w:bCs w:val="0"/>
          <w:color w:val="auto"/>
          <w:sz w:val="28"/>
          <w:szCs w:val="28"/>
          <w:u w:val="single"/>
        </w:rPr>
        <w:t xml:space="preserve">         </w:t>
      </w:r>
      <w:r>
        <w:rPr>
          <w:rFonts w:hint="eastAsia" w:ascii="仿宋" w:hAnsi="仿宋" w:eastAsia="仿宋" w:cs="宋体"/>
          <w:b w:val="0"/>
          <w:bCs w:val="0"/>
          <w:color w:val="auto"/>
          <w:sz w:val="28"/>
          <w:szCs w:val="28"/>
        </w:rPr>
        <w:t>元；</w:t>
      </w:r>
    </w:p>
    <w:p w14:paraId="5968F774">
      <w:pPr>
        <w:spacing w:line="360" w:lineRule="auto"/>
        <w:ind w:firstLine="560" w:firstLineChars="200"/>
        <w:rPr>
          <w:rFonts w:hint="eastAsia" w:ascii="仿宋" w:hAnsi="仿宋" w:eastAsia="仿宋" w:cs="宋体"/>
          <w:b w:val="0"/>
          <w:bCs w:val="0"/>
          <w:color w:val="auto"/>
          <w:sz w:val="28"/>
          <w:szCs w:val="28"/>
        </w:rPr>
      </w:pPr>
      <w:r>
        <w:rPr>
          <w:rFonts w:hint="eastAsia" w:ascii="仿宋" w:hAnsi="仿宋" w:eastAsia="仿宋" w:cs="宋体"/>
          <w:b w:val="0"/>
          <w:bCs w:val="0"/>
          <w:color w:val="auto"/>
          <w:sz w:val="28"/>
          <w:szCs w:val="28"/>
        </w:rPr>
        <w:t>本合同为固定总价合同，合同价款包括但不限于食材采购、仓储、运杂费、配送费、装卸费、检验费、包装费、人工费、培训费、管理费、</w:t>
      </w:r>
      <w:bookmarkStart w:id="2" w:name="_GoBack"/>
      <w:bookmarkEnd w:id="2"/>
      <w:r>
        <w:rPr>
          <w:rFonts w:hint="eastAsia" w:ascii="仿宋" w:hAnsi="仿宋" w:eastAsia="仿宋" w:cs="宋体"/>
          <w:b w:val="0"/>
          <w:bCs w:val="0"/>
          <w:color w:val="auto"/>
          <w:sz w:val="28"/>
          <w:szCs w:val="28"/>
        </w:rPr>
        <w:t>招标代理服务费、利润、风险、税金等在项目实施过程中所发生的所有费用。</w:t>
      </w:r>
    </w:p>
    <w:p w14:paraId="3D33BFED">
      <w:pPr>
        <w:numPr>
          <w:ilvl w:val="0"/>
          <w:numId w:val="1"/>
        </w:numPr>
        <w:spacing w:line="360" w:lineRule="auto"/>
        <w:ind w:firstLine="560" w:firstLineChars="200"/>
        <w:rPr>
          <w:rFonts w:hint="eastAsia" w:ascii="仿宋" w:hAnsi="仿宋" w:eastAsia="仿宋" w:cs="宋体"/>
          <w:b w:val="0"/>
          <w:bCs w:val="0"/>
          <w:color w:val="auto"/>
          <w:sz w:val="28"/>
          <w:szCs w:val="28"/>
          <w:lang w:val="en-US" w:eastAsia="zh-CN"/>
        </w:rPr>
      </w:pPr>
      <w:r>
        <w:rPr>
          <w:rFonts w:hint="eastAsia" w:ascii="仿宋" w:hAnsi="仿宋" w:eastAsia="仿宋" w:cs="宋体"/>
          <w:b w:val="0"/>
          <w:bCs w:val="0"/>
          <w:color w:val="auto"/>
          <w:sz w:val="28"/>
          <w:szCs w:val="28"/>
          <w:lang w:val="en-US" w:eastAsia="zh-CN"/>
        </w:rPr>
        <w:t>付款方式：</w:t>
      </w:r>
      <w:r>
        <w:rPr>
          <w:rFonts w:hint="eastAsia" w:ascii="仿宋" w:hAnsi="仿宋" w:eastAsia="仿宋" w:cs="仿宋"/>
          <w:color w:val="auto"/>
          <w:sz w:val="28"/>
          <w:szCs w:val="28"/>
        </w:rPr>
        <w:t>合同款按月平均支付，</w:t>
      </w:r>
      <w:r>
        <w:rPr>
          <w:rFonts w:hint="eastAsia" w:ascii="仿宋" w:hAnsi="仿宋" w:eastAsia="仿宋" w:cs="仿宋"/>
          <w:color w:val="auto"/>
          <w:sz w:val="28"/>
          <w:szCs w:val="28"/>
          <w:lang w:val="en-US" w:eastAsia="zh-CN"/>
        </w:rPr>
        <w:t>经甲方确认服务合格，</w:t>
      </w:r>
      <w:r>
        <w:rPr>
          <w:rFonts w:hint="eastAsia" w:ascii="仿宋" w:hAnsi="仿宋" w:eastAsia="仿宋" w:cs="仿宋"/>
          <w:color w:val="auto"/>
          <w:sz w:val="28"/>
          <w:szCs w:val="28"/>
          <w:lang w:eastAsia="zh-CN"/>
        </w:rPr>
        <w:t>支付上月服务费用</w:t>
      </w:r>
      <w:r>
        <w:rPr>
          <w:rFonts w:hint="eastAsia" w:ascii="仿宋" w:hAnsi="仿宋" w:eastAsia="仿宋" w:cs="宋体"/>
          <w:b w:val="0"/>
          <w:bCs w:val="0"/>
          <w:color w:val="auto"/>
          <w:sz w:val="28"/>
          <w:szCs w:val="28"/>
          <w:lang w:val="en-US" w:eastAsia="zh-CN"/>
        </w:rPr>
        <w:t>。</w:t>
      </w:r>
    </w:p>
    <w:p w14:paraId="6872DE5F">
      <w:pPr>
        <w:numPr>
          <w:ilvl w:val="0"/>
          <w:numId w:val="0"/>
        </w:numPr>
        <w:spacing w:line="360" w:lineRule="auto"/>
        <w:ind w:firstLine="560" w:firstLineChars="200"/>
        <w:rPr>
          <w:rFonts w:hint="eastAsia" w:ascii="仿宋" w:hAnsi="仿宋" w:eastAsia="仿宋" w:cs="宋体"/>
          <w:b w:val="0"/>
          <w:bCs w:val="0"/>
          <w:color w:val="auto"/>
          <w:sz w:val="28"/>
          <w:szCs w:val="28"/>
          <w:lang w:val="en-US" w:eastAsia="zh-CN"/>
        </w:rPr>
      </w:pPr>
      <w:r>
        <w:rPr>
          <w:rFonts w:hint="eastAsia" w:ascii="仿宋" w:hAnsi="仿宋" w:eastAsia="仿宋" w:cs="宋体"/>
          <w:b w:val="0"/>
          <w:bCs w:val="0"/>
          <w:color w:val="auto"/>
          <w:sz w:val="28"/>
          <w:szCs w:val="28"/>
          <w:lang w:val="en-US" w:eastAsia="zh-CN"/>
        </w:rPr>
        <w:t>付款依据：发票、考核表、合同、磋商文件及磋商响应文件等。</w:t>
      </w:r>
    </w:p>
    <w:p w14:paraId="7893E3DA">
      <w:pPr>
        <w:spacing w:line="360" w:lineRule="auto"/>
        <w:ind w:firstLine="562" w:firstLineChars="200"/>
        <w:rPr>
          <w:rFonts w:hint="eastAsia" w:ascii="仿宋" w:hAnsi="仿宋" w:eastAsia="仿宋" w:cs="宋体"/>
          <w:b/>
          <w:bCs/>
          <w:color w:val="auto"/>
          <w:sz w:val="28"/>
          <w:szCs w:val="28"/>
        </w:rPr>
      </w:pPr>
      <w:bookmarkStart w:id="0" w:name="OLE_LINK220"/>
      <w:bookmarkStart w:id="1" w:name="OLE_LINK221"/>
      <w:r>
        <w:rPr>
          <w:rFonts w:hint="eastAsia" w:ascii="仿宋" w:hAnsi="仿宋" w:eastAsia="仿宋" w:cs="宋体"/>
          <w:b/>
          <w:bCs/>
          <w:color w:val="auto"/>
          <w:sz w:val="28"/>
          <w:szCs w:val="28"/>
        </w:rPr>
        <w:t>二、服务内容</w:t>
      </w:r>
    </w:p>
    <w:p w14:paraId="4760067A">
      <w:pPr>
        <w:spacing w:line="360" w:lineRule="auto"/>
        <w:ind w:firstLine="560" w:firstLineChars="200"/>
        <w:rPr>
          <w:rFonts w:hint="eastAsia" w:ascii="仿宋" w:hAnsi="仿宋" w:eastAsia="仿宋" w:cs="宋体"/>
          <w:b w:val="0"/>
          <w:bCs w:val="0"/>
          <w:color w:val="auto"/>
          <w:sz w:val="28"/>
          <w:szCs w:val="28"/>
        </w:rPr>
      </w:pPr>
      <w:r>
        <w:rPr>
          <w:rFonts w:hint="eastAsia" w:ascii="仿宋" w:hAnsi="仿宋" w:eastAsia="仿宋" w:cs="宋体"/>
          <w:b w:val="0"/>
          <w:bCs w:val="0"/>
          <w:color w:val="auto"/>
          <w:sz w:val="28"/>
          <w:szCs w:val="28"/>
        </w:rPr>
        <w:t>1</w:t>
      </w:r>
      <w:r>
        <w:rPr>
          <w:rFonts w:hint="eastAsia" w:ascii="仿宋" w:hAnsi="仿宋" w:eastAsia="仿宋" w:cs="宋体"/>
          <w:b w:val="0"/>
          <w:bCs w:val="0"/>
          <w:color w:val="auto"/>
          <w:sz w:val="28"/>
          <w:szCs w:val="28"/>
          <w:lang w:eastAsia="zh-CN"/>
        </w:rPr>
        <w:t>、</w:t>
      </w:r>
      <w:r>
        <w:rPr>
          <w:rFonts w:hint="eastAsia" w:ascii="仿宋" w:hAnsi="仿宋" w:eastAsia="仿宋" w:cs="宋体"/>
          <w:b w:val="0"/>
          <w:bCs w:val="0"/>
          <w:color w:val="auto"/>
          <w:sz w:val="28"/>
          <w:szCs w:val="28"/>
        </w:rPr>
        <w:t>食材采购：食材采购流程应合法合规，严控采购质量，确保食材质量和安全；食材的品类内容需达到一定的丰富程度；烹饪所用调料应符合行业规范，并严格把控质量。</w:t>
      </w:r>
    </w:p>
    <w:p w14:paraId="65C3260A">
      <w:pPr>
        <w:spacing w:line="360" w:lineRule="auto"/>
        <w:ind w:firstLine="560" w:firstLineChars="200"/>
        <w:rPr>
          <w:rFonts w:ascii="仿宋" w:hAnsi="仿宋" w:eastAsia="仿宋" w:cs="宋体"/>
          <w:b w:val="0"/>
          <w:bCs w:val="0"/>
          <w:color w:val="auto"/>
          <w:sz w:val="28"/>
          <w:szCs w:val="28"/>
        </w:rPr>
      </w:pPr>
      <w:r>
        <w:rPr>
          <w:rFonts w:hint="eastAsia" w:ascii="仿宋" w:hAnsi="仿宋" w:eastAsia="仿宋" w:cs="宋体"/>
          <w:b w:val="0"/>
          <w:bCs w:val="0"/>
          <w:color w:val="auto"/>
          <w:sz w:val="28"/>
          <w:szCs w:val="28"/>
        </w:rPr>
        <w:t>2</w:t>
      </w:r>
      <w:r>
        <w:rPr>
          <w:rFonts w:hint="eastAsia" w:ascii="仿宋" w:hAnsi="仿宋" w:eastAsia="仿宋" w:cs="宋体"/>
          <w:b w:val="0"/>
          <w:bCs w:val="0"/>
          <w:color w:val="auto"/>
          <w:sz w:val="28"/>
          <w:szCs w:val="28"/>
          <w:lang w:eastAsia="zh-CN"/>
        </w:rPr>
        <w:t>、</w:t>
      </w:r>
      <w:r>
        <w:rPr>
          <w:rFonts w:hint="eastAsia" w:ascii="仿宋" w:hAnsi="仿宋" w:eastAsia="仿宋" w:cs="宋体"/>
          <w:b w:val="0"/>
          <w:bCs w:val="0"/>
          <w:color w:val="auto"/>
          <w:sz w:val="28"/>
          <w:szCs w:val="28"/>
        </w:rPr>
        <w:t>配送服务：食材配送应采取安全可靠方式，包括但不限于独立包装、冷链运输等措施；配送人员及使用载具应符合国家有关食品运输要求；工作日须每日配送，节假日在不影响食材质量的情况下，可两日集中配送。</w:t>
      </w:r>
    </w:p>
    <w:bookmarkEnd w:id="0"/>
    <w:bookmarkEnd w:id="1"/>
    <w:p w14:paraId="130FDE8C">
      <w:pPr>
        <w:spacing w:line="360" w:lineRule="auto"/>
        <w:ind w:firstLine="562" w:firstLineChars="200"/>
        <w:rPr>
          <w:rFonts w:hint="eastAsia" w:ascii="仿宋" w:hAnsi="仿宋" w:eastAsia="仿宋" w:cs="宋体"/>
          <w:b/>
          <w:bCs/>
          <w:color w:val="auto"/>
          <w:sz w:val="28"/>
          <w:szCs w:val="28"/>
        </w:rPr>
      </w:pPr>
      <w:r>
        <w:rPr>
          <w:rFonts w:hint="eastAsia" w:ascii="仿宋" w:hAnsi="仿宋" w:eastAsia="仿宋" w:cs="宋体"/>
          <w:b/>
          <w:bCs/>
          <w:color w:val="auto"/>
          <w:sz w:val="28"/>
          <w:szCs w:val="28"/>
        </w:rPr>
        <w:t>三、交货时间、地点与服务</w:t>
      </w:r>
      <w:r>
        <w:rPr>
          <w:rFonts w:hint="eastAsia" w:ascii="仿宋" w:hAnsi="仿宋" w:eastAsia="仿宋" w:cs="宋体"/>
          <w:b/>
          <w:bCs/>
          <w:color w:val="auto"/>
          <w:sz w:val="28"/>
          <w:szCs w:val="28"/>
          <w:lang w:eastAsia="zh-CN"/>
        </w:rPr>
        <w:t>期限</w:t>
      </w:r>
      <w:r>
        <w:rPr>
          <w:rFonts w:hint="eastAsia" w:ascii="仿宋" w:hAnsi="仿宋" w:eastAsia="仿宋" w:cs="宋体"/>
          <w:b/>
          <w:bCs/>
          <w:color w:val="auto"/>
          <w:sz w:val="28"/>
          <w:szCs w:val="28"/>
        </w:rPr>
        <w:t>：</w:t>
      </w:r>
    </w:p>
    <w:p w14:paraId="2F97E8EE">
      <w:pPr>
        <w:spacing w:line="360" w:lineRule="auto"/>
        <w:ind w:firstLine="560" w:firstLineChars="200"/>
        <w:rPr>
          <w:rFonts w:hint="eastAsia" w:ascii="仿宋" w:hAnsi="仿宋" w:eastAsia="仿宋" w:cs="宋体"/>
          <w:b w:val="0"/>
          <w:bCs w:val="0"/>
          <w:color w:val="auto"/>
          <w:sz w:val="28"/>
          <w:szCs w:val="28"/>
        </w:rPr>
      </w:pPr>
      <w:r>
        <w:rPr>
          <w:rFonts w:hint="eastAsia" w:ascii="仿宋" w:hAnsi="仿宋" w:eastAsia="仿宋" w:cs="宋体"/>
          <w:b w:val="0"/>
          <w:bCs w:val="0"/>
          <w:color w:val="auto"/>
          <w:sz w:val="28"/>
          <w:szCs w:val="28"/>
          <w:lang w:val="en-US" w:eastAsia="zh-CN"/>
        </w:rPr>
        <w:t>1、交货时间</w:t>
      </w:r>
      <w:r>
        <w:rPr>
          <w:rFonts w:hint="eastAsia" w:ascii="仿宋" w:hAnsi="仿宋" w:eastAsia="仿宋" w:cs="宋体"/>
          <w:b w:val="0"/>
          <w:bCs w:val="0"/>
          <w:color w:val="auto"/>
          <w:sz w:val="28"/>
          <w:szCs w:val="28"/>
        </w:rPr>
        <w:t>：乙方所订所有货品于协商时间之前送达，乙方必须做到保质保量按时送到；</w:t>
      </w:r>
    </w:p>
    <w:p w14:paraId="1C715043">
      <w:pPr>
        <w:spacing w:line="360" w:lineRule="auto"/>
        <w:ind w:firstLine="560" w:firstLineChars="200"/>
        <w:rPr>
          <w:rFonts w:hint="eastAsia" w:ascii="仿宋" w:hAnsi="仿宋" w:eastAsia="仿宋" w:cs="宋体"/>
          <w:b w:val="0"/>
          <w:bCs w:val="0"/>
          <w:color w:val="auto"/>
          <w:sz w:val="28"/>
          <w:szCs w:val="28"/>
        </w:rPr>
      </w:pPr>
      <w:r>
        <w:rPr>
          <w:rFonts w:hint="eastAsia" w:ascii="仿宋" w:hAnsi="仿宋" w:eastAsia="仿宋" w:cs="宋体"/>
          <w:b w:val="0"/>
          <w:bCs w:val="0"/>
          <w:color w:val="auto"/>
          <w:sz w:val="28"/>
          <w:szCs w:val="28"/>
          <w:lang w:val="en-US" w:eastAsia="zh-CN"/>
        </w:rPr>
        <w:t>2、</w:t>
      </w:r>
      <w:r>
        <w:rPr>
          <w:rFonts w:hint="eastAsia" w:ascii="仿宋" w:hAnsi="仿宋" w:eastAsia="仿宋" w:cs="宋体"/>
          <w:b w:val="0"/>
          <w:bCs w:val="0"/>
          <w:color w:val="auto"/>
          <w:sz w:val="28"/>
          <w:szCs w:val="28"/>
        </w:rPr>
        <w:t>交货地点：机关食堂配送地点分两处，一处设在街道机关院内，一处设在街道社区（村）管理和网格化服务中心;</w:t>
      </w:r>
    </w:p>
    <w:p w14:paraId="68FE7B4D">
      <w:pPr>
        <w:spacing w:line="360" w:lineRule="auto"/>
        <w:ind w:firstLine="560" w:firstLineChars="200"/>
        <w:rPr>
          <w:rFonts w:hint="eastAsia" w:ascii="仿宋" w:hAnsi="仿宋" w:eastAsia="仿宋" w:cs="宋体"/>
          <w:b w:val="0"/>
          <w:bCs w:val="0"/>
          <w:color w:val="auto"/>
          <w:sz w:val="28"/>
          <w:szCs w:val="28"/>
          <w:highlight w:val="none"/>
          <w:lang w:eastAsia="zh-CN"/>
        </w:rPr>
      </w:pPr>
      <w:r>
        <w:rPr>
          <w:rFonts w:hint="eastAsia" w:ascii="仿宋" w:hAnsi="仿宋" w:eastAsia="仿宋" w:cs="宋体"/>
          <w:b w:val="0"/>
          <w:bCs w:val="0"/>
          <w:color w:val="auto"/>
          <w:sz w:val="28"/>
          <w:szCs w:val="28"/>
          <w:highlight w:val="none"/>
          <w:lang w:val="en-US" w:eastAsia="zh-CN"/>
        </w:rPr>
        <w:t>3、</w:t>
      </w:r>
      <w:r>
        <w:rPr>
          <w:rFonts w:hint="eastAsia" w:ascii="仿宋" w:hAnsi="仿宋" w:eastAsia="仿宋" w:cs="宋体"/>
          <w:b w:val="0"/>
          <w:bCs w:val="0"/>
          <w:color w:val="auto"/>
          <w:sz w:val="28"/>
          <w:szCs w:val="28"/>
          <w:highlight w:val="none"/>
        </w:rPr>
        <w:t>服务</w:t>
      </w:r>
      <w:r>
        <w:rPr>
          <w:rFonts w:hint="eastAsia" w:ascii="仿宋" w:hAnsi="仿宋" w:eastAsia="仿宋" w:cs="宋体"/>
          <w:b w:val="0"/>
          <w:bCs w:val="0"/>
          <w:color w:val="auto"/>
          <w:sz w:val="28"/>
          <w:szCs w:val="28"/>
          <w:highlight w:val="none"/>
          <w:lang w:eastAsia="zh-CN"/>
        </w:rPr>
        <w:t>期限</w:t>
      </w:r>
      <w:r>
        <w:rPr>
          <w:rFonts w:hint="eastAsia" w:ascii="仿宋" w:hAnsi="仿宋" w:eastAsia="仿宋" w:cs="宋体"/>
          <w:b w:val="0"/>
          <w:bCs w:val="0"/>
          <w:color w:val="auto"/>
          <w:sz w:val="28"/>
          <w:szCs w:val="28"/>
          <w:highlight w:val="none"/>
        </w:rPr>
        <w:t>：服务期限1年（以合同签订时间为准）</w:t>
      </w:r>
      <w:r>
        <w:rPr>
          <w:rFonts w:hint="eastAsia" w:ascii="仿宋" w:hAnsi="仿宋" w:eastAsia="仿宋" w:cs="宋体"/>
          <w:b w:val="0"/>
          <w:bCs w:val="0"/>
          <w:color w:val="auto"/>
          <w:sz w:val="28"/>
          <w:szCs w:val="28"/>
          <w:highlight w:val="none"/>
          <w:lang w:eastAsia="zh-CN"/>
        </w:rPr>
        <w:t>。</w:t>
      </w:r>
    </w:p>
    <w:p w14:paraId="63A3DB41">
      <w:pPr>
        <w:spacing w:line="360" w:lineRule="auto"/>
        <w:ind w:firstLine="562" w:firstLineChars="200"/>
        <w:rPr>
          <w:rFonts w:hint="eastAsia" w:ascii="仿宋" w:hAnsi="仿宋" w:eastAsia="仿宋" w:cs="宋体"/>
          <w:b/>
          <w:bCs/>
          <w:color w:val="auto"/>
          <w:sz w:val="28"/>
          <w:szCs w:val="28"/>
          <w:highlight w:val="none"/>
          <w:lang w:eastAsia="zh-CN"/>
        </w:rPr>
      </w:pPr>
      <w:r>
        <w:rPr>
          <w:rFonts w:hint="eastAsia" w:ascii="仿宋" w:hAnsi="仿宋" w:eastAsia="仿宋" w:cs="宋体"/>
          <w:b/>
          <w:bCs/>
          <w:color w:val="auto"/>
          <w:sz w:val="28"/>
          <w:szCs w:val="28"/>
          <w:highlight w:val="none"/>
        </w:rPr>
        <w:t>四、</w:t>
      </w:r>
      <w:r>
        <w:rPr>
          <w:rFonts w:hint="eastAsia" w:ascii="仿宋" w:hAnsi="仿宋" w:eastAsia="仿宋" w:cs="宋体"/>
          <w:b/>
          <w:bCs/>
          <w:color w:val="auto"/>
          <w:sz w:val="28"/>
          <w:szCs w:val="28"/>
          <w:highlight w:val="none"/>
          <w:lang w:eastAsia="zh-CN"/>
        </w:rPr>
        <w:t>服务要求</w:t>
      </w:r>
    </w:p>
    <w:p w14:paraId="69E488AD">
      <w:pPr>
        <w:spacing w:line="360" w:lineRule="auto"/>
        <w:ind w:firstLine="560" w:firstLineChars="200"/>
        <w:rPr>
          <w:rFonts w:hint="eastAsia" w:ascii="仿宋" w:hAnsi="仿宋" w:eastAsia="仿宋" w:cs="宋体"/>
          <w:b w:val="0"/>
          <w:bCs w:val="0"/>
          <w:color w:val="auto"/>
          <w:sz w:val="28"/>
          <w:szCs w:val="28"/>
          <w:highlight w:val="none"/>
          <w:lang w:eastAsia="zh-CN"/>
        </w:rPr>
      </w:pPr>
      <w:r>
        <w:rPr>
          <w:rFonts w:hint="eastAsia" w:ascii="仿宋" w:hAnsi="仿宋" w:eastAsia="仿宋" w:cs="宋体"/>
          <w:b w:val="0"/>
          <w:bCs w:val="0"/>
          <w:color w:val="auto"/>
          <w:sz w:val="28"/>
          <w:szCs w:val="28"/>
          <w:highlight w:val="none"/>
          <w:lang w:eastAsia="zh-CN"/>
        </w:rPr>
        <w:t>（一）食材要求</w:t>
      </w:r>
    </w:p>
    <w:p w14:paraId="08CF9702">
      <w:pPr>
        <w:spacing w:line="360" w:lineRule="auto"/>
        <w:ind w:firstLine="560" w:firstLineChars="200"/>
        <w:rPr>
          <w:rFonts w:hint="eastAsia" w:ascii="仿宋" w:hAnsi="仿宋" w:eastAsia="仿宋" w:cs="宋体"/>
          <w:b w:val="0"/>
          <w:bCs w:val="0"/>
          <w:color w:val="auto"/>
          <w:sz w:val="28"/>
          <w:szCs w:val="28"/>
          <w:lang w:eastAsia="zh-CN"/>
        </w:rPr>
      </w:pPr>
      <w:r>
        <w:rPr>
          <w:rFonts w:hint="eastAsia" w:ascii="仿宋" w:hAnsi="仿宋" w:eastAsia="仿宋" w:cs="宋体"/>
          <w:b w:val="0"/>
          <w:bCs w:val="0"/>
          <w:color w:val="auto"/>
          <w:sz w:val="28"/>
          <w:szCs w:val="28"/>
          <w:highlight w:val="none"/>
          <w:lang w:eastAsia="zh-CN"/>
        </w:rPr>
        <w:t>1.品类要求：早餐</w:t>
      </w:r>
      <w:r>
        <w:rPr>
          <w:rFonts w:hint="eastAsia" w:ascii="仿宋" w:hAnsi="仿宋" w:eastAsia="仿宋" w:cs="宋体"/>
          <w:b w:val="0"/>
          <w:bCs w:val="0"/>
          <w:color w:val="auto"/>
          <w:sz w:val="28"/>
          <w:szCs w:val="28"/>
          <w:lang w:eastAsia="zh-CN"/>
        </w:rPr>
        <w:t>须有鸡蛋，主食可有包子、馒头、花卷、煎饼、油条、面包等；稀饭可有粥、牛奶、酸奶、胡辣汤等；配菜为素菜且与当日早餐内容搭配合理。午餐周一、周三、周五面食可有面条、凉皮、米线、饸络等，搭配可有肉夹馍、素夹馍等，水果可有苹果、橘子、橙子、香蕉等；周二、周四主食为米饭，配菜可有鸡肉、鱼肉、猪肉或鸭肉等荤菜和芹菜、豆腐、莲藕、菌菇等时令蔬菜，需保证两荤两素，汤品根据当日菜品搭配合理即可。食材应满足以上菜品需求，因天气、配送等原因无法保证当日菜品的，可在同等标准内调整。</w:t>
      </w:r>
    </w:p>
    <w:p w14:paraId="4B2F2DBC">
      <w:pPr>
        <w:spacing w:line="360" w:lineRule="auto"/>
        <w:ind w:firstLine="560" w:firstLineChars="200"/>
        <w:rPr>
          <w:rFonts w:hint="eastAsia" w:ascii="仿宋" w:hAnsi="仿宋" w:eastAsia="仿宋" w:cs="宋体"/>
          <w:b w:val="0"/>
          <w:bCs w:val="0"/>
          <w:color w:val="auto"/>
          <w:sz w:val="28"/>
          <w:szCs w:val="28"/>
          <w:lang w:eastAsia="zh-CN"/>
        </w:rPr>
      </w:pPr>
      <w:r>
        <w:rPr>
          <w:rFonts w:hint="eastAsia" w:ascii="仿宋" w:hAnsi="仿宋" w:eastAsia="仿宋" w:cs="宋体"/>
          <w:b w:val="0"/>
          <w:bCs w:val="0"/>
          <w:color w:val="auto"/>
          <w:sz w:val="28"/>
          <w:szCs w:val="28"/>
          <w:lang w:eastAsia="zh-CN"/>
        </w:rPr>
        <w:t>2.份量要求：周一至周五早餐、午餐、晚餐需保证187人份，周末及节假日早餐、午餐、晚餐需保证20人份，如遇加班倒班等特殊情况，以实际在岗人数为准供餐。用餐实行自助餐，员工可根据个人喜好选餐用餐，食用不限份量和品种。</w:t>
      </w:r>
    </w:p>
    <w:p w14:paraId="35C4C7B5">
      <w:pPr>
        <w:spacing w:line="360" w:lineRule="auto"/>
        <w:ind w:firstLine="560" w:firstLineChars="200"/>
        <w:rPr>
          <w:rFonts w:hint="eastAsia" w:ascii="仿宋" w:hAnsi="仿宋" w:eastAsia="仿宋" w:cs="宋体"/>
          <w:b w:val="0"/>
          <w:bCs w:val="0"/>
          <w:color w:val="auto"/>
          <w:sz w:val="28"/>
          <w:szCs w:val="28"/>
          <w:lang w:eastAsia="zh-CN"/>
        </w:rPr>
      </w:pPr>
      <w:r>
        <w:rPr>
          <w:rFonts w:hint="eastAsia" w:ascii="仿宋" w:hAnsi="仿宋" w:eastAsia="仿宋" w:cs="宋体"/>
          <w:b w:val="0"/>
          <w:bCs w:val="0"/>
          <w:color w:val="auto"/>
          <w:sz w:val="28"/>
          <w:szCs w:val="28"/>
          <w:lang w:eastAsia="zh-CN"/>
        </w:rPr>
        <w:t>3.质量要求：所有采购食材须符合国家安全健康部门和市场监管部门有关食品供应标准，具有固定生产经营场所、仓储能力及生产厂家合法经销授权。肉类、蔬菜、水果、调料、蛋奶、粮油等食材需在准时配送的前提下，保证质量优良、程度新鲜。菜品搭配应满足合理的营养和分量。大米类等级可选特级、一级或二级，面粉类等级可选特一级粉、特二级粉或标准粉，食用油类等级可选非转基因的花生油、葵花籽油、菜籽油、大豆油，肉类及水产品类等级可选新鲜或冷冻，蔬菜类等级须为新鲜有机或无机。</w:t>
      </w:r>
    </w:p>
    <w:p w14:paraId="01950B57">
      <w:pPr>
        <w:spacing w:line="360" w:lineRule="auto"/>
        <w:ind w:firstLine="560" w:firstLineChars="200"/>
        <w:rPr>
          <w:rFonts w:hint="eastAsia" w:ascii="仿宋" w:hAnsi="仿宋" w:eastAsia="仿宋" w:cs="宋体"/>
          <w:b w:val="0"/>
          <w:bCs w:val="0"/>
          <w:color w:val="auto"/>
          <w:sz w:val="28"/>
          <w:szCs w:val="28"/>
          <w:lang w:eastAsia="zh-CN"/>
        </w:rPr>
      </w:pPr>
      <w:r>
        <w:rPr>
          <w:rFonts w:hint="eastAsia" w:ascii="仿宋" w:hAnsi="仿宋" w:eastAsia="仿宋" w:cs="宋体"/>
          <w:b w:val="0"/>
          <w:bCs w:val="0"/>
          <w:color w:val="auto"/>
          <w:sz w:val="28"/>
          <w:szCs w:val="28"/>
          <w:lang w:eastAsia="zh-CN"/>
        </w:rPr>
        <w:t>（二）配送要求</w:t>
      </w:r>
    </w:p>
    <w:p w14:paraId="1E7CE7EA">
      <w:pPr>
        <w:spacing w:line="360" w:lineRule="auto"/>
        <w:ind w:firstLine="560" w:firstLineChars="200"/>
        <w:rPr>
          <w:rFonts w:hint="eastAsia" w:ascii="仿宋" w:hAnsi="仿宋" w:eastAsia="仿宋" w:cs="宋体"/>
          <w:b w:val="0"/>
          <w:bCs w:val="0"/>
          <w:color w:val="auto"/>
          <w:sz w:val="28"/>
          <w:szCs w:val="28"/>
          <w:lang w:eastAsia="zh-CN"/>
        </w:rPr>
      </w:pPr>
      <w:r>
        <w:rPr>
          <w:rFonts w:hint="eastAsia" w:ascii="仿宋" w:hAnsi="仿宋" w:eastAsia="仿宋" w:cs="宋体"/>
          <w:b w:val="0"/>
          <w:bCs w:val="0"/>
          <w:color w:val="auto"/>
          <w:sz w:val="28"/>
          <w:szCs w:val="28"/>
          <w:lang w:eastAsia="zh-CN"/>
        </w:rPr>
        <w:t>配送载具及人员应符合食品运送餐厅劳务人员应具备相应岗位的技能，身体状况良好，能提供有效健康证明。运输途中应严格区分不同类别的食材，不得出现散乱混装配送，分装所用封装袋须为食品级。配送车辆需专车专用，定期消毒。</w:t>
      </w:r>
    </w:p>
    <w:p w14:paraId="1D99A1C4">
      <w:pPr>
        <w:spacing w:line="360" w:lineRule="auto"/>
        <w:ind w:firstLine="562" w:firstLineChars="200"/>
        <w:rPr>
          <w:rFonts w:hint="eastAsia" w:ascii="仿宋" w:hAnsi="仿宋" w:eastAsia="仿宋" w:cs="宋体"/>
          <w:b/>
          <w:bCs/>
          <w:color w:val="auto"/>
          <w:sz w:val="28"/>
          <w:szCs w:val="28"/>
          <w:lang w:eastAsia="zh-CN"/>
        </w:rPr>
      </w:pPr>
      <w:r>
        <w:rPr>
          <w:rFonts w:hint="eastAsia" w:ascii="仿宋" w:hAnsi="仿宋" w:eastAsia="仿宋" w:cs="宋体"/>
          <w:b/>
          <w:bCs/>
          <w:color w:val="auto"/>
          <w:sz w:val="28"/>
          <w:szCs w:val="28"/>
        </w:rPr>
        <w:t>五、</w:t>
      </w:r>
      <w:r>
        <w:rPr>
          <w:rFonts w:hint="eastAsia" w:ascii="仿宋" w:hAnsi="仿宋" w:eastAsia="仿宋" w:cs="宋体"/>
          <w:b/>
          <w:bCs/>
          <w:color w:val="auto"/>
          <w:sz w:val="28"/>
          <w:szCs w:val="28"/>
          <w:lang w:val="en-US" w:eastAsia="zh-CN"/>
        </w:rPr>
        <w:t>考核</w:t>
      </w:r>
    </w:p>
    <w:p w14:paraId="55E0634A">
      <w:pPr>
        <w:numPr>
          <w:ilvl w:val="0"/>
          <w:numId w:val="0"/>
        </w:numPr>
        <w:spacing w:line="360" w:lineRule="auto"/>
        <w:ind w:left="840" w:leftChars="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考核标准详见附件</w:t>
      </w:r>
    </w:p>
    <w:p w14:paraId="4DECF213">
      <w:pPr>
        <w:spacing w:line="360" w:lineRule="auto"/>
        <w:ind w:firstLine="562" w:firstLineChars="200"/>
        <w:rPr>
          <w:rFonts w:hint="eastAsia" w:ascii="仿宋" w:hAnsi="仿宋" w:eastAsia="仿宋" w:cs="宋体"/>
          <w:b/>
          <w:bCs/>
          <w:color w:val="auto"/>
          <w:sz w:val="28"/>
          <w:szCs w:val="28"/>
          <w:lang w:eastAsia="zh-CN"/>
        </w:rPr>
      </w:pPr>
      <w:r>
        <w:rPr>
          <w:rFonts w:hint="eastAsia" w:ascii="仿宋" w:hAnsi="仿宋" w:eastAsia="仿宋" w:cs="宋体"/>
          <w:b/>
          <w:bCs/>
          <w:color w:val="auto"/>
          <w:sz w:val="28"/>
          <w:szCs w:val="28"/>
          <w:lang w:eastAsia="zh-CN"/>
        </w:rPr>
        <w:t>六</w:t>
      </w:r>
      <w:r>
        <w:rPr>
          <w:rFonts w:hint="eastAsia" w:ascii="仿宋" w:hAnsi="仿宋" w:eastAsia="仿宋" w:cs="宋体"/>
          <w:b/>
          <w:bCs/>
          <w:color w:val="auto"/>
          <w:sz w:val="28"/>
          <w:szCs w:val="28"/>
        </w:rPr>
        <w:t>、甲方</w:t>
      </w:r>
      <w:r>
        <w:rPr>
          <w:rFonts w:hint="eastAsia" w:ascii="仿宋" w:hAnsi="仿宋" w:eastAsia="仿宋" w:cs="宋体"/>
          <w:b/>
          <w:bCs/>
          <w:color w:val="auto"/>
          <w:sz w:val="28"/>
          <w:szCs w:val="28"/>
          <w:lang w:eastAsia="zh-CN"/>
        </w:rPr>
        <w:t>权利与义务</w:t>
      </w:r>
    </w:p>
    <w:p w14:paraId="07BFBE18">
      <w:pPr>
        <w:numPr>
          <w:ilvl w:val="0"/>
          <w:numId w:val="0"/>
        </w:num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1、</w:t>
      </w:r>
      <w:r>
        <w:rPr>
          <w:rFonts w:hint="eastAsia" w:ascii="仿宋" w:hAnsi="仿宋" w:eastAsia="仿宋" w:cs="宋体"/>
          <w:color w:val="auto"/>
          <w:sz w:val="28"/>
          <w:szCs w:val="28"/>
        </w:rPr>
        <w:t>在乙方无违约的前提下，甲方委托乙方作为定点采购配送单位，承担本合同类的食堂原材料采购配送工作。</w:t>
      </w:r>
    </w:p>
    <w:p w14:paraId="6ABB686E">
      <w:pPr>
        <w:numPr>
          <w:ilvl w:val="0"/>
          <w:numId w:val="0"/>
        </w:num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2、</w:t>
      </w:r>
      <w:r>
        <w:rPr>
          <w:rFonts w:hint="eastAsia" w:ascii="仿宋" w:hAnsi="仿宋" w:eastAsia="仿宋" w:cs="宋体"/>
          <w:color w:val="auto"/>
          <w:sz w:val="28"/>
          <w:szCs w:val="28"/>
        </w:rPr>
        <w:t>甲方有权监督乙方的原材料采购配送工作。</w:t>
      </w:r>
    </w:p>
    <w:p w14:paraId="0B19A966">
      <w:pPr>
        <w:numPr>
          <w:ilvl w:val="0"/>
          <w:numId w:val="0"/>
        </w:num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3、</w:t>
      </w:r>
      <w:r>
        <w:rPr>
          <w:rFonts w:hint="eastAsia" w:ascii="仿宋" w:hAnsi="仿宋" w:eastAsia="仿宋" w:cs="宋体"/>
          <w:color w:val="auto"/>
          <w:sz w:val="28"/>
          <w:szCs w:val="28"/>
        </w:rPr>
        <w:t>甲方对乙方所配送食材进行检查，发现过期，损坏等不合格食材，甲方有权拒收，以确保食材安全卫生。</w:t>
      </w:r>
    </w:p>
    <w:p w14:paraId="693B5E0C">
      <w:pPr>
        <w:numPr>
          <w:ilvl w:val="0"/>
          <w:numId w:val="0"/>
        </w:num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4、</w:t>
      </w:r>
      <w:r>
        <w:rPr>
          <w:rFonts w:hint="eastAsia" w:ascii="仿宋" w:hAnsi="仿宋" w:eastAsia="仿宋" w:cs="宋体"/>
          <w:color w:val="auto"/>
          <w:sz w:val="28"/>
          <w:szCs w:val="28"/>
        </w:rPr>
        <w:t>甲方如有特殊情况，可提前微信图片或电话通知乙方临时增加食材配送工作，乙方应给予积极配合。</w:t>
      </w:r>
    </w:p>
    <w:p w14:paraId="290200B7">
      <w:pPr>
        <w:numPr>
          <w:ilvl w:val="0"/>
          <w:numId w:val="0"/>
        </w:numPr>
        <w:spacing w:line="360" w:lineRule="auto"/>
        <w:ind w:firstLine="562" w:firstLineChars="200"/>
        <w:rPr>
          <w:rFonts w:hint="default" w:ascii="仿宋" w:hAnsi="仿宋" w:eastAsia="仿宋" w:cs="宋体"/>
          <w:b/>
          <w:bCs/>
          <w:color w:val="auto"/>
          <w:sz w:val="28"/>
          <w:szCs w:val="28"/>
          <w:lang w:val="en-US" w:eastAsia="zh-CN"/>
        </w:rPr>
      </w:pPr>
      <w:r>
        <w:rPr>
          <w:rFonts w:hint="eastAsia" w:ascii="仿宋" w:hAnsi="仿宋" w:eastAsia="仿宋" w:cs="宋体"/>
          <w:b/>
          <w:bCs/>
          <w:color w:val="auto"/>
          <w:sz w:val="28"/>
          <w:szCs w:val="28"/>
          <w:lang w:eastAsia="zh-CN"/>
        </w:rPr>
        <w:t>七</w:t>
      </w:r>
      <w:r>
        <w:rPr>
          <w:rFonts w:hint="eastAsia" w:ascii="仿宋" w:hAnsi="仿宋" w:eastAsia="仿宋" w:cs="宋体"/>
          <w:b/>
          <w:bCs/>
          <w:color w:val="auto"/>
          <w:sz w:val="28"/>
          <w:szCs w:val="28"/>
        </w:rPr>
        <w:t>、乙方</w:t>
      </w:r>
      <w:r>
        <w:rPr>
          <w:rFonts w:hint="eastAsia" w:ascii="仿宋" w:hAnsi="仿宋" w:eastAsia="仿宋" w:cs="宋体"/>
          <w:b/>
          <w:bCs/>
          <w:color w:val="auto"/>
          <w:sz w:val="28"/>
          <w:szCs w:val="28"/>
          <w:lang w:eastAsia="zh-CN"/>
        </w:rPr>
        <w:t>权利与义务</w:t>
      </w:r>
    </w:p>
    <w:p w14:paraId="03EF0334">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1、</w:t>
      </w:r>
      <w:r>
        <w:rPr>
          <w:rFonts w:hint="eastAsia" w:ascii="仿宋" w:hAnsi="仿宋" w:eastAsia="仿宋" w:cs="宋体"/>
          <w:color w:val="auto"/>
          <w:sz w:val="28"/>
          <w:szCs w:val="28"/>
        </w:rPr>
        <w:t>乙方须按本合同要求，保质保量完成甲方的原材料采购配送工作。</w:t>
      </w:r>
    </w:p>
    <w:p w14:paraId="1DB9E180">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2、</w:t>
      </w:r>
      <w:r>
        <w:rPr>
          <w:rFonts w:hint="eastAsia" w:ascii="仿宋" w:hAnsi="仿宋" w:eastAsia="仿宋" w:cs="宋体"/>
          <w:color w:val="auto"/>
          <w:sz w:val="28"/>
          <w:szCs w:val="28"/>
        </w:rPr>
        <w:t>乙方应指派专人负责甲方原材料采购配送工作，及时收集甲方反馈意见； 甲方指定专人检查接收配送产品，如发现不合格产品甲方有权要求乙方更换合格产品。</w:t>
      </w:r>
    </w:p>
    <w:p w14:paraId="23F64119">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3、</w:t>
      </w:r>
      <w:r>
        <w:rPr>
          <w:rFonts w:hint="eastAsia" w:ascii="仿宋" w:hAnsi="仿宋" w:eastAsia="仿宋" w:cs="宋体"/>
          <w:color w:val="auto"/>
          <w:sz w:val="28"/>
          <w:szCs w:val="28"/>
        </w:rPr>
        <w:t>乙方在配送过程中应做到安全有序，自觉遵守甲方各项安全管理规章制度。乙方为甲方唯一食材供应商，甲方私自采购食材而出现的食物中毒或其他食品安全事故，其后果由甲方承担。</w:t>
      </w:r>
    </w:p>
    <w:p w14:paraId="7D89A29D">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4、</w:t>
      </w:r>
      <w:r>
        <w:rPr>
          <w:rFonts w:hint="eastAsia" w:ascii="仿宋" w:hAnsi="仿宋" w:eastAsia="仿宋" w:cs="宋体"/>
          <w:color w:val="auto"/>
          <w:sz w:val="28"/>
          <w:szCs w:val="28"/>
        </w:rPr>
        <w:t>乙方从甲方得到的采购信息，未经甲方同意，乙方不得向第三方公开，泄漏或使用。</w:t>
      </w:r>
    </w:p>
    <w:p w14:paraId="7889F726">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5、</w:t>
      </w:r>
      <w:r>
        <w:rPr>
          <w:rFonts w:hint="eastAsia" w:ascii="仿宋" w:hAnsi="仿宋" w:eastAsia="仿宋" w:cs="宋体"/>
          <w:color w:val="auto"/>
          <w:sz w:val="28"/>
          <w:szCs w:val="28"/>
        </w:rPr>
        <w:t>乙方配送食材原材料被食品监督部门检验不合格造成不良后果，由乙方承担全部责任，并承担全部经济损失。</w:t>
      </w:r>
    </w:p>
    <w:p w14:paraId="7BB54592">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6、</w:t>
      </w:r>
      <w:r>
        <w:rPr>
          <w:rFonts w:hint="eastAsia" w:ascii="仿宋" w:hAnsi="仿宋" w:eastAsia="仿宋" w:cs="宋体"/>
          <w:color w:val="auto"/>
          <w:sz w:val="28"/>
          <w:szCs w:val="28"/>
        </w:rPr>
        <w:t>食材供应发生群体食物中毒事故，经检验是乙方配送食材原因的，乙方承担相应事故责任，并承担全部经济损失。</w:t>
      </w:r>
    </w:p>
    <w:p w14:paraId="5ED7FD0D">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7、</w:t>
      </w:r>
      <w:r>
        <w:rPr>
          <w:rFonts w:hint="eastAsia" w:ascii="仿宋" w:hAnsi="仿宋" w:eastAsia="仿宋" w:cs="宋体"/>
          <w:color w:val="auto"/>
          <w:sz w:val="28"/>
          <w:szCs w:val="28"/>
        </w:rPr>
        <w:t>乙方不得在服务期间对项目管理人员进行更换，如遇特殊情况须经甲方同意；甲方发现项目管理人员工作不力时，有权提出更换人员，更换的人员必须 及时到场。</w:t>
      </w:r>
    </w:p>
    <w:p w14:paraId="57094E6E">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8、</w:t>
      </w:r>
      <w:r>
        <w:rPr>
          <w:rFonts w:hint="eastAsia" w:ascii="仿宋" w:hAnsi="仿宋" w:eastAsia="仿宋" w:cs="宋体"/>
          <w:color w:val="auto"/>
          <w:sz w:val="28"/>
          <w:szCs w:val="28"/>
        </w:rPr>
        <w:t>乙方不得将项目转让、分包给其它单位或个人。</w:t>
      </w:r>
    </w:p>
    <w:p w14:paraId="5D85E310">
      <w:pPr>
        <w:spacing w:line="360" w:lineRule="auto"/>
        <w:ind w:firstLine="560" w:firstLineChars="200"/>
        <w:rPr>
          <w:rFonts w:hint="eastAsia" w:ascii="仿宋" w:hAnsi="仿宋" w:eastAsia="仿宋" w:cs="宋体"/>
          <w:color w:val="auto"/>
          <w:sz w:val="28"/>
          <w:szCs w:val="28"/>
          <w:lang w:val="en-US" w:eastAsia="zh-CN"/>
        </w:rPr>
      </w:pPr>
      <w:r>
        <w:rPr>
          <w:rFonts w:hint="eastAsia" w:ascii="仿宋" w:hAnsi="仿宋" w:eastAsia="仿宋" w:cs="宋体"/>
          <w:color w:val="auto"/>
          <w:sz w:val="28"/>
          <w:szCs w:val="28"/>
          <w:lang w:val="en-US" w:eastAsia="zh-CN"/>
        </w:rPr>
        <w:t>9、乙方在合同执行中，发生的运输安全事故、人身事故、经济赔偿、劳动争议等各类风险均由乙方承担。</w:t>
      </w:r>
    </w:p>
    <w:p w14:paraId="7F13A701">
      <w:pPr>
        <w:spacing w:line="360" w:lineRule="auto"/>
        <w:ind w:firstLine="562" w:firstLineChars="200"/>
        <w:rPr>
          <w:rFonts w:ascii="仿宋" w:hAnsi="仿宋" w:eastAsia="仿宋" w:cs="宋体"/>
          <w:b/>
          <w:bCs/>
          <w:color w:val="auto"/>
          <w:sz w:val="28"/>
          <w:szCs w:val="28"/>
        </w:rPr>
      </w:pPr>
      <w:r>
        <w:rPr>
          <w:rFonts w:hint="eastAsia" w:ascii="仿宋" w:hAnsi="仿宋" w:eastAsia="仿宋" w:cs="宋体"/>
          <w:b/>
          <w:bCs/>
          <w:color w:val="auto"/>
          <w:sz w:val="28"/>
          <w:szCs w:val="28"/>
          <w:lang w:eastAsia="zh-CN"/>
        </w:rPr>
        <w:t>八</w:t>
      </w:r>
      <w:r>
        <w:rPr>
          <w:rFonts w:hint="eastAsia" w:ascii="仿宋" w:hAnsi="仿宋" w:eastAsia="仿宋" w:cs="宋体"/>
          <w:b/>
          <w:bCs/>
          <w:color w:val="auto"/>
          <w:sz w:val="28"/>
          <w:szCs w:val="28"/>
        </w:rPr>
        <w:t>、违约责任</w:t>
      </w:r>
    </w:p>
    <w:p w14:paraId="4B566D50">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1、</w:t>
      </w:r>
      <w:r>
        <w:rPr>
          <w:rFonts w:hint="eastAsia" w:ascii="仿宋" w:hAnsi="仿宋" w:eastAsia="仿宋" w:cs="宋体"/>
          <w:color w:val="auto"/>
          <w:sz w:val="28"/>
          <w:szCs w:val="28"/>
        </w:rPr>
        <w:t>乙方送货质量问题给甲方造成损失的，由乙方承担全部责任。由于甲方保管原因造成的食品安全问题由甲方承担全部责任。</w:t>
      </w:r>
    </w:p>
    <w:p w14:paraId="69CBD407">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2、</w:t>
      </w:r>
      <w:r>
        <w:rPr>
          <w:rFonts w:hint="eastAsia" w:ascii="仿宋" w:hAnsi="仿宋" w:eastAsia="仿宋" w:cs="宋体"/>
          <w:color w:val="auto"/>
          <w:sz w:val="28"/>
          <w:szCs w:val="28"/>
        </w:rPr>
        <w:t>甲方逾期未向乙方支付货款，乙方催要无果的，乙方有权终止向甲方供货，并催收货款。</w:t>
      </w:r>
    </w:p>
    <w:p w14:paraId="2AC0D4D3">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3、</w:t>
      </w:r>
      <w:r>
        <w:rPr>
          <w:rFonts w:hint="eastAsia" w:ascii="仿宋" w:hAnsi="仿宋" w:eastAsia="仿宋" w:cs="宋体"/>
          <w:color w:val="auto"/>
          <w:sz w:val="28"/>
          <w:szCs w:val="28"/>
          <w:vertAlign w:val="baseline"/>
        </w:rPr>
        <w:t>如连续三个月</w:t>
      </w:r>
      <w:r>
        <w:rPr>
          <w:rFonts w:hint="eastAsia" w:ascii="仿宋" w:hAnsi="仿宋" w:eastAsia="仿宋" w:cs="宋体"/>
          <w:color w:val="auto"/>
          <w:sz w:val="28"/>
          <w:szCs w:val="28"/>
          <w:vertAlign w:val="baseline"/>
          <w:lang w:val="en-US" w:eastAsia="zh-CN"/>
        </w:rPr>
        <w:t>考核</w:t>
      </w:r>
      <w:r>
        <w:rPr>
          <w:rFonts w:hint="eastAsia" w:ascii="仿宋" w:hAnsi="仿宋" w:eastAsia="仿宋" w:cs="宋体"/>
          <w:color w:val="auto"/>
          <w:sz w:val="28"/>
          <w:szCs w:val="28"/>
          <w:vertAlign w:val="baseline"/>
        </w:rPr>
        <w:t>未达到要求的，</w:t>
      </w:r>
      <w:r>
        <w:rPr>
          <w:rFonts w:hint="eastAsia" w:ascii="仿宋" w:hAnsi="仿宋" w:eastAsia="仿宋" w:cs="宋体"/>
          <w:color w:val="auto"/>
          <w:sz w:val="28"/>
          <w:szCs w:val="28"/>
          <w:vertAlign w:val="baseline"/>
          <w:lang w:eastAsia="zh-CN"/>
        </w:rPr>
        <w:t>或</w:t>
      </w:r>
      <w:r>
        <w:rPr>
          <w:rFonts w:hint="eastAsia" w:ascii="仿宋" w:hAnsi="仿宋" w:eastAsia="仿宋" w:cs="宋体"/>
          <w:color w:val="auto"/>
          <w:sz w:val="28"/>
          <w:szCs w:val="28"/>
          <w:vertAlign w:val="baseline"/>
          <w:lang w:val="en-US" w:eastAsia="zh-CN"/>
        </w:rPr>
        <w:t>对下达两次整改通知书后仍无改进、因食材品质或配送管理不到位出现食品安全事故等重大违约行为</w:t>
      </w:r>
      <w:r>
        <w:rPr>
          <w:rFonts w:hint="eastAsia" w:ascii="仿宋" w:hAnsi="仿宋" w:eastAsia="仿宋" w:cs="宋体"/>
          <w:color w:val="auto"/>
          <w:sz w:val="28"/>
          <w:szCs w:val="28"/>
          <w:vertAlign w:val="baseline"/>
        </w:rPr>
        <w:t>，甲方有权终止合同</w:t>
      </w:r>
      <w:r>
        <w:rPr>
          <w:rFonts w:hint="eastAsia" w:ascii="仿宋" w:hAnsi="仿宋" w:eastAsia="仿宋" w:cs="宋体"/>
          <w:color w:val="auto"/>
          <w:sz w:val="28"/>
          <w:szCs w:val="28"/>
          <w:vertAlign w:val="baseline"/>
          <w:lang w:eastAsia="zh-CN"/>
        </w:rPr>
        <w:t>，</w:t>
      </w:r>
      <w:r>
        <w:rPr>
          <w:rFonts w:hint="eastAsia" w:ascii="仿宋" w:hAnsi="仿宋" w:eastAsia="仿宋" w:cs="宋体"/>
          <w:color w:val="auto"/>
          <w:sz w:val="28"/>
          <w:szCs w:val="28"/>
          <w:vertAlign w:val="baseline"/>
        </w:rPr>
        <w:t>乙方应按合同总价30%的金额向甲方承担违约责任，并将相关资料一并移交甲方，乙方不得以任何理由拒绝或拖延提交有关资料，或提供不真实、不准确、不完整的资料。</w:t>
      </w:r>
    </w:p>
    <w:p w14:paraId="6C079029">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4、</w:t>
      </w:r>
      <w:r>
        <w:rPr>
          <w:rFonts w:hint="eastAsia" w:ascii="仿宋" w:hAnsi="仿宋" w:eastAsia="仿宋" w:cs="宋体"/>
          <w:color w:val="auto"/>
          <w:sz w:val="28"/>
          <w:szCs w:val="28"/>
        </w:rPr>
        <w:t>任何一方要终止合同都应提前一周(即：7天)以书面方式通知对方。</w:t>
      </w:r>
    </w:p>
    <w:p w14:paraId="51EA6B83">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lang w:val="en-US" w:eastAsia="zh-CN"/>
        </w:rPr>
        <w:t>5、</w:t>
      </w:r>
      <w:r>
        <w:rPr>
          <w:rFonts w:hint="eastAsia" w:ascii="仿宋" w:hAnsi="仿宋" w:eastAsia="仿宋" w:cs="宋体"/>
          <w:color w:val="auto"/>
          <w:sz w:val="28"/>
          <w:szCs w:val="28"/>
        </w:rPr>
        <w:t>乙方严格按照甲方订单指定采购食材，如因甲方订单失误造成乙方采购货品错误，乙方不承担责任。</w:t>
      </w:r>
    </w:p>
    <w:p w14:paraId="5FCCAF33">
      <w:pPr>
        <w:spacing w:line="360" w:lineRule="auto"/>
        <w:ind w:firstLine="562" w:firstLineChars="200"/>
        <w:rPr>
          <w:rFonts w:ascii="仿宋" w:hAnsi="仿宋" w:eastAsia="仿宋" w:cs="宋体"/>
          <w:b/>
          <w:bCs/>
          <w:color w:val="auto"/>
          <w:sz w:val="28"/>
          <w:szCs w:val="28"/>
        </w:rPr>
      </w:pPr>
      <w:r>
        <w:rPr>
          <w:rFonts w:hint="eastAsia" w:ascii="仿宋" w:hAnsi="仿宋" w:eastAsia="仿宋" w:cs="宋体"/>
          <w:b/>
          <w:bCs/>
          <w:color w:val="auto"/>
          <w:sz w:val="28"/>
          <w:szCs w:val="28"/>
          <w:lang w:eastAsia="zh-CN"/>
        </w:rPr>
        <w:t>九</w:t>
      </w:r>
      <w:r>
        <w:rPr>
          <w:rFonts w:hint="eastAsia" w:ascii="仿宋" w:hAnsi="仿宋" w:eastAsia="仿宋" w:cs="宋体"/>
          <w:b/>
          <w:bCs/>
          <w:color w:val="auto"/>
          <w:sz w:val="28"/>
          <w:szCs w:val="28"/>
        </w:rPr>
        <w:t>、争议的解决方式</w:t>
      </w:r>
    </w:p>
    <w:p w14:paraId="11D12969">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rPr>
        <w:t>本合同在履行过程中发生的争议，由甲、乙双方当事人协商解决，协商不成 的按下列第</w:t>
      </w:r>
      <w:r>
        <w:rPr>
          <w:rFonts w:hint="eastAsia" w:ascii="仿宋" w:hAnsi="仿宋" w:eastAsia="仿宋" w:cs="宋体"/>
          <w:color w:val="auto"/>
          <w:sz w:val="28"/>
          <w:szCs w:val="28"/>
          <w:lang w:val="en-US" w:eastAsia="zh-CN"/>
        </w:rPr>
        <w:t>2</w:t>
      </w:r>
      <w:r>
        <w:rPr>
          <w:rFonts w:hint="eastAsia" w:ascii="仿宋" w:hAnsi="仿宋" w:eastAsia="仿宋" w:cs="宋体"/>
          <w:color w:val="auto"/>
          <w:sz w:val="28"/>
          <w:szCs w:val="28"/>
        </w:rPr>
        <w:t>种方式解决：</w:t>
      </w:r>
    </w:p>
    <w:p w14:paraId="5FA8F38B">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1、</w:t>
      </w:r>
      <w:r>
        <w:rPr>
          <w:rFonts w:hint="eastAsia" w:ascii="仿宋" w:hAnsi="仿宋" w:eastAsia="仿宋" w:cs="宋体"/>
          <w:color w:val="auto"/>
          <w:sz w:val="28"/>
          <w:szCs w:val="28"/>
        </w:rPr>
        <w:t>提交西安仲裁委员会仲裁；</w:t>
      </w:r>
    </w:p>
    <w:p w14:paraId="3E8B81CF">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2</w:t>
      </w:r>
      <w:r>
        <w:rPr>
          <w:rFonts w:hint="eastAsia" w:ascii="仿宋" w:hAnsi="仿宋" w:eastAsia="仿宋" w:cs="宋体"/>
          <w:color w:val="auto"/>
          <w:sz w:val="28"/>
          <w:szCs w:val="28"/>
          <w:lang w:eastAsia="zh-CN"/>
        </w:rPr>
        <w:t>、</w:t>
      </w:r>
      <w:r>
        <w:rPr>
          <w:rFonts w:hint="eastAsia" w:ascii="仿宋" w:hAnsi="仿宋" w:eastAsia="仿宋" w:cs="宋体"/>
          <w:color w:val="auto"/>
          <w:sz w:val="28"/>
          <w:szCs w:val="28"/>
        </w:rPr>
        <w:t>依法向甲方所在地人民法院起诉。</w:t>
      </w:r>
    </w:p>
    <w:p w14:paraId="432C9A11">
      <w:pPr>
        <w:spacing w:line="360" w:lineRule="auto"/>
        <w:ind w:firstLine="562" w:firstLineChars="200"/>
        <w:rPr>
          <w:rFonts w:hint="eastAsia" w:ascii="仿宋" w:hAnsi="仿宋" w:eastAsia="仿宋" w:cs="宋体"/>
          <w:b/>
          <w:bCs/>
          <w:color w:val="auto"/>
          <w:sz w:val="28"/>
          <w:szCs w:val="28"/>
        </w:rPr>
      </w:pPr>
      <w:r>
        <w:rPr>
          <w:rFonts w:hint="eastAsia" w:ascii="仿宋" w:hAnsi="仿宋" w:eastAsia="仿宋" w:cs="宋体"/>
          <w:b/>
          <w:bCs/>
          <w:color w:val="auto"/>
          <w:sz w:val="28"/>
          <w:szCs w:val="28"/>
        </w:rPr>
        <w:t>十、合同变更与终止</w:t>
      </w:r>
    </w:p>
    <w:p w14:paraId="407B21B0">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rPr>
        <w:t>1、合同期间任何一方不得随意变更、终止合同。</w:t>
      </w:r>
    </w:p>
    <w:p w14:paraId="188EF199">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rPr>
        <w:t>2、本合同规定的履行期限届满，合同自动终止。</w:t>
      </w:r>
    </w:p>
    <w:p w14:paraId="5A5880D8">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rPr>
        <w:t>3、因双方机构撤并、职能调整等原因，确需终止合同的，双方可协商终止合同。</w:t>
      </w:r>
    </w:p>
    <w:p w14:paraId="2763A988">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rPr>
        <w:t>4、乙方应自觉遵守甲方工作纪律、规章制度，服从甲方管理。因乙方原因给甲方造成严重后果，甲方可以单方面解除合同。</w:t>
      </w:r>
    </w:p>
    <w:p w14:paraId="3958B8F5">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rPr>
        <w:t>5、合同继续履行将损害国家利益和社会公共利益的，双方应当变更或者终止合同，但变更的内容不得对</w:t>
      </w:r>
      <w:r>
        <w:rPr>
          <w:rFonts w:hint="eastAsia" w:ascii="仿宋" w:hAnsi="仿宋" w:eastAsia="仿宋" w:cs="宋体"/>
          <w:color w:val="auto"/>
          <w:sz w:val="28"/>
          <w:szCs w:val="28"/>
          <w:lang w:val="en-US" w:eastAsia="zh-CN"/>
        </w:rPr>
        <w:t>磋商</w:t>
      </w:r>
      <w:r>
        <w:rPr>
          <w:rFonts w:hint="eastAsia" w:ascii="仿宋" w:hAnsi="仿宋" w:eastAsia="仿宋" w:cs="宋体"/>
          <w:color w:val="auto"/>
          <w:sz w:val="28"/>
          <w:szCs w:val="28"/>
        </w:rPr>
        <w:t>文件确定的事项和乙方</w:t>
      </w:r>
      <w:r>
        <w:rPr>
          <w:rFonts w:hint="eastAsia" w:ascii="仿宋" w:hAnsi="仿宋" w:eastAsia="仿宋" w:cs="宋体"/>
          <w:color w:val="auto"/>
          <w:sz w:val="28"/>
          <w:szCs w:val="28"/>
          <w:lang w:val="en-US" w:eastAsia="zh-CN"/>
        </w:rPr>
        <w:t>响应</w:t>
      </w:r>
      <w:r>
        <w:rPr>
          <w:rFonts w:hint="eastAsia" w:ascii="仿宋" w:hAnsi="仿宋" w:eastAsia="仿宋" w:cs="宋体"/>
          <w:color w:val="auto"/>
          <w:sz w:val="28"/>
          <w:szCs w:val="28"/>
        </w:rPr>
        <w:t>文件作实质性修改，有过错的一方应当承担赔偿责任，双方都有过错的，各自承担相应的责任。</w:t>
      </w:r>
    </w:p>
    <w:p w14:paraId="4965C6EB">
      <w:pPr>
        <w:spacing w:line="360" w:lineRule="auto"/>
        <w:ind w:firstLine="562" w:firstLineChars="200"/>
        <w:rPr>
          <w:rFonts w:ascii="仿宋" w:hAnsi="仿宋" w:eastAsia="仿宋" w:cs="宋体"/>
          <w:b/>
          <w:bCs/>
          <w:color w:val="auto"/>
          <w:sz w:val="28"/>
          <w:szCs w:val="28"/>
        </w:rPr>
      </w:pPr>
      <w:r>
        <w:rPr>
          <w:rFonts w:hint="eastAsia" w:ascii="仿宋" w:hAnsi="仿宋" w:eastAsia="仿宋" w:cs="宋体"/>
          <w:b/>
          <w:bCs/>
          <w:color w:val="auto"/>
          <w:sz w:val="28"/>
          <w:szCs w:val="28"/>
        </w:rPr>
        <w:t>十</w:t>
      </w:r>
      <w:r>
        <w:rPr>
          <w:rFonts w:hint="eastAsia" w:ascii="仿宋" w:hAnsi="仿宋" w:eastAsia="仿宋" w:cs="宋体"/>
          <w:b/>
          <w:bCs/>
          <w:color w:val="auto"/>
          <w:sz w:val="28"/>
          <w:szCs w:val="28"/>
          <w:lang w:eastAsia="zh-CN"/>
        </w:rPr>
        <w:t>一</w:t>
      </w:r>
      <w:r>
        <w:rPr>
          <w:rFonts w:hint="eastAsia" w:ascii="仿宋" w:hAnsi="仿宋" w:eastAsia="仿宋" w:cs="宋体"/>
          <w:b/>
          <w:bCs/>
          <w:color w:val="auto"/>
          <w:sz w:val="28"/>
          <w:szCs w:val="28"/>
        </w:rPr>
        <w:t>、监督和管理</w:t>
      </w:r>
    </w:p>
    <w:p w14:paraId="2EA5FB5F">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1、政府采购合同履行中，甲方需追加与合同标的相同的货物、工程或者服务的，在不改变合同其他条款的前提下，可以与乙方协商签订补充合同，但所有补充合同的采购金额不得超过原合同采购金额的10%。</w:t>
      </w:r>
    </w:p>
    <w:p w14:paraId="5518A9BB">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2、甲乙双方均应自觉配合有关监督管理部门对情况的监督检查，如实反映情况，提供有关资料；否则，将对有关单位、当事人按照有关规定予以处罚。</w:t>
      </w:r>
    </w:p>
    <w:p w14:paraId="4671925B">
      <w:pPr>
        <w:spacing w:line="360" w:lineRule="auto"/>
        <w:ind w:firstLine="562" w:firstLineChars="200"/>
        <w:rPr>
          <w:rFonts w:ascii="仿宋" w:hAnsi="仿宋" w:eastAsia="仿宋" w:cs="宋体"/>
          <w:b/>
          <w:bCs/>
          <w:color w:val="auto"/>
          <w:sz w:val="28"/>
          <w:szCs w:val="28"/>
        </w:rPr>
      </w:pPr>
      <w:r>
        <w:rPr>
          <w:rFonts w:hint="eastAsia" w:ascii="仿宋" w:hAnsi="仿宋" w:eastAsia="仿宋" w:cs="宋体"/>
          <w:b/>
          <w:bCs/>
          <w:color w:val="auto"/>
          <w:sz w:val="28"/>
          <w:szCs w:val="28"/>
        </w:rPr>
        <w:t>十</w:t>
      </w:r>
      <w:r>
        <w:rPr>
          <w:rFonts w:hint="eastAsia" w:ascii="仿宋" w:hAnsi="仿宋" w:eastAsia="仿宋" w:cs="宋体"/>
          <w:b/>
          <w:bCs/>
          <w:color w:val="auto"/>
          <w:sz w:val="28"/>
          <w:szCs w:val="28"/>
          <w:lang w:eastAsia="zh-CN"/>
        </w:rPr>
        <w:t>二</w:t>
      </w:r>
      <w:r>
        <w:rPr>
          <w:rFonts w:hint="eastAsia" w:ascii="仿宋" w:hAnsi="仿宋" w:eastAsia="仿宋" w:cs="宋体"/>
          <w:b/>
          <w:bCs/>
          <w:color w:val="auto"/>
          <w:sz w:val="28"/>
          <w:szCs w:val="28"/>
        </w:rPr>
        <w:t>、信用融资（如有）</w:t>
      </w:r>
    </w:p>
    <w:p w14:paraId="090BC478">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银行名称：</w:t>
      </w:r>
      <w:r>
        <w:rPr>
          <w:rFonts w:hint="eastAsia" w:ascii="仿宋" w:hAnsi="仿宋" w:eastAsia="仿宋" w:cs="宋体"/>
          <w:color w:val="auto"/>
          <w:sz w:val="28"/>
          <w:szCs w:val="28"/>
          <w:u w:val="single"/>
        </w:rPr>
        <w:t xml:space="preserve">           </w:t>
      </w:r>
      <w:r>
        <w:rPr>
          <w:rFonts w:hint="eastAsia" w:ascii="仿宋" w:hAnsi="仿宋" w:eastAsia="仿宋" w:cs="宋体"/>
          <w:color w:val="auto"/>
          <w:sz w:val="28"/>
          <w:szCs w:val="28"/>
        </w:rPr>
        <w:t>，收款账号：</w:t>
      </w:r>
      <w:r>
        <w:rPr>
          <w:rFonts w:hint="eastAsia" w:ascii="仿宋" w:hAnsi="仿宋" w:eastAsia="仿宋" w:cs="宋体"/>
          <w:color w:val="auto"/>
          <w:sz w:val="28"/>
          <w:szCs w:val="28"/>
          <w:u w:val="single"/>
        </w:rPr>
        <w:t xml:space="preserve">        </w:t>
      </w:r>
    </w:p>
    <w:p w14:paraId="79E6301A">
      <w:pPr>
        <w:spacing w:line="360" w:lineRule="auto"/>
        <w:ind w:firstLine="562" w:firstLineChars="200"/>
        <w:rPr>
          <w:rFonts w:ascii="仿宋" w:hAnsi="仿宋" w:eastAsia="仿宋" w:cs="宋体"/>
          <w:b/>
          <w:bCs/>
          <w:color w:val="auto"/>
          <w:sz w:val="28"/>
          <w:szCs w:val="28"/>
        </w:rPr>
      </w:pPr>
      <w:r>
        <w:rPr>
          <w:rFonts w:hint="eastAsia" w:ascii="仿宋" w:hAnsi="仿宋" w:eastAsia="仿宋" w:cs="宋体"/>
          <w:b/>
          <w:bCs/>
          <w:color w:val="auto"/>
          <w:sz w:val="28"/>
          <w:szCs w:val="28"/>
        </w:rPr>
        <w:t>十</w:t>
      </w:r>
      <w:r>
        <w:rPr>
          <w:rFonts w:hint="eastAsia" w:ascii="仿宋" w:hAnsi="仿宋" w:eastAsia="仿宋" w:cs="宋体"/>
          <w:b/>
          <w:bCs/>
          <w:color w:val="auto"/>
          <w:sz w:val="28"/>
          <w:szCs w:val="28"/>
          <w:lang w:eastAsia="zh-CN"/>
        </w:rPr>
        <w:t>三</w:t>
      </w:r>
      <w:r>
        <w:rPr>
          <w:rFonts w:hint="eastAsia" w:ascii="仿宋" w:hAnsi="仿宋" w:eastAsia="仿宋" w:cs="宋体"/>
          <w:b/>
          <w:bCs/>
          <w:color w:val="auto"/>
          <w:sz w:val="28"/>
          <w:szCs w:val="28"/>
        </w:rPr>
        <w:t>、附则</w:t>
      </w:r>
    </w:p>
    <w:p w14:paraId="2E5C2341">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1.本合同未尽事宜，均按《中华人民共和国民法典》规定执行，各方也可签 订补充协议，补充协议与本合同具有同等效力。</w:t>
      </w:r>
    </w:p>
    <w:p w14:paraId="5977F765">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2.本合同一式</w:t>
      </w:r>
      <w:r>
        <w:rPr>
          <w:rFonts w:hint="eastAsia" w:ascii="仿宋" w:hAnsi="仿宋" w:eastAsia="仿宋" w:cs="宋体"/>
          <w:color w:val="auto"/>
          <w:sz w:val="28"/>
          <w:szCs w:val="28"/>
          <w:u w:val="single"/>
        </w:rPr>
        <w:t xml:space="preserve">    </w:t>
      </w:r>
      <w:r>
        <w:rPr>
          <w:rFonts w:hint="eastAsia" w:ascii="仿宋" w:hAnsi="仿宋" w:eastAsia="仿宋" w:cs="宋体"/>
          <w:color w:val="auto"/>
          <w:sz w:val="28"/>
          <w:szCs w:val="28"/>
        </w:rPr>
        <w:t>份，甲方执</w:t>
      </w:r>
      <w:r>
        <w:rPr>
          <w:rFonts w:hint="eastAsia" w:ascii="仿宋" w:hAnsi="仿宋" w:eastAsia="仿宋" w:cs="宋体"/>
          <w:color w:val="auto"/>
          <w:sz w:val="28"/>
          <w:szCs w:val="28"/>
          <w:u w:val="single"/>
        </w:rPr>
        <w:t xml:space="preserve">     </w:t>
      </w:r>
      <w:r>
        <w:rPr>
          <w:rFonts w:hint="eastAsia" w:ascii="仿宋" w:hAnsi="仿宋" w:eastAsia="仿宋" w:cs="宋体"/>
          <w:color w:val="auto"/>
          <w:sz w:val="28"/>
          <w:szCs w:val="28"/>
        </w:rPr>
        <w:t>份，乙方执</w:t>
      </w:r>
      <w:r>
        <w:rPr>
          <w:rFonts w:hint="eastAsia" w:ascii="仿宋" w:hAnsi="仿宋" w:eastAsia="仿宋" w:cs="宋体"/>
          <w:color w:val="auto"/>
          <w:sz w:val="28"/>
          <w:szCs w:val="28"/>
          <w:u w:val="single"/>
        </w:rPr>
        <w:t xml:space="preserve">    </w:t>
      </w:r>
      <w:r>
        <w:rPr>
          <w:rFonts w:hint="eastAsia" w:ascii="仿宋" w:hAnsi="仿宋" w:eastAsia="仿宋" w:cs="宋体"/>
          <w:color w:val="auto"/>
          <w:sz w:val="28"/>
          <w:szCs w:val="28"/>
        </w:rPr>
        <w:t>份，具</w:t>
      </w:r>
      <w:r>
        <w:rPr>
          <w:rFonts w:hint="eastAsia" w:ascii="仿宋" w:hAnsi="仿宋" w:eastAsia="仿宋" w:cs="宋体"/>
          <w:color w:val="auto"/>
          <w:sz w:val="28"/>
          <w:szCs w:val="28"/>
          <w:lang w:val="en-US" w:eastAsia="zh-CN"/>
        </w:rPr>
        <w:t>有</w:t>
      </w:r>
      <w:r>
        <w:rPr>
          <w:rFonts w:hint="eastAsia" w:ascii="仿宋" w:hAnsi="仿宋" w:eastAsia="仿宋" w:cs="宋体"/>
          <w:color w:val="auto"/>
          <w:sz w:val="28"/>
          <w:szCs w:val="28"/>
        </w:rPr>
        <w:t>同等法律效力。</w:t>
      </w:r>
    </w:p>
    <w:p w14:paraId="06C1BD2B">
      <w:pPr>
        <w:spacing w:line="360" w:lineRule="auto"/>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rPr>
        <w:t>3.本合同自各方签字盖章之日起生效，履行完合同规定的义务后，本合同即行终止。</w:t>
      </w:r>
    </w:p>
    <w:p w14:paraId="448004F0">
      <w:pPr>
        <w:spacing w:line="360" w:lineRule="auto"/>
        <w:ind w:firstLine="560" w:firstLineChars="200"/>
        <w:rPr>
          <w:rFonts w:hint="default" w:ascii="仿宋" w:hAnsi="仿宋" w:eastAsia="仿宋" w:cs="宋体"/>
          <w:color w:val="auto"/>
          <w:sz w:val="28"/>
          <w:szCs w:val="28"/>
          <w:lang w:val="en-US" w:eastAsia="zh-CN"/>
        </w:rPr>
      </w:pPr>
      <w:r>
        <w:rPr>
          <w:rFonts w:hint="eastAsia" w:ascii="仿宋" w:hAnsi="仿宋" w:eastAsia="仿宋" w:cs="宋体"/>
          <w:color w:val="auto"/>
          <w:sz w:val="28"/>
          <w:szCs w:val="28"/>
          <w:lang w:val="en-US" w:eastAsia="zh-CN"/>
        </w:rPr>
        <w:t>4.附件</w:t>
      </w:r>
    </w:p>
    <w:p w14:paraId="7DCFB0CF">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（以下无正文，仅为签署页）</w:t>
      </w:r>
    </w:p>
    <w:p w14:paraId="04D3D2ED">
      <w:pPr>
        <w:pStyle w:val="4"/>
        <w:spacing w:line="360" w:lineRule="auto"/>
        <w:rPr>
          <w:rFonts w:ascii="仿宋" w:hAnsi="仿宋" w:eastAsia="仿宋" w:cs="宋体"/>
          <w:color w:val="auto"/>
          <w:sz w:val="28"/>
          <w:szCs w:val="28"/>
        </w:rPr>
      </w:pPr>
    </w:p>
    <w:p w14:paraId="5FA634CD">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甲方名称 （盖章）:</w:t>
      </w:r>
      <w:r>
        <w:rPr>
          <w:rFonts w:hint="eastAsia" w:ascii="仿宋" w:hAnsi="仿宋" w:eastAsia="仿宋" w:cs="宋体"/>
          <w:color w:val="auto"/>
          <w:sz w:val="28"/>
          <w:szCs w:val="28"/>
          <w:lang w:val="zh-TW"/>
        </w:rPr>
        <w:t xml:space="preserve"> </w:t>
      </w:r>
    </w:p>
    <w:p w14:paraId="2BBBE7B0">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法定代表人或授权代理人（签字或盖章）： </w:t>
      </w:r>
    </w:p>
    <w:p w14:paraId="4314FE1B">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联系人：</w:t>
      </w:r>
    </w:p>
    <w:p w14:paraId="693C017F">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电 话 ： </w:t>
      </w:r>
    </w:p>
    <w:p w14:paraId="22189003">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开户行：</w:t>
      </w:r>
    </w:p>
    <w:p w14:paraId="5D80107E">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账号：</w:t>
      </w:r>
    </w:p>
    <w:p w14:paraId="72CD6D03">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地址： </w:t>
      </w:r>
    </w:p>
    <w:p w14:paraId="15581CA3">
      <w:pPr>
        <w:spacing w:line="360" w:lineRule="auto"/>
        <w:rPr>
          <w:rFonts w:ascii="仿宋" w:hAnsi="仿宋" w:eastAsia="仿宋" w:cs="宋体"/>
          <w:color w:val="auto"/>
          <w:sz w:val="28"/>
          <w:szCs w:val="28"/>
        </w:rPr>
      </w:pPr>
    </w:p>
    <w:p w14:paraId="677A977B">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乙方 （盖章）:</w:t>
      </w:r>
    </w:p>
    <w:p w14:paraId="2D657E77">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法定代表人/授权代理人（签字或盖章）: </w:t>
      </w:r>
    </w:p>
    <w:p w14:paraId="1C5E75ED">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联系人： </w:t>
      </w:r>
    </w:p>
    <w:p w14:paraId="32BB60A9">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电话： </w:t>
      </w:r>
    </w:p>
    <w:p w14:paraId="301B3039">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开户行： </w:t>
      </w:r>
    </w:p>
    <w:p w14:paraId="1E85CFD3">
      <w:pPr>
        <w:spacing w:line="360" w:lineRule="auto"/>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 xml:space="preserve">账号： </w:t>
      </w:r>
    </w:p>
    <w:p w14:paraId="1B53B0A6">
      <w:pPr>
        <w:spacing w:line="360" w:lineRule="auto"/>
        <w:ind w:firstLine="560" w:firstLineChars="200"/>
        <w:rPr>
          <w:rFonts w:hint="eastAsia" w:ascii="仿宋" w:hAnsi="仿宋" w:eastAsia="仿宋" w:cs="楷体"/>
          <w:b/>
          <w:bCs/>
          <w:color w:val="auto"/>
          <w:sz w:val="28"/>
          <w:szCs w:val="28"/>
        </w:rPr>
      </w:pPr>
      <w:r>
        <w:rPr>
          <w:rFonts w:hint="eastAsia" w:ascii="仿宋" w:hAnsi="仿宋" w:eastAsia="仿宋" w:cs="宋体"/>
          <w:color w:val="auto"/>
          <w:sz w:val="28"/>
          <w:szCs w:val="28"/>
        </w:rPr>
        <w:t xml:space="preserve">地址： </w:t>
      </w:r>
    </w:p>
    <w:p w14:paraId="40024B75">
      <w:pPr>
        <w:widowControl/>
        <w:spacing w:line="240" w:lineRule="auto"/>
        <w:jc w:val="left"/>
        <w:rPr>
          <w:rFonts w:hint="eastAsia" w:ascii="仿宋" w:hAnsi="仿宋" w:eastAsia="仿宋" w:cs="仿宋"/>
          <w:b/>
          <w:snapToGrid w:val="0"/>
          <w:color w:val="auto"/>
          <w:kern w:val="0"/>
          <w:sz w:val="28"/>
          <w:szCs w:val="28"/>
        </w:rPr>
      </w:pPr>
      <w:r>
        <w:rPr>
          <w:rFonts w:hint="eastAsia" w:ascii="仿宋" w:hAnsi="仿宋" w:eastAsia="仿宋" w:cs="仿宋"/>
          <w:b/>
          <w:snapToGrid w:val="0"/>
          <w:color w:val="auto"/>
          <w:kern w:val="0"/>
          <w:sz w:val="28"/>
          <w:szCs w:val="28"/>
        </w:rPr>
        <w:br w:type="page"/>
      </w:r>
    </w:p>
    <w:p w14:paraId="76CEB9F7">
      <w:pPr>
        <w:pStyle w:val="2"/>
        <w:keepNext w:val="0"/>
        <w:keepLines w:val="0"/>
        <w:pageBreakBefore w:val="0"/>
        <w:widowControl w:val="0"/>
        <w:kinsoku/>
        <w:wordWrap/>
        <w:overflowPunct/>
        <w:topLinePunct w:val="0"/>
        <w:autoSpaceDE/>
        <w:autoSpaceDN/>
        <w:bidi w:val="0"/>
        <w:adjustRightInd w:val="0"/>
        <w:snapToGrid w:val="0"/>
        <w:spacing w:line="560" w:lineRule="exact"/>
        <w:ind w:left="0" w:right="0" w:rightChars="0" w:firstLine="0" w:firstLineChars="0"/>
        <w:jc w:val="center"/>
        <w:textAlignment w:val="baseline"/>
        <w:rPr>
          <w:rFonts w:hint="eastAsia" w:ascii="仿宋" w:hAnsi="仿宋" w:eastAsia="仿宋" w:cs="仿宋"/>
          <w:b w:val="0"/>
          <w:bCs w:val="0"/>
          <w:color w:val="auto"/>
          <w:sz w:val="40"/>
          <w:szCs w:val="40"/>
          <w:highlight w:val="none"/>
          <w:lang w:eastAsia="zh-CN"/>
        </w:rPr>
      </w:pPr>
      <w:r>
        <w:rPr>
          <w:rFonts w:hint="eastAsia" w:ascii="仿宋" w:hAnsi="仿宋" w:eastAsia="仿宋" w:cs="仿宋"/>
          <w:b w:val="0"/>
          <w:bCs w:val="0"/>
          <w:color w:val="auto"/>
          <w:sz w:val="40"/>
          <w:szCs w:val="40"/>
          <w:highlight w:val="none"/>
          <w:lang w:eastAsia="zh-CN"/>
        </w:rPr>
        <w:t>考</w:t>
      </w:r>
      <w:r>
        <w:rPr>
          <w:rFonts w:hint="eastAsia" w:ascii="仿宋" w:hAnsi="仿宋" w:eastAsia="仿宋" w:cs="仿宋"/>
          <w:b w:val="0"/>
          <w:bCs w:val="0"/>
          <w:color w:val="auto"/>
          <w:sz w:val="40"/>
          <w:szCs w:val="40"/>
          <w:highlight w:val="none"/>
          <w:lang w:val="en-US" w:eastAsia="zh-CN"/>
        </w:rPr>
        <w:t xml:space="preserve"> </w:t>
      </w:r>
      <w:r>
        <w:rPr>
          <w:rFonts w:hint="eastAsia" w:ascii="仿宋" w:hAnsi="仿宋" w:eastAsia="仿宋" w:cs="仿宋"/>
          <w:b w:val="0"/>
          <w:bCs w:val="0"/>
          <w:color w:val="auto"/>
          <w:sz w:val="40"/>
          <w:szCs w:val="40"/>
          <w:highlight w:val="none"/>
          <w:lang w:eastAsia="zh-CN"/>
        </w:rPr>
        <w:t>核</w:t>
      </w:r>
      <w:r>
        <w:rPr>
          <w:rFonts w:hint="eastAsia" w:ascii="仿宋" w:hAnsi="仿宋" w:eastAsia="仿宋" w:cs="仿宋"/>
          <w:b w:val="0"/>
          <w:bCs w:val="0"/>
          <w:color w:val="auto"/>
          <w:sz w:val="40"/>
          <w:szCs w:val="40"/>
          <w:highlight w:val="none"/>
          <w:lang w:val="en-US" w:eastAsia="zh-CN"/>
        </w:rPr>
        <w:t xml:space="preserve"> </w:t>
      </w:r>
      <w:r>
        <w:rPr>
          <w:rFonts w:hint="eastAsia" w:ascii="仿宋" w:hAnsi="仿宋" w:eastAsia="仿宋" w:cs="仿宋"/>
          <w:b w:val="0"/>
          <w:bCs w:val="0"/>
          <w:color w:val="auto"/>
          <w:sz w:val="40"/>
          <w:szCs w:val="40"/>
          <w:highlight w:val="none"/>
          <w:lang w:eastAsia="zh-CN"/>
        </w:rPr>
        <w:t>表</w:t>
      </w:r>
    </w:p>
    <w:tbl>
      <w:tblPr>
        <w:tblStyle w:val="9"/>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47"/>
        <w:gridCol w:w="2424"/>
        <w:gridCol w:w="1034"/>
        <w:gridCol w:w="2835"/>
        <w:gridCol w:w="1304"/>
      </w:tblGrid>
      <w:tr w14:paraId="3FB9D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94" w:type="dxa"/>
            <w:vAlign w:val="center"/>
          </w:tcPr>
          <w:p w14:paraId="06155EDE">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序号</w:t>
            </w:r>
          </w:p>
        </w:tc>
        <w:tc>
          <w:tcPr>
            <w:tcW w:w="1247" w:type="dxa"/>
            <w:vAlign w:val="center"/>
          </w:tcPr>
          <w:p w14:paraId="4BBE5258">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考核项目</w:t>
            </w:r>
          </w:p>
        </w:tc>
        <w:tc>
          <w:tcPr>
            <w:tcW w:w="3458" w:type="dxa"/>
            <w:gridSpan w:val="2"/>
            <w:vAlign w:val="center"/>
          </w:tcPr>
          <w:p w14:paraId="17741DA0">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考核依据</w:t>
            </w:r>
          </w:p>
        </w:tc>
        <w:tc>
          <w:tcPr>
            <w:tcW w:w="2835" w:type="dxa"/>
            <w:vAlign w:val="center"/>
          </w:tcPr>
          <w:p w14:paraId="602C8777">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扣分规定</w:t>
            </w:r>
          </w:p>
        </w:tc>
        <w:tc>
          <w:tcPr>
            <w:tcW w:w="1304" w:type="dxa"/>
            <w:vAlign w:val="center"/>
          </w:tcPr>
          <w:p w14:paraId="600ADDC7">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val="en-US" w:eastAsia="zh-CN"/>
              </w:rPr>
              <w:t>扣分情况</w:t>
            </w:r>
          </w:p>
        </w:tc>
      </w:tr>
      <w:tr w14:paraId="6DE6D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94" w:type="dxa"/>
            <w:vMerge w:val="restart"/>
            <w:vAlign w:val="center"/>
          </w:tcPr>
          <w:p w14:paraId="59BA6037">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247" w:type="dxa"/>
            <w:vMerge w:val="restart"/>
            <w:vAlign w:val="center"/>
          </w:tcPr>
          <w:p w14:paraId="07444ADC">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default" w:ascii="仿宋_GB2312" w:hAnsi="仿宋_GB2312" w:eastAsia="仿宋_GB2312" w:cs="仿宋_GB2312"/>
                <w:color w:val="auto"/>
                <w:sz w:val="24"/>
                <w:szCs w:val="24"/>
                <w:highlight w:val="none"/>
                <w:vertAlign w:val="baseline"/>
                <w:lang w:val="en-US"/>
              </w:rPr>
            </w:pPr>
            <w:r>
              <w:rPr>
                <w:rFonts w:hint="eastAsia" w:ascii="仿宋_GB2312" w:hAnsi="仿宋_GB2312" w:eastAsia="仿宋_GB2312" w:cs="仿宋_GB2312"/>
                <w:color w:val="auto"/>
                <w:sz w:val="24"/>
                <w:szCs w:val="24"/>
                <w:highlight w:val="none"/>
                <w:vertAlign w:val="baseline"/>
                <w:lang w:val="en-US" w:eastAsia="zh-CN"/>
              </w:rPr>
              <w:t>食材质量40分</w:t>
            </w:r>
          </w:p>
        </w:tc>
        <w:tc>
          <w:tcPr>
            <w:tcW w:w="3458" w:type="dxa"/>
            <w:gridSpan w:val="2"/>
            <w:vAlign w:val="center"/>
          </w:tcPr>
          <w:p w14:paraId="37D5890D">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r>
              <w:rPr>
                <w:rFonts w:hint="eastAsia" w:ascii="仿宋_GB2312" w:hAnsi="仿宋_GB2312" w:eastAsia="仿宋_GB2312" w:cs="仿宋_GB2312"/>
                <w:color w:val="auto"/>
                <w:sz w:val="24"/>
                <w:szCs w:val="24"/>
                <w:highlight w:val="none"/>
                <w:vertAlign w:val="baseline"/>
              </w:rPr>
              <w:t>采购的食品、原料及成品，不得腐败变质、霉变及其它不符合卫生标准的情况。</w:t>
            </w:r>
          </w:p>
        </w:tc>
        <w:tc>
          <w:tcPr>
            <w:tcW w:w="2835" w:type="dxa"/>
            <w:vAlign w:val="center"/>
          </w:tcPr>
          <w:p w14:paraId="2E1C1FE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rPr>
              <w:t>采购食品有不合格每发生一次/批</w:t>
            </w:r>
            <w:r>
              <w:rPr>
                <w:rFonts w:hint="eastAsia" w:ascii="仿宋_GB2312" w:hAnsi="仿宋_GB2312" w:eastAsia="仿宋_GB2312" w:cs="仿宋_GB2312"/>
                <w:color w:val="auto"/>
                <w:sz w:val="24"/>
                <w:szCs w:val="24"/>
                <w:highlight w:val="none"/>
                <w:vertAlign w:val="baseline"/>
                <w:lang w:eastAsia="zh-CN"/>
              </w:rPr>
              <w:t>，扣</w:t>
            </w:r>
            <w:r>
              <w:rPr>
                <w:rFonts w:hint="eastAsia" w:ascii="仿宋_GB2312" w:hAnsi="仿宋_GB2312" w:eastAsia="仿宋_GB2312" w:cs="仿宋_GB2312"/>
                <w:color w:val="auto"/>
                <w:sz w:val="24"/>
                <w:szCs w:val="24"/>
                <w:highlight w:val="none"/>
                <w:vertAlign w:val="baseline"/>
                <w:lang w:val="en-US" w:eastAsia="zh-CN"/>
              </w:rPr>
              <w:t>4分。</w:t>
            </w:r>
          </w:p>
        </w:tc>
        <w:tc>
          <w:tcPr>
            <w:tcW w:w="1304" w:type="dxa"/>
            <w:vAlign w:val="center"/>
          </w:tcPr>
          <w:p w14:paraId="2463213B">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018A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94" w:type="dxa"/>
            <w:vMerge w:val="continue"/>
            <w:vAlign w:val="center"/>
          </w:tcPr>
          <w:p w14:paraId="4EE446D6">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val="en-US" w:eastAsia="zh-CN"/>
              </w:rPr>
            </w:pPr>
          </w:p>
        </w:tc>
        <w:tc>
          <w:tcPr>
            <w:tcW w:w="1247" w:type="dxa"/>
            <w:vMerge w:val="continue"/>
            <w:vAlign w:val="center"/>
          </w:tcPr>
          <w:p w14:paraId="7709A78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rPr>
            </w:pPr>
          </w:p>
        </w:tc>
        <w:tc>
          <w:tcPr>
            <w:tcW w:w="3458" w:type="dxa"/>
            <w:gridSpan w:val="2"/>
            <w:vAlign w:val="center"/>
          </w:tcPr>
          <w:p w14:paraId="7E8DB33D">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r>
              <w:rPr>
                <w:rFonts w:hint="eastAsia" w:ascii="仿宋_GB2312" w:hAnsi="仿宋_GB2312" w:eastAsia="仿宋_GB2312" w:cs="仿宋_GB2312"/>
                <w:color w:val="auto"/>
                <w:sz w:val="24"/>
                <w:szCs w:val="24"/>
                <w:highlight w:val="none"/>
                <w:vertAlign w:val="baseline"/>
              </w:rPr>
              <w:t>采购的肉类食品必须有合法检验单或印证。</w:t>
            </w:r>
          </w:p>
        </w:tc>
        <w:tc>
          <w:tcPr>
            <w:tcW w:w="2835" w:type="dxa"/>
            <w:vAlign w:val="center"/>
          </w:tcPr>
          <w:p w14:paraId="0E4068E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rPr>
              <w:t>无检验单或印证，每发生一次/批</w:t>
            </w:r>
            <w:r>
              <w:rPr>
                <w:rFonts w:hint="eastAsia" w:ascii="仿宋_GB2312" w:hAnsi="仿宋_GB2312" w:eastAsia="仿宋_GB2312" w:cs="仿宋_GB2312"/>
                <w:color w:val="auto"/>
                <w:sz w:val="24"/>
                <w:szCs w:val="24"/>
                <w:highlight w:val="none"/>
                <w:vertAlign w:val="baseline"/>
                <w:lang w:eastAsia="zh-CN"/>
              </w:rPr>
              <w:t>，扣</w:t>
            </w:r>
            <w:r>
              <w:rPr>
                <w:rFonts w:hint="eastAsia" w:ascii="仿宋_GB2312" w:hAnsi="仿宋_GB2312" w:eastAsia="仿宋_GB2312" w:cs="仿宋_GB2312"/>
                <w:color w:val="auto"/>
                <w:sz w:val="24"/>
                <w:szCs w:val="24"/>
                <w:highlight w:val="none"/>
                <w:vertAlign w:val="baseline"/>
                <w:lang w:val="en-US" w:eastAsia="zh-CN"/>
              </w:rPr>
              <w:t>4分。</w:t>
            </w:r>
          </w:p>
        </w:tc>
        <w:tc>
          <w:tcPr>
            <w:tcW w:w="1304" w:type="dxa"/>
            <w:vAlign w:val="center"/>
          </w:tcPr>
          <w:p w14:paraId="631BA9F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0CF7C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9" w:hRule="atLeast"/>
          <w:jc w:val="center"/>
        </w:trPr>
        <w:tc>
          <w:tcPr>
            <w:tcW w:w="794" w:type="dxa"/>
            <w:vMerge w:val="continue"/>
            <w:vAlign w:val="center"/>
          </w:tcPr>
          <w:p w14:paraId="258741A8">
            <w:pPr>
              <w:pStyle w:val="3"/>
              <w:keepNext w:val="0"/>
              <w:keepLines w:val="0"/>
              <w:pageBreakBefore w:val="0"/>
              <w:widowControl w:val="0"/>
              <w:kinsoku/>
              <w:wordWrap/>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lang w:val="en-US" w:eastAsia="zh-CN"/>
              </w:rPr>
            </w:pPr>
          </w:p>
        </w:tc>
        <w:tc>
          <w:tcPr>
            <w:tcW w:w="1247" w:type="dxa"/>
            <w:vMerge w:val="continue"/>
            <w:vAlign w:val="center"/>
          </w:tcPr>
          <w:p w14:paraId="7B3CD53C">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rPr>
            </w:pPr>
          </w:p>
        </w:tc>
        <w:tc>
          <w:tcPr>
            <w:tcW w:w="3458" w:type="dxa"/>
            <w:gridSpan w:val="2"/>
            <w:vAlign w:val="center"/>
          </w:tcPr>
          <w:p w14:paraId="5425D997">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val="en-US" w:eastAsia="zh-CN"/>
              </w:rPr>
              <w:t>采购</w:t>
            </w:r>
            <w:r>
              <w:rPr>
                <w:rFonts w:hint="eastAsia" w:ascii="仿宋_GB2312" w:hAnsi="仿宋_GB2312" w:eastAsia="仿宋_GB2312" w:cs="仿宋_GB2312"/>
                <w:color w:val="auto"/>
                <w:sz w:val="24"/>
                <w:szCs w:val="24"/>
                <w:highlight w:val="none"/>
                <w:vertAlign w:val="baseline"/>
              </w:rPr>
              <w:t>的食用油、饮料、乳制品等食品和其他包装食品</w:t>
            </w:r>
            <w:r>
              <w:rPr>
                <w:rFonts w:hint="eastAsia" w:ascii="仿宋_GB2312" w:hAnsi="仿宋_GB2312" w:eastAsia="仿宋_GB2312" w:cs="仿宋_GB2312"/>
                <w:color w:val="auto"/>
                <w:sz w:val="24"/>
                <w:szCs w:val="24"/>
                <w:highlight w:val="none"/>
                <w:vertAlign w:val="baseline"/>
                <w:lang w:eastAsia="zh-CN"/>
              </w:rPr>
              <w:t>、</w:t>
            </w:r>
            <w:r>
              <w:rPr>
                <w:rFonts w:hint="eastAsia" w:ascii="仿宋_GB2312" w:hAnsi="仿宋_GB2312" w:eastAsia="仿宋_GB2312" w:cs="仿宋_GB2312"/>
                <w:color w:val="auto"/>
                <w:sz w:val="24"/>
                <w:szCs w:val="24"/>
                <w:highlight w:val="none"/>
                <w:vertAlign w:val="baseline"/>
              </w:rPr>
              <w:t>调味品，必须符合食品应有的品名、厂名、厂址等，应</w:t>
            </w:r>
            <w:r>
              <w:rPr>
                <w:rFonts w:hint="eastAsia" w:ascii="仿宋_GB2312" w:hAnsi="仿宋_GB2312" w:eastAsia="仿宋_GB2312" w:cs="仿宋_GB2312"/>
                <w:color w:val="auto"/>
                <w:sz w:val="24"/>
                <w:szCs w:val="24"/>
                <w:highlight w:val="none"/>
                <w:vertAlign w:val="baseline"/>
                <w:lang w:val="en-US" w:eastAsia="zh-CN"/>
              </w:rPr>
              <w:t>提供</w:t>
            </w:r>
            <w:r>
              <w:rPr>
                <w:rFonts w:hint="eastAsia" w:ascii="仿宋_GB2312" w:hAnsi="仿宋_GB2312" w:eastAsia="仿宋_GB2312" w:cs="仿宋_GB2312"/>
                <w:color w:val="auto"/>
                <w:sz w:val="24"/>
                <w:szCs w:val="24"/>
                <w:highlight w:val="none"/>
                <w:vertAlign w:val="baseline"/>
              </w:rPr>
              <w:t>卫生检验合格证或检验单。</w:t>
            </w:r>
          </w:p>
        </w:tc>
        <w:tc>
          <w:tcPr>
            <w:tcW w:w="2835" w:type="dxa"/>
            <w:vAlign w:val="center"/>
          </w:tcPr>
          <w:p w14:paraId="1E9E27C2">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r>
              <w:rPr>
                <w:rFonts w:hint="eastAsia" w:ascii="仿宋_GB2312" w:hAnsi="仿宋_GB2312" w:eastAsia="仿宋_GB2312" w:cs="仿宋_GB2312"/>
                <w:color w:val="auto"/>
                <w:sz w:val="24"/>
                <w:szCs w:val="24"/>
                <w:highlight w:val="none"/>
                <w:vertAlign w:val="baseline"/>
              </w:rPr>
              <w:t>不符合规定的</w:t>
            </w:r>
            <w:r>
              <w:rPr>
                <w:rFonts w:hint="eastAsia" w:ascii="仿宋_GB2312" w:hAnsi="仿宋_GB2312" w:eastAsia="仿宋_GB2312" w:cs="仿宋_GB2312"/>
                <w:color w:val="auto"/>
                <w:sz w:val="24"/>
                <w:szCs w:val="24"/>
                <w:highlight w:val="none"/>
                <w:vertAlign w:val="baseline"/>
                <w:lang w:eastAsia="zh-CN"/>
              </w:rPr>
              <w:t>，</w:t>
            </w:r>
            <w:r>
              <w:rPr>
                <w:rFonts w:hint="eastAsia" w:ascii="仿宋_GB2312" w:hAnsi="仿宋_GB2312" w:eastAsia="仿宋_GB2312" w:cs="仿宋_GB2312"/>
                <w:color w:val="auto"/>
                <w:sz w:val="24"/>
                <w:szCs w:val="24"/>
                <w:highlight w:val="none"/>
                <w:vertAlign w:val="baseline"/>
              </w:rPr>
              <w:t>每发生一次/项，</w:t>
            </w:r>
            <w:r>
              <w:rPr>
                <w:rFonts w:hint="eastAsia" w:ascii="仿宋_GB2312" w:hAnsi="仿宋_GB2312" w:eastAsia="仿宋_GB2312" w:cs="仿宋_GB2312"/>
                <w:color w:val="auto"/>
                <w:sz w:val="24"/>
                <w:szCs w:val="24"/>
                <w:highlight w:val="none"/>
                <w:vertAlign w:val="baseline"/>
                <w:lang w:eastAsia="zh-CN"/>
              </w:rPr>
              <w:t>扣</w:t>
            </w:r>
            <w:r>
              <w:rPr>
                <w:rFonts w:hint="eastAsia" w:ascii="仿宋_GB2312" w:hAnsi="仿宋_GB2312" w:eastAsia="仿宋_GB2312" w:cs="仿宋_GB2312"/>
                <w:color w:val="auto"/>
                <w:sz w:val="24"/>
                <w:szCs w:val="24"/>
                <w:highlight w:val="none"/>
                <w:vertAlign w:val="baseline"/>
                <w:lang w:val="en-US" w:eastAsia="zh-CN"/>
              </w:rPr>
              <w:t>4分。</w:t>
            </w:r>
          </w:p>
        </w:tc>
        <w:tc>
          <w:tcPr>
            <w:tcW w:w="1304" w:type="dxa"/>
            <w:vAlign w:val="center"/>
          </w:tcPr>
          <w:p w14:paraId="0FEDC1C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37AEA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794" w:type="dxa"/>
            <w:vMerge w:val="continue"/>
            <w:vAlign w:val="center"/>
          </w:tcPr>
          <w:p w14:paraId="2CF2252C">
            <w:pPr>
              <w:pStyle w:val="3"/>
              <w:keepNext w:val="0"/>
              <w:keepLines w:val="0"/>
              <w:pageBreakBefore w:val="0"/>
              <w:widowControl w:val="0"/>
              <w:kinsoku/>
              <w:wordWrap/>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lang w:val="en-US" w:eastAsia="zh-CN"/>
              </w:rPr>
            </w:pPr>
          </w:p>
        </w:tc>
        <w:tc>
          <w:tcPr>
            <w:tcW w:w="1247" w:type="dxa"/>
            <w:vMerge w:val="continue"/>
            <w:vAlign w:val="center"/>
          </w:tcPr>
          <w:p w14:paraId="2312639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rPr>
            </w:pPr>
          </w:p>
        </w:tc>
        <w:tc>
          <w:tcPr>
            <w:tcW w:w="3458" w:type="dxa"/>
            <w:gridSpan w:val="2"/>
            <w:vAlign w:val="center"/>
          </w:tcPr>
          <w:p w14:paraId="0D5CD2BF">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r>
              <w:rPr>
                <w:rFonts w:hint="eastAsia" w:ascii="仿宋_GB2312" w:hAnsi="仿宋_GB2312" w:eastAsia="仿宋_GB2312" w:cs="仿宋_GB2312"/>
                <w:color w:val="auto"/>
                <w:sz w:val="24"/>
                <w:szCs w:val="24"/>
                <w:highlight w:val="none"/>
                <w:vertAlign w:val="baseline"/>
                <w:lang w:val="en-US" w:eastAsia="zh-CN"/>
              </w:rPr>
              <w:t>时令蔬菜及水果应保证新鲜度，外观完好、颜色形态正常</w:t>
            </w:r>
            <w:r>
              <w:rPr>
                <w:rFonts w:hint="eastAsia" w:ascii="仿宋_GB2312" w:hAnsi="仿宋_GB2312" w:eastAsia="仿宋_GB2312" w:cs="仿宋_GB2312"/>
                <w:color w:val="auto"/>
                <w:sz w:val="24"/>
                <w:szCs w:val="24"/>
                <w:highlight w:val="none"/>
                <w:vertAlign w:val="baseline"/>
              </w:rPr>
              <w:t>。</w:t>
            </w:r>
          </w:p>
        </w:tc>
        <w:tc>
          <w:tcPr>
            <w:tcW w:w="2835" w:type="dxa"/>
            <w:vAlign w:val="center"/>
          </w:tcPr>
          <w:p w14:paraId="3106E83D">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不符合规定的</w:t>
            </w:r>
            <w:r>
              <w:rPr>
                <w:rFonts w:hint="eastAsia" w:ascii="仿宋_GB2312" w:hAnsi="仿宋_GB2312" w:eastAsia="仿宋_GB2312" w:cs="仿宋_GB2312"/>
                <w:color w:val="auto"/>
                <w:sz w:val="24"/>
                <w:szCs w:val="24"/>
                <w:highlight w:val="none"/>
                <w:vertAlign w:val="baseline"/>
              </w:rPr>
              <w:t>，</w:t>
            </w:r>
            <w:r>
              <w:rPr>
                <w:rFonts w:hint="eastAsia" w:ascii="仿宋_GB2312" w:hAnsi="仿宋_GB2312" w:eastAsia="仿宋_GB2312" w:cs="仿宋_GB2312"/>
                <w:color w:val="auto"/>
                <w:sz w:val="24"/>
                <w:szCs w:val="24"/>
                <w:highlight w:val="none"/>
                <w:vertAlign w:val="baseline"/>
                <w:lang w:val="en-US" w:eastAsia="zh-CN"/>
              </w:rPr>
              <w:t>每发生一次/批</w:t>
            </w:r>
            <w:r>
              <w:rPr>
                <w:rFonts w:hint="eastAsia" w:ascii="仿宋_GB2312" w:hAnsi="仿宋_GB2312" w:eastAsia="仿宋_GB2312" w:cs="仿宋_GB2312"/>
                <w:color w:val="auto"/>
                <w:sz w:val="24"/>
                <w:szCs w:val="24"/>
                <w:highlight w:val="none"/>
                <w:vertAlign w:val="baseline"/>
                <w:lang w:eastAsia="zh-CN"/>
              </w:rPr>
              <w:t>，扣</w:t>
            </w:r>
            <w:r>
              <w:rPr>
                <w:rFonts w:hint="eastAsia" w:ascii="仿宋_GB2312" w:hAnsi="仿宋_GB2312" w:eastAsia="仿宋_GB2312" w:cs="仿宋_GB2312"/>
                <w:color w:val="auto"/>
                <w:sz w:val="24"/>
                <w:szCs w:val="24"/>
                <w:highlight w:val="none"/>
                <w:vertAlign w:val="baseline"/>
                <w:lang w:val="en-US" w:eastAsia="zh-CN"/>
              </w:rPr>
              <w:t>4分。</w:t>
            </w:r>
          </w:p>
        </w:tc>
        <w:tc>
          <w:tcPr>
            <w:tcW w:w="1304" w:type="dxa"/>
            <w:vAlign w:val="center"/>
          </w:tcPr>
          <w:p w14:paraId="599B795B">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20BFF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794" w:type="dxa"/>
            <w:vMerge w:val="restart"/>
            <w:vAlign w:val="center"/>
          </w:tcPr>
          <w:p w14:paraId="60D0B425">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w:t>
            </w:r>
          </w:p>
        </w:tc>
        <w:tc>
          <w:tcPr>
            <w:tcW w:w="1247" w:type="dxa"/>
            <w:vMerge w:val="restart"/>
            <w:vAlign w:val="center"/>
          </w:tcPr>
          <w:p w14:paraId="33BB73EC">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食材品类30分</w:t>
            </w:r>
          </w:p>
        </w:tc>
        <w:tc>
          <w:tcPr>
            <w:tcW w:w="3458" w:type="dxa"/>
            <w:gridSpan w:val="2"/>
            <w:vAlign w:val="center"/>
          </w:tcPr>
          <w:p w14:paraId="5BED7BA1">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食材分量应满足当日用餐人员份额要求(依据合同约定人数)</w:t>
            </w:r>
          </w:p>
        </w:tc>
        <w:tc>
          <w:tcPr>
            <w:tcW w:w="2835" w:type="dxa"/>
            <w:vAlign w:val="center"/>
          </w:tcPr>
          <w:p w14:paraId="392578D8">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用餐时间出现无法提供足额份量的</w:t>
            </w:r>
            <w:r>
              <w:rPr>
                <w:rFonts w:hint="eastAsia" w:ascii="仿宋_GB2312" w:hAnsi="仿宋_GB2312" w:eastAsia="仿宋_GB2312" w:cs="仿宋_GB2312"/>
                <w:color w:val="auto"/>
                <w:sz w:val="24"/>
                <w:szCs w:val="24"/>
                <w:highlight w:val="none"/>
                <w:vertAlign w:val="baseline"/>
              </w:rPr>
              <w:t>，</w:t>
            </w:r>
            <w:r>
              <w:rPr>
                <w:rFonts w:hint="eastAsia" w:ascii="仿宋_GB2312" w:hAnsi="仿宋_GB2312" w:eastAsia="仿宋_GB2312" w:cs="仿宋_GB2312"/>
                <w:color w:val="auto"/>
                <w:sz w:val="24"/>
                <w:szCs w:val="24"/>
                <w:highlight w:val="none"/>
                <w:vertAlign w:val="baseline"/>
                <w:lang w:val="en-US" w:eastAsia="zh-CN"/>
              </w:rPr>
              <w:t>每发生一次/批</w:t>
            </w:r>
            <w:r>
              <w:rPr>
                <w:rFonts w:hint="eastAsia" w:ascii="仿宋_GB2312" w:hAnsi="仿宋_GB2312" w:eastAsia="仿宋_GB2312" w:cs="仿宋_GB2312"/>
                <w:color w:val="auto"/>
                <w:sz w:val="24"/>
                <w:szCs w:val="24"/>
                <w:highlight w:val="none"/>
                <w:vertAlign w:val="baseline"/>
                <w:lang w:eastAsia="zh-CN"/>
              </w:rPr>
              <w:t>，扣</w:t>
            </w:r>
            <w:r>
              <w:rPr>
                <w:rFonts w:hint="eastAsia" w:ascii="仿宋_GB2312" w:hAnsi="仿宋_GB2312" w:eastAsia="仿宋_GB2312" w:cs="仿宋_GB2312"/>
                <w:color w:val="auto"/>
                <w:sz w:val="24"/>
                <w:szCs w:val="24"/>
                <w:highlight w:val="none"/>
                <w:vertAlign w:val="baseline"/>
                <w:lang w:val="en-US" w:eastAsia="zh-CN"/>
              </w:rPr>
              <w:t>3分。</w:t>
            </w:r>
          </w:p>
        </w:tc>
        <w:tc>
          <w:tcPr>
            <w:tcW w:w="1304" w:type="dxa"/>
            <w:vAlign w:val="center"/>
          </w:tcPr>
          <w:p w14:paraId="5D3A2A7C">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65A47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794" w:type="dxa"/>
            <w:vMerge w:val="continue"/>
            <w:vAlign w:val="center"/>
          </w:tcPr>
          <w:p w14:paraId="504B2CE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val="en-US" w:eastAsia="zh-CN"/>
              </w:rPr>
            </w:pPr>
          </w:p>
        </w:tc>
        <w:tc>
          <w:tcPr>
            <w:tcW w:w="1247" w:type="dxa"/>
            <w:vMerge w:val="continue"/>
            <w:vAlign w:val="center"/>
          </w:tcPr>
          <w:p w14:paraId="1EF710A8">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eastAsia="zh-CN"/>
              </w:rPr>
            </w:pPr>
          </w:p>
        </w:tc>
        <w:tc>
          <w:tcPr>
            <w:tcW w:w="3458" w:type="dxa"/>
            <w:gridSpan w:val="2"/>
            <w:vAlign w:val="center"/>
          </w:tcPr>
          <w:p w14:paraId="3AFA7A67">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食材品类应符合当日拟定菜单所需，每周至少有三次杂粮、两次水果。</w:t>
            </w:r>
          </w:p>
        </w:tc>
        <w:tc>
          <w:tcPr>
            <w:tcW w:w="2835" w:type="dxa"/>
            <w:vAlign w:val="center"/>
          </w:tcPr>
          <w:p w14:paraId="0DECDCAA">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r>
              <w:rPr>
                <w:rFonts w:hint="eastAsia" w:ascii="仿宋_GB2312" w:hAnsi="仿宋_GB2312" w:eastAsia="仿宋_GB2312" w:cs="仿宋_GB2312"/>
                <w:color w:val="auto"/>
                <w:sz w:val="24"/>
                <w:szCs w:val="24"/>
                <w:highlight w:val="none"/>
                <w:vertAlign w:val="baseline"/>
                <w:lang w:val="en-US" w:eastAsia="zh-CN"/>
              </w:rPr>
              <w:t>不符合菜单要求</w:t>
            </w:r>
            <w:r>
              <w:rPr>
                <w:rFonts w:hint="eastAsia" w:ascii="仿宋_GB2312" w:hAnsi="仿宋_GB2312" w:eastAsia="仿宋_GB2312" w:cs="仿宋_GB2312"/>
                <w:color w:val="auto"/>
                <w:sz w:val="24"/>
                <w:szCs w:val="24"/>
                <w:highlight w:val="none"/>
                <w:vertAlign w:val="baseline"/>
              </w:rPr>
              <w:t>，</w:t>
            </w:r>
            <w:r>
              <w:rPr>
                <w:rFonts w:hint="eastAsia" w:ascii="仿宋_GB2312" w:hAnsi="仿宋_GB2312" w:eastAsia="仿宋_GB2312" w:cs="仿宋_GB2312"/>
                <w:color w:val="auto"/>
                <w:sz w:val="24"/>
                <w:szCs w:val="24"/>
                <w:highlight w:val="none"/>
                <w:vertAlign w:val="baseline"/>
                <w:lang w:val="en-US" w:eastAsia="zh-CN"/>
              </w:rPr>
              <w:t>每发生一次/批</w:t>
            </w:r>
            <w:r>
              <w:rPr>
                <w:rFonts w:hint="eastAsia" w:ascii="仿宋_GB2312" w:hAnsi="仿宋_GB2312" w:eastAsia="仿宋_GB2312" w:cs="仿宋_GB2312"/>
                <w:color w:val="auto"/>
                <w:sz w:val="24"/>
                <w:szCs w:val="24"/>
                <w:highlight w:val="none"/>
                <w:vertAlign w:val="baseline"/>
                <w:lang w:eastAsia="zh-CN"/>
              </w:rPr>
              <w:t>，扣</w:t>
            </w:r>
            <w:r>
              <w:rPr>
                <w:rFonts w:hint="eastAsia" w:ascii="仿宋_GB2312" w:hAnsi="仿宋_GB2312" w:eastAsia="仿宋_GB2312" w:cs="仿宋_GB2312"/>
                <w:color w:val="auto"/>
                <w:sz w:val="24"/>
                <w:szCs w:val="24"/>
                <w:highlight w:val="none"/>
                <w:vertAlign w:val="baseline"/>
                <w:lang w:val="en-US" w:eastAsia="zh-CN"/>
              </w:rPr>
              <w:t>3分。</w:t>
            </w:r>
          </w:p>
        </w:tc>
        <w:tc>
          <w:tcPr>
            <w:tcW w:w="1304" w:type="dxa"/>
            <w:vAlign w:val="center"/>
          </w:tcPr>
          <w:p w14:paraId="756713FC">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1A97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94" w:type="dxa"/>
            <w:vMerge w:val="restart"/>
            <w:vAlign w:val="center"/>
          </w:tcPr>
          <w:p w14:paraId="0B1D330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3</w:t>
            </w:r>
          </w:p>
        </w:tc>
        <w:tc>
          <w:tcPr>
            <w:tcW w:w="1247" w:type="dxa"/>
            <w:vMerge w:val="restart"/>
            <w:vAlign w:val="center"/>
          </w:tcPr>
          <w:p w14:paraId="1E063E28">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配送管理30分</w:t>
            </w:r>
          </w:p>
        </w:tc>
        <w:tc>
          <w:tcPr>
            <w:tcW w:w="3458" w:type="dxa"/>
            <w:gridSpan w:val="2"/>
            <w:vAlign w:val="center"/>
          </w:tcPr>
          <w:p w14:paraId="4D242CB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r>
              <w:rPr>
                <w:rFonts w:hint="eastAsia" w:ascii="仿宋_GB2312" w:hAnsi="仿宋_GB2312" w:eastAsia="仿宋_GB2312" w:cs="仿宋_GB2312"/>
                <w:color w:val="auto"/>
                <w:sz w:val="24"/>
                <w:szCs w:val="24"/>
                <w:highlight w:val="none"/>
                <w:vertAlign w:val="baseline"/>
                <w:lang w:val="en-US" w:eastAsia="zh-CN"/>
              </w:rPr>
              <w:t>食材配送应采用专车，载具符合食品运输管理相关规定</w:t>
            </w:r>
            <w:r>
              <w:rPr>
                <w:rFonts w:hint="eastAsia" w:ascii="仿宋_GB2312" w:hAnsi="仿宋_GB2312" w:eastAsia="仿宋_GB2312" w:cs="仿宋_GB2312"/>
                <w:color w:val="auto"/>
                <w:sz w:val="24"/>
                <w:szCs w:val="24"/>
                <w:highlight w:val="none"/>
                <w:vertAlign w:val="baseline"/>
                <w:lang w:eastAsia="zh-CN"/>
              </w:rPr>
              <w:t>。</w:t>
            </w:r>
          </w:p>
        </w:tc>
        <w:tc>
          <w:tcPr>
            <w:tcW w:w="2835" w:type="dxa"/>
            <w:vAlign w:val="center"/>
          </w:tcPr>
          <w:p w14:paraId="48DC147D">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未采用专车或不符规定的，每发生一次，扣3分。</w:t>
            </w:r>
          </w:p>
        </w:tc>
        <w:tc>
          <w:tcPr>
            <w:tcW w:w="1304" w:type="dxa"/>
            <w:vAlign w:val="center"/>
          </w:tcPr>
          <w:p w14:paraId="7777CCF1">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7E59A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94" w:type="dxa"/>
            <w:vMerge w:val="continue"/>
            <w:vAlign w:val="center"/>
          </w:tcPr>
          <w:p w14:paraId="03EFF0A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val="en-US" w:eastAsia="zh-CN"/>
              </w:rPr>
            </w:pPr>
          </w:p>
        </w:tc>
        <w:tc>
          <w:tcPr>
            <w:tcW w:w="1247" w:type="dxa"/>
            <w:vMerge w:val="continue"/>
            <w:vAlign w:val="center"/>
          </w:tcPr>
          <w:p w14:paraId="7107A3D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rPr>
            </w:pPr>
          </w:p>
        </w:tc>
        <w:tc>
          <w:tcPr>
            <w:tcW w:w="3458" w:type="dxa"/>
            <w:gridSpan w:val="2"/>
            <w:vAlign w:val="center"/>
          </w:tcPr>
          <w:p w14:paraId="2F34172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配送人员应具备食品配送专业资格，能妥善处置配送中发生的突发情况。</w:t>
            </w:r>
          </w:p>
        </w:tc>
        <w:tc>
          <w:tcPr>
            <w:tcW w:w="2835" w:type="dxa"/>
            <w:vAlign w:val="center"/>
          </w:tcPr>
          <w:p w14:paraId="1E58004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无专业资格的，每发生一次扣3分。</w:t>
            </w:r>
          </w:p>
        </w:tc>
        <w:tc>
          <w:tcPr>
            <w:tcW w:w="1304" w:type="dxa"/>
            <w:vAlign w:val="center"/>
          </w:tcPr>
          <w:p w14:paraId="627B5D45">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5285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794" w:type="dxa"/>
            <w:vMerge w:val="continue"/>
            <w:vAlign w:val="center"/>
          </w:tcPr>
          <w:p w14:paraId="7356F5CD">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val="en-US" w:eastAsia="zh-CN"/>
              </w:rPr>
            </w:pPr>
          </w:p>
        </w:tc>
        <w:tc>
          <w:tcPr>
            <w:tcW w:w="1247" w:type="dxa"/>
            <w:vMerge w:val="continue"/>
            <w:vAlign w:val="center"/>
          </w:tcPr>
          <w:p w14:paraId="42BC8F7F">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rPr>
            </w:pPr>
          </w:p>
        </w:tc>
        <w:tc>
          <w:tcPr>
            <w:tcW w:w="3458" w:type="dxa"/>
            <w:gridSpan w:val="2"/>
            <w:vAlign w:val="center"/>
          </w:tcPr>
          <w:p w14:paraId="7CB440FD">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r>
              <w:rPr>
                <w:rFonts w:hint="eastAsia" w:ascii="仿宋_GB2312" w:hAnsi="仿宋_GB2312" w:eastAsia="仿宋_GB2312" w:cs="仿宋_GB2312"/>
                <w:color w:val="auto"/>
                <w:sz w:val="24"/>
                <w:szCs w:val="24"/>
                <w:highlight w:val="none"/>
                <w:vertAlign w:val="baseline"/>
              </w:rPr>
              <w:t>不同类别的食材</w:t>
            </w:r>
            <w:r>
              <w:rPr>
                <w:rFonts w:hint="eastAsia" w:ascii="仿宋_GB2312" w:hAnsi="仿宋_GB2312" w:eastAsia="仿宋_GB2312" w:cs="仿宋_GB2312"/>
                <w:color w:val="auto"/>
                <w:sz w:val="24"/>
                <w:szCs w:val="24"/>
                <w:highlight w:val="none"/>
                <w:vertAlign w:val="baseline"/>
                <w:lang w:val="en-US" w:eastAsia="zh-CN"/>
              </w:rPr>
              <w:t>应分装配送</w:t>
            </w:r>
            <w:r>
              <w:rPr>
                <w:rFonts w:hint="eastAsia" w:ascii="仿宋_GB2312" w:hAnsi="仿宋_GB2312" w:eastAsia="仿宋_GB2312" w:cs="仿宋_GB2312"/>
                <w:color w:val="auto"/>
                <w:sz w:val="24"/>
                <w:szCs w:val="24"/>
                <w:highlight w:val="none"/>
                <w:vertAlign w:val="baseline"/>
              </w:rPr>
              <w:t>，分装所用封装袋须为食品级。</w:t>
            </w:r>
          </w:p>
        </w:tc>
        <w:tc>
          <w:tcPr>
            <w:tcW w:w="2835" w:type="dxa"/>
            <w:vAlign w:val="center"/>
          </w:tcPr>
          <w:p w14:paraId="7AF65ECF">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混装配送或未按要求封装的，每发现一次/批，扣3分。</w:t>
            </w:r>
          </w:p>
        </w:tc>
        <w:tc>
          <w:tcPr>
            <w:tcW w:w="1304" w:type="dxa"/>
            <w:vAlign w:val="center"/>
          </w:tcPr>
          <w:p w14:paraId="7D7EE78B">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5A83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794" w:type="dxa"/>
            <w:vMerge w:val="continue"/>
            <w:vAlign w:val="center"/>
          </w:tcPr>
          <w:p w14:paraId="1BACD648">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lang w:val="en-US" w:eastAsia="zh-CN"/>
              </w:rPr>
            </w:pPr>
          </w:p>
        </w:tc>
        <w:tc>
          <w:tcPr>
            <w:tcW w:w="1247" w:type="dxa"/>
            <w:vMerge w:val="continue"/>
            <w:vAlign w:val="center"/>
          </w:tcPr>
          <w:p w14:paraId="4EE8ACA0">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center"/>
              <w:textAlignment w:val="baseline"/>
              <w:rPr>
                <w:rFonts w:hint="eastAsia" w:ascii="仿宋_GB2312" w:hAnsi="仿宋_GB2312" w:eastAsia="仿宋_GB2312" w:cs="仿宋_GB2312"/>
                <w:color w:val="auto"/>
                <w:sz w:val="24"/>
                <w:szCs w:val="24"/>
                <w:highlight w:val="none"/>
                <w:vertAlign w:val="baseline"/>
              </w:rPr>
            </w:pPr>
          </w:p>
        </w:tc>
        <w:tc>
          <w:tcPr>
            <w:tcW w:w="3458" w:type="dxa"/>
            <w:gridSpan w:val="2"/>
            <w:vAlign w:val="center"/>
          </w:tcPr>
          <w:p w14:paraId="711DBE8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rPr>
              <w:t>食材</w:t>
            </w:r>
            <w:r>
              <w:rPr>
                <w:rFonts w:hint="eastAsia" w:ascii="仿宋_GB2312" w:hAnsi="仿宋_GB2312" w:eastAsia="仿宋_GB2312" w:cs="仿宋_GB2312"/>
                <w:color w:val="auto"/>
                <w:sz w:val="24"/>
                <w:szCs w:val="24"/>
                <w:highlight w:val="none"/>
                <w:vertAlign w:val="baseline"/>
                <w:lang w:val="en-US" w:eastAsia="zh-CN"/>
              </w:rPr>
              <w:t>按照通知时间提前或准时送达。</w:t>
            </w:r>
          </w:p>
        </w:tc>
        <w:tc>
          <w:tcPr>
            <w:tcW w:w="2835" w:type="dxa"/>
            <w:vAlign w:val="center"/>
          </w:tcPr>
          <w:p w14:paraId="5949152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未按通知时间送达的，每发现一次，扣3分。</w:t>
            </w:r>
          </w:p>
        </w:tc>
        <w:tc>
          <w:tcPr>
            <w:tcW w:w="1304" w:type="dxa"/>
            <w:vAlign w:val="center"/>
          </w:tcPr>
          <w:p w14:paraId="5F26664E">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rPr>
            </w:pPr>
          </w:p>
        </w:tc>
      </w:tr>
      <w:tr w14:paraId="5E32C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4465" w:type="dxa"/>
            <w:gridSpan w:val="3"/>
            <w:vAlign w:val="center"/>
          </w:tcPr>
          <w:p w14:paraId="168295E8">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考核月份：</w:t>
            </w:r>
          </w:p>
        </w:tc>
        <w:tc>
          <w:tcPr>
            <w:tcW w:w="5173" w:type="dxa"/>
            <w:gridSpan w:val="3"/>
            <w:vAlign w:val="center"/>
          </w:tcPr>
          <w:p w14:paraId="74639174">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总分：</w:t>
            </w:r>
          </w:p>
        </w:tc>
      </w:tr>
      <w:tr w14:paraId="20AC1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4465" w:type="dxa"/>
            <w:gridSpan w:val="3"/>
            <w:vAlign w:val="center"/>
          </w:tcPr>
          <w:p w14:paraId="56D2C044">
            <w:pPr>
              <w:keepNext w:val="0"/>
              <w:keepLines w:val="0"/>
              <w:pageBreakBefore w:val="0"/>
              <w:widowControl w:val="0"/>
              <w:kinsoku/>
              <w:wordWrap/>
              <w:overflowPunct w:val="0"/>
              <w:topLinePunct w:val="0"/>
              <w:bidi w:val="0"/>
              <w:adjustRightInd w:val="0"/>
              <w:snapToGrid w:val="0"/>
              <w:spacing w:line="360" w:lineRule="exact"/>
              <w:ind w:right="0" w:right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考核人签字：</w:t>
            </w:r>
          </w:p>
        </w:tc>
        <w:tc>
          <w:tcPr>
            <w:tcW w:w="5173" w:type="dxa"/>
            <w:gridSpan w:val="3"/>
            <w:vAlign w:val="center"/>
          </w:tcPr>
          <w:p w14:paraId="607B52F3">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被考核人签字：</w:t>
            </w:r>
          </w:p>
        </w:tc>
      </w:tr>
      <w:tr w14:paraId="60E2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638" w:type="dxa"/>
            <w:gridSpan w:val="6"/>
            <w:vAlign w:val="center"/>
          </w:tcPr>
          <w:p w14:paraId="362E3CAD">
            <w:pPr>
              <w:keepNext w:val="0"/>
              <w:keepLines w:val="0"/>
              <w:pageBreakBefore w:val="0"/>
              <w:widowControl w:val="0"/>
              <w:kinsoku/>
              <w:wordWrap/>
              <w:overflowPunct w:val="0"/>
              <w:topLinePunct w:val="0"/>
              <w:bidi w:val="0"/>
              <w:adjustRightInd w:val="0"/>
              <w:snapToGrid w:val="0"/>
              <w:spacing w:line="360" w:lineRule="exact"/>
              <w:ind w:left="0" w:right="0" w:rightChars="0" w:firstLine="0" w:firstLineChars="0"/>
              <w:jc w:val="left"/>
              <w:textAlignment w:val="baseline"/>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备注：1. </w:t>
            </w:r>
            <w:r>
              <w:rPr>
                <w:rFonts w:hint="eastAsia" w:ascii="仿宋_GB2312" w:hAnsi="仿宋_GB2312" w:eastAsia="仿宋_GB2312" w:cs="仿宋_GB2312"/>
                <w:color w:val="auto"/>
                <w:sz w:val="24"/>
                <w:szCs w:val="24"/>
                <w:highlight w:val="none"/>
                <w:vertAlign w:val="baseline"/>
              </w:rPr>
              <w:t>每月由甲方考核评分，</w:t>
            </w:r>
            <w:r>
              <w:rPr>
                <w:rFonts w:hint="eastAsia" w:ascii="仿宋_GB2312" w:hAnsi="仿宋_GB2312" w:eastAsia="仿宋_GB2312" w:cs="仿宋_GB2312"/>
                <w:color w:val="auto"/>
                <w:sz w:val="24"/>
                <w:szCs w:val="24"/>
                <w:highlight w:val="none"/>
                <w:vertAlign w:val="baseline"/>
                <w:lang w:val="en-US" w:eastAsia="zh-CN"/>
              </w:rPr>
              <w:t>80分为及格，</w:t>
            </w:r>
            <w:r>
              <w:rPr>
                <w:rFonts w:hint="eastAsia" w:ascii="仿宋_GB2312" w:hAnsi="仿宋_GB2312" w:eastAsia="仿宋_GB2312" w:cs="仿宋_GB2312"/>
                <w:color w:val="auto"/>
                <w:sz w:val="24"/>
                <w:szCs w:val="24"/>
                <w:highlight w:val="none"/>
                <w:vertAlign w:val="baseline"/>
              </w:rPr>
              <w:t>如果当次考核分未达到</w:t>
            </w:r>
            <w:r>
              <w:rPr>
                <w:rFonts w:hint="eastAsia" w:ascii="仿宋_GB2312" w:hAnsi="仿宋_GB2312" w:eastAsia="仿宋_GB2312" w:cs="仿宋_GB2312"/>
                <w:color w:val="auto"/>
                <w:sz w:val="24"/>
                <w:szCs w:val="24"/>
                <w:highlight w:val="none"/>
                <w:vertAlign w:val="baseline"/>
                <w:lang w:val="en-US" w:eastAsia="zh-CN"/>
              </w:rPr>
              <w:t>8</w:t>
            </w:r>
            <w:r>
              <w:rPr>
                <w:rFonts w:hint="eastAsia" w:ascii="仿宋_GB2312" w:hAnsi="仿宋_GB2312" w:eastAsia="仿宋_GB2312" w:cs="仿宋_GB2312"/>
                <w:color w:val="auto"/>
                <w:sz w:val="24"/>
                <w:szCs w:val="24"/>
                <w:highlight w:val="none"/>
                <w:vertAlign w:val="baseline"/>
              </w:rPr>
              <w:t>0分</w:t>
            </w:r>
            <w:r>
              <w:rPr>
                <w:rFonts w:hint="eastAsia" w:ascii="仿宋_GB2312" w:hAnsi="仿宋_GB2312" w:eastAsia="仿宋_GB2312" w:cs="仿宋_GB2312"/>
                <w:color w:val="auto"/>
                <w:sz w:val="24"/>
                <w:szCs w:val="24"/>
                <w:highlight w:val="none"/>
                <w:vertAlign w:val="baseline"/>
                <w:lang w:eastAsia="zh-CN"/>
              </w:rPr>
              <w:t>（含）</w:t>
            </w:r>
            <w:r>
              <w:rPr>
                <w:rFonts w:hint="eastAsia" w:ascii="仿宋_GB2312" w:hAnsi="仿宋_GB2312" w:eastAsia="仿宋_GB2312" w:cs="仿宋_GB2312"/>
                <w:color w:val="auto"/>
                <w:sz w:val="24"/>
                <w:szCs w:val="24"/>
                <w:highlight w:val="none"/>
                <w:vertAlign w:val="baseline"/>
              </w:rPr>
              <w:t>以上，第一次甲方对乙方</w:t>
            </w:r>
            <w:r>
              <w:rPr>
                <w:rFonts w:hint="eastAsia" w:ascii="仿宋_GB2312" w:hAnsi="仿宋_GB2312" w:eastAsia="仿宋_GB2312" w:cs="仿宋_GB2312"/>
                <w:color w:val="auto"/>
                <w:sz w:val="24"/>
                <w:szCs w:val="24"/>
                <w:highlight w:val="none"/>
                <w:vertAlign w:val="baseline"/>
                <w:lang w:eastAsia="zh-CN"/>
              </w:rPr>
              <w:t>下达</w:t>
            </w:r>
            <w:r>
              <w:rPr>
                <w:rFonts w:hint="eastAsia" w:ascii="仿宋_GB2312" w:hAnsi="仿宋_GB2312" w:eastAsia="仿宋_GB2312" w:cs="仿宋_GB2312"/>
                <w:color w:val="auto"/>
                <w:sz w:val="24"/>
                <w:szCs w:val="24"/>
                <w:highlight w:val="none"/>
                <w:vertAlign w:val="baseline"/>
              </w:rPr>
              <w:t>整改</w:t>
            </w:r>
            <w:r>
              <w:rPr>
                <w:rFonts w:hint="eastAsia" w:ascii="仿宋_GB2312" w:hAnsi="仿宋_GB2312" w:eastAsia="仿宋_GB2312" w:cs="仿宋_GB2312"/>
                <w:color w:val="auto"/>
                <w:sz w:val="24"/>
                <w:szCs w:val="24"/>
                <w:highlight w:val="none"/>
                <w:vertAlign w:val="baseline"/>
                <w:lang w:eastAsia="zh-CN"/>
              </w:rPr>
              <w:t>通知，</w:t>
            </w:r>
            <w:r>
              <w:rPr>
                <w:rFonts w:hint="eastAsia" w:ascii="仿宋_GB2312" w:hAnsi="仿宋_GB2312" w:eastAsia="仿宋_GB2312" w:cs="仿宋_GB2312"/>
                <w:color w:val="auto"/>
                <w:sz w:val="24"/>
                <w:szCs w:val="24"/>
                <w:highlight w:val="none"/>
                <w:vertAlign w:val="baseline"/>
              </w:rPr>
              <w:t>乙方</w:t>
            </w:r>
            <w:r>
              <w:rPr>
                <w:rFonts w:hint="eastAsia" w:ascii="仿宋_GB2312" w:hAnsi="仿宋_GB2312" w:eastAsia="仿宋_GB2312" w:cs="仿宋_GB2312"/>
                <w:color w:val="auto"/>
                <w:sz w:val="24"/>
                <w:szCs w:val="24"/>
                <w:highlight w:val="none"/>
                <w:vertAlign w:val="baseline"/>
                <w:lang w:val="en-US" w:eastAsia="zh-CN"/>
              </w:rPr>
              <w:t>提出可行的整改方案并经甲方同意，限期整改；</w:t>
            </w:r>
            <w:r>
              <w:rPr>
                <w:rFonts w:hint="eastAsia" w:ascii="仿宋_GB2312" w:hAnsi="仿宋_GB2312" w:eastAsia="仿宋_GB2312" w:cs="仿宋_GB2312"/>
                <w:color w:val="auto"/>
                <w:sz w:val="24"/>
                <w:szCs w:val="24"/>
                <w:highlight w:val="none"/>
                <w:vertAlign w:val="baseline"/>
              </w:rPr>
              <w:t>第二次考核未达到要求的，甲方扣除乙方当月服务费的</w:t>
            </w:r>
            <w:r>
              <w:rPr>
                <w:rFonts w:hint="eastAsia" w:ascii="仿宋_GB2312" w:hAnsi="仿宋_GB2312" w:eastAsia="仿宋_GB2312" w:cs="仿宋_GB2312"/>
                <w:color w:val="auto"/>
                <w:sz w:val="24"/>
                <w:szCs w:val="24"/>
                <w:highlight w:val="none"/>
                <w:vertAlign w:val="baseline"/>
                <w:lang w:val="en-US" w:eastAsia="zh-CN"/>
              </w:rPr>
              <w:t>15</w:t>
            </w:r>
            <w:r>
              <w:rPr>
                <w:rFonts w:hint="eastAsia" w:ascii="仿宋_GB2312" w:hAnsi="仿宋_GB2312" w:eastAsia="仿宋_GB2312" w:cs="仿宋_GB2312"/>
                <w:color w:val="auto"/>
                <w:sz w:val="24"/>
                <w:szCs w:val="24"/>
                <w:highlight w:val="none"/>
                <w:vertAlign w:val="baseline"/>
              </w:rPr>
              <w:t>%;第三次考核未达到要求的(非连续月份)，扣除当月所有服务费。</w:t>
            </w:r>
            <w:r>
              <w:rPr>
                <w:rFonts w:hint="eastAsia" w:ascii="仿宋_GB2312" w:hAnsi="仿宋_GB2312" w:eastAsia="仿宋_GB2312" w:cs="仿宋_GB2312"/>
                <w:color w:val="auto"/>
                <w:sz w:val="24"/>
                <w:szCs w:val="24"/>
                <w:highlight w:val="none"/>
                <w:vertAlign w:val="baseline"/>
                <w:lang w:val="en-US" w:eastAsia="zh-CN"/>
              </w:rPr>
              <w:t xml:space="preserve">2. </w:t>
            </w:r>
            <w:r>
              <w:rPr>
                <w:rFonts w:hint="eastAsia" w:ascii="仿宋_GB2312" w:hAnsi="仿宋_GB2312" w:eastAsia="仿宋_GB2312" w:cs="仿宋_GB2312"/>
                <w:color w:val="auto"/>
                <w:sz w:val="24"/>
                <w:szCs w:val="24"/>
                <w:highlight w:val="none"/>
                <w:vertAlign w:val="baseline"/>
              </w:rPr>
              <w:t>如连续三个月</w:t>
            </w:r>
            <w:r>
              <w:rPr>
                <w:rFonts w:hint="eastAsia" w:ascii="仿宋_GB2312" w:hAnsi="仿宋_GB2312" w:eastAsia="仿宋_GB2312" w:cs="仿宋_GB2312"/>
                <w:color w:val="auto"/>
                <w:sz w:val="24"/>
                <w:szCs w:val="24"/>
                <w:highlight w:val="none"/>
                <w:vertAlign w:val="baseline"/>
                <w:lang w:val="en-US" w:eastAsia="zh-CN"/>
              </w:rPr>
              <w:t>考核</w:t>
            </w:r>
            <w:r>
              <w:rPr>
                <w:rFonts w:hint="eastAsia" w:ascii="仿宋_GB2312" w:hAnsi="仿宋_GB2312" w:eastAsia="仿宋_GB2312" w:cs="仿宋_GB2312"/>
                <w:color w:val="auto"/>
                <w:sz w:val="24"/>
                <w:szCs w:val="24"/>
                <w:highlight w:val="none"/>
                <w:vertAlign w:val="baseline"/>
              </w:rPr>
              <w:t>未达到要求的，</w:t>
            </w:r>
            <w:r>
              <w:rPr>
                <w:rFonts w:hint="eastAsia" w:ascii="仿宋_GB2312" w:hAnsi="仿宋_GB2312" w:eastAsia="仿宋_GB2312" w:cs="仿宋_GB2312"/>
                <w:color w:val="auto"/>
                <w:sz w:val="24"/>
                <w:szCs w:val="24"/>
                <w:highlight w:val="none"/>
                <w:vertAlign w:val="baseline"/>
                <w:lang w:eastAsia="zh-CN"/>
              </w:rPr>
              <w:t>或</w:t>
            </w:r>
            <w:r>
              <w:rPr>
                <w:rFonts w:hint="eastAsia" w:ascii="仿宋_GB2312" w:hAnsi="仿宋_GB2312" w:eastAsia="仿宋_GB2312" w:cs="仿宋_GB2312"/>
                <w:color w:val="auto"/>
                <w:sz w:val="24"/>
                <w:szCs w:val="24"/>
                <w:highlight w:val="none"/>
                <w:vertAlign w:val="baseline"/>
                <w:lang w:val="en-US" w:eastAsia="zh-CN"/>
              </w:rPr>
              <w:t>对下达两次整改通知书后仍无改进、因食材品质或配送管理不到位出现食品安全事故等重大违约行为</w:t>
            </w:r>
            <w:r>
              <w:rPr>
                <w:rFonts w:hint="eastAsia" w:ascii="仿宋_GB2312" w:hAnsi="仿宋_GB2312" w:eastAsia="仿宋_GB2312" w:cs="仿宋_GB2312"/>
                <w:color w:val="auto"/>
                <w:sz w:val="24"/>
                <w:szCs w:val="24"/>
                <w:highlight w:val="none"/>
                <w:vertAlign w:val="baseline"/>
              </w:rPr>
              <w:t>，甲方有权终止合同</w:t>
            </w:r>
            <w:r>
              <w:rPr>
                <w:rFonts w:hint="eastAsia" w:ascii="仿宋_GB2312" w:hAnsi="仿宋_GB2312" w:eastAsia="仿宋_GB2312" w:cs="仿宋_GB2312"/>
                <w:color w:val="auto"/>
                <w:sz w:val="24"/>
                <w:szCs w:val="24"/>
                <w:highlight w:val="none"/>
                <w:vertAlign w:val="baseline"/>
                <w:lang w:eastAsia="zh-CN"/>
              </w:rPr>
              <w:t>，</w:t>
            </w:r>
            <w:r>
              <w:rPr>
                <w:rFonts w:hint="eastAsia" w:ascii="仿宋_GB2312" w:hAnsi="仿宋_GB2312" w:eastAsia="仿宋_GB2312" w:cs="仿宋_GB2312"/>
                <w:color w:val="auto"/>
                <w:sz w:val="24"/>
                <w:szCs w:val="24"/>
                <w:highlight w:val="none"/>
                <w:vertAlign w:val="baseline"/>
              </w:rPr>
              <w:t>乙方应按合同总价30%的金额向甲方承担违约责任，并将相关资料一并移交甲方，乙方不得以任何理由拒绝或拖延提交有关资料，或提供不真实、不准确、不完整的资料。</w:t>
            </w:r>
          </w:p>
        </w:tc>
      </w:tr>
    </w:tbl>
    <w:p w14:paraId="7FD099C4">
      <w:pPr>
        <w:widowControl/>
        <w:spacing w:line="360" w:lineRule="auto"/>
        <w:jc w:val="left"/>
        <w:rPr>
          <w:rFonts w:hint="eastAsia" w:ascii="仿宋" w:hAnsi="仿宋" w:eastAsia="仿宋" w:cs="仿宋"/>
          <w:b/>
          <w:snapToGrid w:val="0"/>
          <w:color w:val="auto"/>
          <w:kern w:val="0"/>
          <w:sz w:val="28"/>
          <w:szCs w:val="28"/>
        </w:rPr>
      </w:pPr>
    </w:p>
    <w:p w14:paraId="49B22E1F"/>
    <w:sectPr>
      <w:footerReference r:id="rId3" w:type="default"/>
      <w:pgSz w:w="11900" w:h="16840"/>
      <w:pgMar w:top="1134" w:right="1134" w:bottom="1134" w:left="1134" w:header="0" w:footer="558"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894444"/>
    </w:sdtPr>
    <w:sdtContent>
      <w:sdt>
        <w:sdtPr>
          <w:id w:val="-1669238322"/>
        </w:sdtPr>
        <w:sdtContent>
          <w:p w14:paraId="1795563B">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80</w:t>
            </w:r>
            <w:r>
              <w:rPr>
                <w:b/>
                <w:bCs/>
                <w:sz w:val="24"/>
                <w:szCs w:val="24"/>
              </w:rPr>
              <w:fldChar w:fldCharType="end"/>
            </w:r>
          </w:p>
        </w:sdtContent>
      </w:sdt>
    </w:sdtContent>
  </w:sdt>
  <w:p w14:paraId="3DBE434D">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D41CF7"/>
    <w:multiLevelType w:val="singleLevel"/>
    <w:tmpl w:val="19D41C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2878B8"/>
    <w:rsid w:val="2CC55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3"/>
    <w:next w:val="3"/>
    <w:unhideWhenUsed/>
    <w:qFormat/>
    <w:uiPriority w:val="0"/>
    <w:pPr>
      <w:widowControl/>
      <w:kinsoku w:val="0"/>
      <w:autoSpaceDE w:val="0"/>
      <w:autoSpaceDN w:val="0"/>
      <w:adjustRightInd w:val="0"/>
      <w:snapToGrid w:val="0"/>
      <w:jc w:val="center"/>
    </w:pPr>
    <w:rPr>
      <w:rFonts w:ascii="宋体" w:hAnsi="宋体" w:eastAsia="宋体" w:cs="仿宋"/>
      <w:b/>
      <w:bCs/>
      <w:color w:val="000000"/>
      <w:kern w:val="0"/>
      <w:sz w:val="40"/>
      <w:szCs w:val="40"/>
    </w:rPr>
  </w:style>
  <w:style w:type="paragraph" w:customStyle="1" w:styleId="3">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4">
    <w:name w:val="Normal Indent"/>
    <w:basedOn w:val="1"/>
    <w:qFormat/>
    <w:uiPriority w:val="99"/>
    <w:pPr>
      <w:ind w:firstLine="420"/>
    </w:pPr>
  </w:style>
  <w:style w:type="paragraph" w:styleId="5">
    <w:name w:val="annotation text"/>
    <w:basedOn w:val="1"/>
    <w:qFormat/>
    <w:uiPriority w:val="0"/>
    <w:pPr>
      <w:jc w:val="left"/>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Body Text First Indent"/>
    <w:basedOn w:val="2"/>
    <w:qFormat/>
    <w:uiPriority w:val="0"/>
    <w:pPr>
      <w:widowControl w:val="0"/>
      <w:kinsoku/>
      <w:autoSpaceDE/>
      <w:autoSpaceDN/>
      <w:adjustRightInd/>
      <w:snapToGrid/>
      <w:spacing w:after="120"/>
      <w:ind w:firstLine="420" w:firstLineChars="100"/>
      <w:jc w:val="both"/>
    </w:pPr>
    <w:rPr>
      <w:rFonts w:asciiTheme="minorHAnsi" w:hAnsiTheme="minorHAnsi" w:eastAsiaTheme="minorEastAsia" w:cstheme="minorBidi"/>
      <w:b w:val="0"/>
      <w:bCs w:val="0"/>
      <w:color w:val="auto"/>
      <w:kern w:val="2"/>
      <w:sz w:val="21"/>
      <w:szCs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3966</Words>
  <Characters>3995</Characters>
  <Lines>0</Lines>
  <Paragraphs>0</Paragraphs>
  <TotalTime>0</TotalTime>
  <ScaleCrop>false</ScaleCrop>
  <LinksUpToDate>false</LinksUpToDate>
  <CharactersWithSpaces>4110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2025-12-14T05:46:00Z</dcterms:created>
  <dc:creator>ASUS</dc:creator>
  <cp:lastModifiedBy>Cat</cp:lastModifiedBy>
  <dcterms:modified xsi:type="dcterms:W3CDTF">2025-12-14T06:53:48Z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437807BAEAC64BEE8B8FBB74E99E8C5C_12</vt:lpwstr>
  </property>
</Properties>
</file>