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版本号：HXGJXM2025-ZC-CS112320251226001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罗汉寺安防工程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HXGJXM2025-ZC-CS1123</w:t>
      </w:r>
      <w:r>
        <w:br/>
      </w:r>
      <w:r>
        <w:br/>
      </w:r>
      <w:r>
        <w:br/>
      </w:r>
    </w:p>
    <w:p>
      <w:pPr>
        <w:pStyle w:val="null3"/>
        <w:jc w:val="center"/>
        <w:outlineLvl w:val="2"/>
      </w:pPr>
      <w:r>
        <w:rPr>
          <w:rFonts w:ascii="仿宋_GB2312" w:hAnsi="仿宋_GB2312" w:cs="仿宋_GB2312" w:eastAsia="仿宋_GB2312"/>
          <w:sz w:val="28"/>
          <w:b/>
        </w:rPr>
        <w:t>西安高新技术产业开发区宣传文旅局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西安高新技术产业开发区宣传文旅局</w:t>
      </w:r>
      <w:r>
        <w:rPr>
          <w:rFonts w:ascii="仿宋_GB2312" w:hAnsi="仿宋_GB2312" w:cs="仿宋_GB2312" w:eastAsia="仿宋_GB2312"/>
        </w:rPr>
        <w:t>委托，拟对</w:t>
      </w:r>
      <w:r>
        <w:rPr>
          <w:rFonts w:ascii="仿宋_GB2312" w:hAnsi="仿宋_GB2312" w:cs="仿宋_GB2312" w:eastAsia="仿宋_GB2312"/>
        </w:rPr>
        <w:t>罗汉寺安防工程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罗汉寺安防工程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罗汉寺安防工程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采购包1（罗汉寺安防工程）：属于专门面向小微企业采购。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2、项目负责人资质和专业：1、供应商具备电子与智能化工程专业承包二级及以上资质并具有有效的安全生产许可证； 2、拟派项目经理具备机电工程专业注册建造师二级及以上执业资格，具备有效的安全生产考核合格证，在本单位注册，且无在建项目（提供相关承诺书）</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西安高新技术产业开发区锦业路1号都市之门B座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代理服务费收费标准：按国家计委颁发的《采购代理服务收费管理暂行办法》 (计价格[2002]1980号) 和国家发展和改革委员会办公厅颁发的《关于采 购代理服务收费有关问题的通知》 (发改办价格[2003] 857号) 的有关规定标准向采购代理机构一次付清采购代理服务费。 户名：华夏国际项目管理（西安）有限公司第一分公司 开户行：中国光大银行股份有限公司西安南二环支行 账号：78620188000199459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西安高新技术产业开发区宣传文旅局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联系电话：029-88899972-822</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640,200.00</w:t>
      </w:r>
    </w:p>
    <w:p>
      <w:pPr>
        <w:pStyle w:val="null3"/>
      </w:pPr>
      <w:r>
        <w:rPr>
          <w:rFonts w:ascii="仿宋_GB2312" w:hAnsi="仿宋_GB2312" w:cs="仿宋_GB2312" w:eastAsia="仿宋_GB2312"/>
        </w:rPr>
        <w:t>采购包最高限价（元）: 640,200.00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罗汉寺安防</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640,200.00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标的名称：罗汉寺安防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1、按照《罗汉寺安防工程设计方案》要求，罗汉寺安防工程范围覆盖罗汉寺保护范围内诸佛殿和石刻等文物。工程内容主要包括入侵报警系统、视频监管控制系统、电子门禁系统、传输系统、供电系统等。</w:t>
            </w:r>
          </w:p>
          <w:p>
            <w:pPr>
              <w:pStyle w:val="null3"/>
            </w:pPr>
            <w:r>
              <w:rPr>
                <w:rFonts w:ascii="仿宋_GB2312" w:hAnsi="仿宋_GB2312" w:cs="仿宋_GB2312" w:eastAsia="仿宋_GB2312"/>
              </w:rPr>
              <w:t>2、采用广联达云计价平台GCCP7.0-7.5000.23.2版本编制导出的报价表、已报价的电子标书。</w:t>
            </w:r>
          </w:p>
          <w:p>
            <w:pPr>
              <w:pStyle w:val="null3"/>
            </w:pPr>
            <w:r>
              <w:rPr>
                <w:rFonts w:ascii="仿宋_GB2312" w:hAnsi="仿宋_GB2312" w:cs="仿宋_GB2312" w:eastAsia="仿宋_GB2312"/>
              </w:rPr>
              <w:t>3、工程量清单编制依据</w:t>
            </w:r>
          </w:p>
          <w:p>
            <w:pPr>
              <w:pStyle w:val="null3"/>
              <w:jc w:val="both"/>
            </w:pPr>
            <w:r>
              <w:rPr>
                <w:rFonts w:ascii="仿宋_GB2312" w:hAnsi="仿宋_GB2312" w:cs="仿宋_GB2312" w:eastAsia="仿宋_GB2312"/>
              </w:rPr>
              <w:t>陕西省《房屋建筑与装饰工程工程量计算标准》2025</w:t>
            </w:r>
          </w:p>
          <w:p>
            <w:pPr>
              <w:pStyle w:val="null3"/>
            </w:pPr>
            <w:r>
              <w:rPr>
                <w:rFonts w:ascii="仿宋_GB2312" w:hAnsi="仿宋_GB2312" w:cs="仿宋_GB2312" w:eastAsia="仿宋_GB2312"/>
              </w:rPr>
              <w:t>陕西省《通用安装工程工程量计算标准》2025</w:t>
            </w:r>
          </w:p>
          <w:p>
            <w:pPr>
              <w:pStyle w:val="null3"/>
            </w:pPr>
            <w:r>
              <w:rPr>
                <w:rFonts w:ascii="仿宋_GB2312" w:hAnsi="仿宋_GB2312" w:cs="仿宋_GB2312" w:eastAsia="仿宋_GB2312"/>
              </w:rPr>
              <w:t>《陕西省建设工程费用规则》（2025）</w:t>
            </w:r>
          </w:p>
          <w:p>
            <w:pPr>
              <w:pStyle w:val="null3"/>
            </w:pPr>
            <w:r>
              <w:rPr>
                <w:rFonts w:ascii="仿宋_GB2312" w:hAnsi="仿宋_GB2312" w:cs="仿宋_GB2312" w:eastAsia="仿宋_GB2312"/>
              </w:rPr>
              <w:t>《陕西省房屋建筑与装饰工程消耗量定额》（2025）</w:t>
            </w:r>
          </w:p>
          <w:p>
            <w:pPr>
              <w:pStyle w:val="null3"/>
            </w:pPr>
            <w:r>
              <w:rPr>
                <w:rFonts w:ascii="仿宋_GB2312" w:hAnsi="仿宋_GB2312" w:cs="仿宋_GB2312" w:eastAsia="仿宋_GB2312"/>
              </w:rPr>
              <w:t>《陕西省通用安装工程消耗量定额》（2025）</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90日历天。工期总日历天数与根据前述计划开竣工日期计算的工期天数不一致的，以工期总日历天数为准。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项目管理机构组成表 商务条款偏离表及投入人员汇总.docx 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项目负责人资质和专业</w:t>
            </w:r>
          </w:p>
        </w:tc>
        <w:tc>
          <w:tcPr>
            <w:tcW w:type="dxa" w:w="3322"/>
          </w:tcPr>
          <w:p>
            <w:pPr>
              <w:pStyle w:val="null3"/>
            </w:pPr>
            <w:r>
              <w:rPr>
                <w:rFonts w:ascii="仿宋_GB2312" w:hAnsi="仿宋_GB2312" w:cs="仿宋_GB2312" w:eastAsia="仿宋_GB2312"/>
              </w:rPr>
              <w:t>1、供应商具备电子与智能化工程专业承包二级及以上资质并具有有效的安全生产许可证； 2、拟派项目经理具备机电工程专业注册建造师二级及以上执业资格，具备有效的安全生产考核合格证，在本单位注册，且无在建项目（提供相关承诺书）</w:t>
            </w:r>
          </w:p>
        </w:tc>
        <w:tc>
          <w:tcPr>
            <w:tcW w:type="dxa" w:w="1661"/>
          </w:tcPr>
          <w:p>
            <w:pPr>
              <w:pStyle w:val="null3"/>
            </w:pPr>
            <w:r>
              <w:rPr>
                <w:rFonts w:ascii="仿宋_GB2312" w:hAnsi="仿宋_GB2312" w:cs="仿宋_GB2312" w:eastAsia="仿宋_GB2312"/>
              </w:rPr>
              <w:t>项目管理机构组成表 商务条款偏离表及投入人员汇总.docx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工期及质量保修期</w:t>
            </w:r>
          </w:p>
        </w:tc>
        <w:tc>
          <w:tcPr>
            <w:tcW w:type="dxa" w:w="3322"/>
          </w:tcPr>
          <w:p>
            <w:pPr>
              <w:pStyle w:val="null3"/>
            </w:pPr>
            <w:r>
              <w:rPr>
                <w:rFonts w:ascii="仿宋_GB2312" w:hAnsi="仿宋_GB2312" w:cs="仿宋_GB2312" w:eastAsia="仿宋_GB2312"/>
              </w:rPr>
              <w:t>应满足磋商文件中要求的工期、质量保修期</w:t>
            </w:r>
          </w:p>
        </w:tc>
        <w:tc>
          <w:tcPr>
            <w:tcW w:type="dxa" w:w="1661"/>
          </w:tcPr>
          <w:p>
            <w:pPr>
              <w:pStyle w:val="null3"/>
            </w:pPr>
            <w:r>
              <w:rPr>
                <w:rFonts w:ascii="仿宋_GB2312" w:hAnsi="仿宋_GB2312" w:cs="仿宋_GB2312" w:eastAsia="仿宋_GB2312"/>
              </w:rPr>
              <w:t>技术服务合同条款及其他商务要求应答表 商务条款偏离表及投入人员汇总.docx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施工方案②项目部人员配备及劳动力安排计划③确保文明施工的技术组织措施及环境保护④施工进度计划及工期保障措施（包括施工计划横道图或网络图）⑤针对本项目的临时性⑥阶段性工作及突发事件的应急处理方案⑦拟投入本项目的设备、机械、工具等⑧安全作业管理 各部分内容全面详细、阐述条理清晰详尽、符合本项目采购需求得32分;评审内容每缺一项扣4分；评审内容有缺陷（缺陷是指：内容粗略、逻辑混乱、描述过于简单、与项目特点不匹配、凭空编造、逻辑漏洞、出现常识性错误、存在不适用项目实际情况的情形或只有标题没有实质性内容等）的扣0-4分。未提供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w:t>
            </w:r>
          </w:p>
        </w:tc>
        <w:tc>
          <w:tcPr>
            <w:tcW w:type="dxa" w:w="2492"/>
          </w:tcPr>
          <w:p>
            <w:pPr>
              <w:pStyle w:val="null3"/>
            </w:pPr>
            <w:r>
              <w:rPr>
                <w:rFonts w:ascii="仿宋_GB2312" w:hAnsi="仿宋_GB2312" w:cs="仿宋_GB2312" w:eastAsia="仿宋_GB2312"/>
              </w:rPr>
              <w:t>新技术、新产品、新工艺、新材料应用，提供证明材料，未提供不得分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售后服务及培训措施</w:t>
            </w:r>
          </w:p>
        </w:tc>
        <w:tc>
          <w:tcPr>
            <w:tcW w:type="dxa" w:w="2492"/>
          </w:tcPr>
          <w:p>
            <w:pPr>
              <w:pStyle w:val="null3"/>
            </w:pPr>
            <w:r>
              <w:rPr>
                <w:rFonts w:ascii="仿宋_GB2312" w:hAnsi="仿宋_GB2312" w:cs="仿宋_GB2312" w:eastAsia="仿宋_GB2312"/>
              </w:rPr>
              <w:t>售后服务： 1.设立相应的技术支持及售后服务机构（提供有效的办公场所证明材料），计3分；未提供不得分； 2.对设备发生故障后的补救措施，维修服务响应时限等售后服务，有明确的承诺且具体、切实可行计4分，提供不完整得2分，未提供不得分。 3.培训措施： 提供详尽的培训方案及培训计划，并列出培训的具体内容及方式，确保使用人员能够独立熟练操作和正常使用，方案完整，可实施性强计4分，方案粗略不完整计2分，未提供不得分。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①主要设备技术要求所提供的磋商设备（产品）参数、规格型号、性能等技术说明资料，产品彩页（如有）、官网截图、磋商产品检测报告表述清楚明确、充分。 技术参数满足磋商文件要求得10分，每负偏离1项扣0.5分，扣完为止，负分不计。 ②设备货源渠道正常，质量保证，并能够提供相关证明材料（包括但不限于厂家授权、销售协议、代理协议等）计5分，未提供不得分。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10月1日（以合同签订日期为准）同类项目业绩；每提供1份计2分，最高得10分。业绩证明（以合同为准，须在磋商响应文件中附合同复印件加盖单位公章，原件备查，中标通知书、验收报告及不少于30%的发票，发票可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详见附件：罗汉寺安防工程项目施工合同.docx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