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版本号：SCZH2025-CS-3090-00120251217002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SCZH2025-CS-3090-001</w:t>
      </w:r>
      <w:r>
        <w:br/>
      </w:r>
      <w:r>
        <w:br/>
      </w:r>
      <w:r>
        <w:br/>
      </w:r>
    </w:p>
    <w:p>
      <w:pPr>
        <w:pStyle w:val="null3"/>
        <w:jc w:val="center"/>
        <w:outlineLvl w:val="2"/>
      </w:pPr>
      <w:r>
        <w:rPr>
          <w:rFonts w:ascii="仿宋_GB2312" w:hAnsi="仿宋_GB2312" w:cs="仿宋_GB2312" w:eastAsia="仿宋_GB2312"/>
          <w:sz w:val="28"/>
          <w:b/>
        </w:rPr>
        <w:t>西安高新区第十一初级中学</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西安高新区第十一初级中学</w:t>
      </w:r>
      <w:r>
        <w:rPr>
          <w:rFonts w:ascii="仿宋_GB2312" w:hAnsi="仿宋_GB2312" w:cs="仿宋_GB2312" w:eastAsia="仿宋_GB2312"/>
        </w:rPr>
        <w:t>委托，拟对</w:t>
      </w:r>
      <w:r>
        <w:rPr>
          <w:rFonts w:ascii="仿宋_GB2312" w:hAnsi="仿宋_GB2312" w:cs="仿宋_GB2312" w:eastAsia="仿宋_GB2312"/>
        </w:rPr>
        <w:t>后勤服务外包</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SCZH2025-CS-3090-001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十一初级中学后勤服务外包，服务内容及范围包括房屋建筑主体及附属构筑物部分的日常维修、养护和管理；设施、设备的日常维修、养护、运行和管理；公共绿化的养护和管理；服务区域内绿化基础养护和管理服务；公共环境卫生日常清洁卫生；物业服务区域的秩序维护、车场管理等，具体内容详见竞争性磋商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p>
      <w:pPr>
        <w:pStyle w:val="null3"/>
      </w:pPr>
      <w:r>
        <w:rPr>
          <w:rFonts w:ascii="仿宋_GB2312" w:hAnsi="仿宋_GB2312" w:cs="仿宋_GB2312" w:eastAsia="仿宋_GB2312"/>
        </w:rPr>
        <w:t>2、信用记录：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西安高新区第十一初级中学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西安高新技术产业开发区规划九路以西、纬二十四路以北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西安高新区第十一初级中学经办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029-89259520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029-89526152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1、成交供应商在领取成交通知书前，由成交人向采购代理机构一次性支付固定收费8000.00元采购代理服务费。 2、采购代理服务费以转账或现金形式缴纳至以下账户：开户名称：陕西省采购招标有限责任公司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西安高新区第十一初级中学</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西安高新区第十一初级中学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西安高新区第十一初级中学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第十一初级中学后勤服务外包，服务内容及范围包括房屋建筑主体及附属构筑物部分的日常维修、养护和管理；设施、设备的日常维修、养护、运行和管理；公共绿化的养护和管理；服务区域内绿化基础养护和管理服务；公共环境卫生日常清洁卫生；物业服务区域的秩序维护、车场管理等，具体内容详见竞争性磋商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882,000.00</w:t>
      </w:r>
    </w:p>
    <w:p>
      <w:pPr>
        <w:pStyle w:val="null3"/>
      </w:pPr>
      <w:r>
        <w:rPr>
          <w:rFonts w:ascii="仿宋_GB2312" w:hAnsi="仿宋_GB2312" w:cs="仿宋_GB2312" w:eastAsia="仿宋_GB2312"/>
        </w:rPr>
        <w:t>采购包最高限价（元）: 882,000.00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color w:val="0000FF"/>
              </w:rPr>
              <w:t>一、服务内容及范围</w:t>
            </w:r>
          </w:p>
          <w:p>
            <w:pPr>
              <w:pStyle w:val="null3"/>
            </w:pPr>
            <w:r>
              <w:rPr>
                <w:rFonts w:ascii="仿宋_GB2312" w:hAnsi="仿宋_GB2312" w:cs="仿宋_GB2312" w:eastAsia="仿宋_GB2312"/>
                <w:color w:val="0000FF"/>
              </w:rPr>
              <w:t>房屋建筑主体及附属构筑物部分的日常维修、养护和管理；设施、设备的日常维修、养护、运行和管理；公共绿化的养护和管理；服务区域内绿</w:t>
            </w:r>
            <w:r>
              <w:rPr>
                <w:rFonts w:ascii="仿宋_GB2312" w:hAnsi="仿宋_GB2312" w:cs="仿宋_GB2312" w:eastAsia="仿宋_GB2312"/>
                <w:color w:val="0000FF"/>
              </w:rPr>
              <w:t>化基础</w:t>
            </w:r>
            <w:r>
              <w:rPr>
                <w:rFonts w:ascii="仿宋_GB2312" w:hAnsi="仿宋_GB2312" w:cs="仿宋_GB2312" w:eastAsia="仿宋_GB2312"/>
                <w:color w:val="0000FF"/>
              </w:rPr>
              <w:t>养护和管理服务；公共环境卫生日常清洁卫生；物业服务区域的秩序维护、车场管理等。</w:t>
            </w:r>
          </w:p>
          <w:p>
            <w:pPr>
              <w:pStyle w:val="null3"/>
            </w:pPr>
            <w:r>
              <w:rPr>
                <w:rFonts w:ascii="仿宋_GB2312" w:hAnsi="仿宋_GB2312" w:cs="仿宋_GB2312" w:eastAsia="仿宋_GB2312"/>
                <w:b/>
                <w:color w:val="0000FF"/>
              </w:rPr>
              <w:t>二、服务标准</w:t>
            </w:r>
          </w:p>
          <w:p>
            <w:pPr>
              <w:pStyle w:val="null3"/>
            </w:pPr>
            <w:r>
              <w:rPr>
                <w:rFonts w:ascii="仿宋_GB2312" w:hAnsi="仿宋_GB2312" w:cs="仿宋_GB2312" w:eastAsia="仿宋_GB2312"/>
                <w:color w:val="0000FF"/>
              </w:rPr>
              <w:t>（一）综合管理服务标准</w:t>
            </w:r>
          </w:p>
          <w:p>
            <w:pPr>
              <w:pStyle w:val="null3"/>
            </w:pPr>
            <w:r>
              <w:rPr>
                <w:rFonts w:ascii="仿宋_GB2312" w:hAnsi="仿宋_GB2312" w:cs="仿宋_GB2312" w:eastAsia="仿宋_GB2312"/>
                <w:color w:val="0000FF"/>
              </w:rPr>
              <w:t>1..管理人员、专业操作人员按照国家有关规定取得物业管理职业资格证书或者岗位证书。</w:t>
            </w:r>
          </w:p>
          <w:p>
            <w:pPr>
              <w:pStyle w:val="null3"/>
            </w:pPr>
            <w:r>
              <w:rPr>
                <w:rFonts w:ascii="仿宋_GB2312" w:hAnsi="仿宋_GB2312" w:cs="仿宋_GB2312" w:eastAsia="仿宋_GB2312"/>
                <w:color w:val="0000FF"/>
              </w:rPr>
              <w:t>2</w:t>
            </w:r>
            <w:r>
              <w:rPr>
                <w:rFonts w:ascii="仿宋_GB2312" w:hAnsi="仿宋_GB2312" w:cs="仿宋_GB2312" w:eastAsia="仿宋_GB2312"/>
                <w:color w:val="0000FF"/>
              </w:rPr>
              <w:t>.有完善的物业管理方案，质量管理、财务管理、档案管理等制度健</w:t>
            </w:r>
            <w:r>
              <w:rPr>
                <w:rFonts w:ascii="仿宋_GB2312" w:hAnsi="仿宋_GB2312" w:cs="仿宋_GB2312" w:eastAsia="仿宋_GB2312"/>
                <w:color w:val="0000FF"/>
              </w:rPr>
              <w:t>全。</w:t>
            </w:r>
          </w:p>
          <w:p>
            <w:pPr>
              <w:pStyle w:val="null3"/>
            </w:pPr>
            <w:r>
              <w:rPr>
                <w:rFonts w:ascii="仿宋_GB2312" w:hAnsi="仿宋_GB2312" w:cs="仿宋_GB2312" w:eastAsia="仿宋_GB2312"/>
                <w:color w:val="0000FF"/>
              </w:rPr>
              <w:t>3</w:t>
            </w:r>
            <w:r>
              <w:rPr>
                <w:rFonts w:ascii="仿宋_GB2312" w:hAnsi="仿宋_GB2312" w:cs="仿宋_GB2312" w:eastAsia="仿宋_GB2312"/>
                <w:color w:val="0000FF"/>
              </w:rPr>
              <w:t>.管理服务人员着装统一、佩戴标志，行为规范，服务主动、热情。</w:t>
            </w:r>
          </w:p>
          <w:p>
            <w:pPr>
              <w:pStyle w:val="null3"/>
            </w:pPr>
            <w:r>
              <w:rPr>
                <w:rFonts w:ascii="仿宋_GB2312" w:hAnsi="仿宋_GB2312" w:cs="仿宋_GB2312" w:eastAsia="仿宋_GB2312"/>
                <w:color w:val="0000FF"/>
              </w:rPr>
              <w:t>4</w:t>
            </w:r>
            <w:r>
              <w:rPr>
                <w:rFonts w:ascii="仿宋_GB2312" w:hAnsi="仿宋_GB2312" w:cs="仿宋_GB2312" w:eastAsia="仿宋_GB2312"/>
                <w:color w:val="0000FF"/>
              </w:rPr>
              <w:t>.根据甲方需求，提供物业服务合同之外的特约服务和代办服务的。</w:t>
            </w:r>
          </w:p>
          <w:p>
            <w:pPr>
              <w:pStyle w:val="null3"/>
            </w:pPr>
            <w:r>
              <w:rPr>
                <w:rFonts w:ascii="仿宋_GB2312" w:hAnsi="仿宋_GB2312" w:cs="仿宋_GB2312" w:eastAsia="仿宋_GB2312"/>
                <w:color w:val="0000FF"/>
              </w:rPr>
              <w:t>5</w:t>
            </w:r>
            <w:r>
              <w:rPr>
                <w:rFonts w:ascii="仿宋_GB2312" w:hAnsi="仿宋_GB2312" w:cs="仿宋_GB2312" w:eastAsia="仿宋_GB2312"/>
                <w:color w:val="0000FF"/>
              </w:rPr>
              <w:t>.综合管理服务指标要求：房屋及配套设施设备完好率要求达 98%，维修、零修、 急修及时率要求达 100%，维修的返修率不高于 3%，大型及重要机电设备完好率达 98%，道路及停车场完好率达 98%，治安、消防责任事故发生率为 0，责任投诉处理结果满意率达 100%，用户投诉处理率 100%，用户综合满意率达9</w:t>
            </w:r>
            <w:r>
              <w:rPr>
                <w:rFonts w:ascii="仿宋_GB2312" w:hAnsi="仿宋_GB2312" w:cs="仿宋_GB2312" w:eastAsia="仿宋_GB2312"/>
                <w:color w:val="0000FF"/>
              </w:rPr>
              <w:t>5</w:t>
            </w:r>
            <w:r>
              <w:rPr>
                <w:rFonts w:ascii="仿宋_GB2312" w:hAnsi="仿宋_GB2312" w:cs="仿宋_GB2312" w:eastAsia="仿宋_GB2312"/>
                <w:color w:val="0000FF"/>
              </w:rPr>
              <w:t>%以上。</w:t>
            </w:r>
          </w:p>
          <w:p>
            <w:pPr>
              <w:pStyle w:val="null3"/>
            </w:pPr>
            <w:r>
              <w:rPr>
                <w:rFonts w:ascii="仿宋_GB2312" w:hAnsi="仿宋_GB2312" w:cs="仿宋_GB2312" w:eastAsia="仿宋_GB2312"/>
                <w:color w:val="0000FF"/>
              </w:rPr>
              <w:t>（二）房屋及公用设备设施维修养护管理服务标准</w:t>
            </w:r>
          </w:p>
          <w:p>
            <w:pPr>
              <w:pStyle w:val="null3"/>
            </w:pPr>
            <w:r>
              <w:rPr>
                <w:rFonts w:ascii="仿宋_GB2312" w:hAnsi="仿宋_GB2312" w:cs="仿宋_GB2312" w:eastAsia="仿宋_GB2312"/>
                <w:color w:val="0000FF"/>
              </w:rPr>
              <w:t>1.对房屋公用部位及设备设施进行日常管理和维修养护，检修记录和保养记录齐全。</w:t>
            </w:r>
          </w:p>
          <w:p>
            <w:pPr>
              <w:pStyle w:val="null3"/>
            </w:pPr>
            <w:r>
              <w:rPr>
                <w:rFonts w:ascii="仿宋_GB2312" w:hAnsi="仿宋_GB2312" w:cs="仿宋_GB2312" w:eastAsia="仿宋_GB2312"/>
                <w:color w:val="0000FF"/>
              </w:rPr>
              <w:t>2.根据房屋实际使用年限，定期检查房屋公用部位的使用状况，需要维修，属于小修范围的，及时组织修复；属于大、中修范围的，及时向</w:t>
            </w:r>
            <w:r>
              <w:rPr>
                <w:rFonts w:ascii="仿宋_GB2312" w:hAnsi="仿宋_GB2312" w:cs="仿宋_GB2312" w:eastAsia="仿宋_GB2312"/>
                <w:color w:val="0000FF"/>
              </w:rPr>
              <w:t>校</w:t>
            </w:r>
            <w:r>
              <w:rPr>
                <w:rFonts w:ascii="仿宋_GB2312" w:hAnsi="仿宋_GB2312" w:cs="仿宋_GB2312" w:eastAsia="仿宋_GB2312"/>
                <w:color w:val="0000FF"/>
              </w:rPr>
              <w:t>方提出报告与建议，根据</w:t>
            </w:r>
            <w:r>
              <w:rPr>
                <w:rFonts w:ascii="仿宋_GB2312" w:hAnsi="仿宋_GB2312" w:cs="仿宋_GB2312" w:eastAsia="仿宋_GB2312"/>
                <w:color w:val="0000FF"/>
              </w:rPr>
              <w:t>校</w:t>
            </w:r>
            <w:r>
              <w:rPr>
                <w:rFonts w:ascii="仿宋_GB2312" w:hAnsi="仿宋_GB2312" w:cs="仿宋_GB2312" w:eastAsia="仿宋_GB2312"/>
                <w:color w:val="0000FF"/>
              </w:rPr>
              <w:t>方的决定，组织维修。</w:t>
            </w:r>
          </w:p>
          <w:p>
            <w:pPr>
              <w:pStyle w:val="null3"/>
            </w:pPr>
            <w:r>
              <w:rPr>
                <w:rFonts w:ascii="仿宋_GB2312" w:hAnsi="仿宋_GB2312" w:cs="仿宋_GB2312" w:eastAsia="仿宋_GB2312"/>
                <w:color w:val="0000FF"/>
              </w:rPr>
              <w:t>3.定期巡查办公通道、楼梯以及其他共用部位的门窗、玻璃等，做好巡查记录，并及时报修、维修及养护。</w:t>
            </w:r>
          </w:p>
          <w:p>
            <w:pPr>
              <w:pStyle w:val="null3"/>
            </w:pPr>
            <w:r>
              <w:rPr>
                <w:rFonts w:ascii="仿宋_GB2312" w:hAnsi="仿宋_GB2312" w:cs="仿宋_GB2312" w:eastAsia="仿宋_GB2312"/>
                <w:color w:val="0000FF"/>
              </w:rPr>
              <w:t>4.</w:t>
            </w:r>
            <w:r>
              <w:rPr>
                <w:rFonts w:ascii="仿宋_GB2312" w:hAnsi="仿宋_GB2312" w:cs="仿宋_GB2312" w:eastAsia="仿宋_GB2312"/>
                <w:color w:val="0000FF"/>
              </w:rPr>
              <w:t>配合专业电梯维保单位但对</w:t>
            </w:r>
            <w:r>
              <w:rPr>
                <w:rFonts w:ascii="仿宋_GB2312" w:hAnsi="仿宋_GB2312" w:cs="仿宋_GB2312" w:eastAsia="仿宋_GB2312"/>
                <w:color w:val="0000FF"/>
              </w:rPr>
              <w:t>载人电梯</w:t>
            </w:r>
            <w:r>
              <w:rPr>
                <w:rFonts w:ascii="仿宋_GB2312" w:hAnsi="仿宋_GB2312" w:cs="仿宋_GB2312" w:eastAsia="仿宋_GB2312"/>
                <w:color w:val="0000FF"/>
              </w:rPr>
              <w:t>日常</w:t>
            </w:r>
            <w:r>
              <w:rPr>
                <w:rFonts w:ascii="仿宋_GB2312" w:hAnsi="仿宋_GB2312" w:cs="仿宋_GB2312" w:eastAsia="仿宋_GB2312"/>
                <w:color w:val="0000FF"/>
              </w:rPr>
              <w:t>运行</w:t>
            </w:r>
            <w:r>
              <w:rPr>
                <w:rFonts w:ascii="仿宋_GB2312" w:hAnsi="仿宋_GB2312" w:cs="仿宋_GB2312" w:eastAsia="仿宋_GB2312"/>
                <w:color w:val="0000FF"/>
              </w:rPr>
              <w:t>巡查</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5.</w:t>
            </w:r>
            <w:r>
              <w:rPr>
                <w:rFonts w:ascii="仿宋_GB2312" w:hAnsi="仿宋_GB2312" w:cs="仿宋_GB2312" w:eastAsia="仿宋_GB2312"/>
                <w:color w:val="0000FF"/>
              </w:rPr>
              <w:t>配合专业消防维保单位对学校</w:t>
            </w:r>
            <w:r>
              <w:rPr>
                <w:rFonts w:ascii="仿宋_GB2312" w:hAnsi="仿宋_GB2312" w:cs="仿宋_GB2312" w:eastAsia="仿宋_GB2312"/>
                <w:color w:val="0000FF"/>
              </w:rPr>
              <w:t>消防设施设备</w:t>
            </w:r>
            <w:r>
              <w:rPr>
                <w:rFonts w:ascii="仿宋_GB2312" w:hAnsi="仿宋_GB2312" w:cs="仿宋_GB2312" w:eastAsia="仿宋_GB2312"/>
                <w:color w:val="0000FF"/>
              </w:rPr>
              <w:t>基础巡查</w:t>
            </w:r>
            <w:r>
              <w:rPr>
                <w:rFonts w:ascii="仿宋_GB2312" w:hAnsi="仿宋_GB2312" w:cs="仿宋_GB2312" w:eastAsia="仿宋_GB2312"/>
                <w:color w:val="0000FF"/>
              </w:rPr>
              <w:t>，消防通道畅通。</w:t>
            </w:r>
          </w:p>
          <w:p>
            <w:pPr>
              <w:pStyle w:val="null3"/>
            </w:pPr>
            <w:r>
              <w:rPr>
                <w:rFonts w:ascii="仿宋_GB2312" w:hAnsi="仿宋_GB2312" w:cs="仿宋_GB2312" w:eastAsia="仿宋_GB2312"/>
                <w:color w:val="0000FF"/>
              </w:rPr>
              <w:t>6.设备房保持整洁、通风，无跑、冒、滴、漏和鼠害现象。</w:t>
            </w:r>
          </w:p>
          <w:p>
            <w:pPr>
              <w:pStyle w:val="null3"/>
            </w:pPr>
            <w:r>
              <w:rPr>
                <w:rFonts w:ascii="仿宋_GB2312" w:hAnsi="仿宋_GB2312" w:cs="仿宋_GB2312" w:eastAsia="仿宋_GB2312"/>
                <w:color w:val="0000FF"/>
              </w:rPr>
              <w:t>7.校区道路平整，主要道路及停车场交通标志齐全、规范。</w:t>
            </w:r>
          </w:p>
          <w:p>
            <w:pPr>
              <w:pStyle w:val="null3"/>
            </w:pPr>
            <w:r>
              <w:rPr>
                <w:rFonts w:ascii="仿宋_GB2312" w:hAnsi="仿宋_GB2312" w:cs="仿宋_GB2312" w:eastAsia="仿宋_GB2312"/>
                <w:color w:val="0000FF"/>
              </w:rPr>
              <w:t>8.公共区域照明灯完好率不低于95%。</w:t>
            </w:r>
          </w:p>
          <w:p>
            <w:pPr>
              <w:pStyle w:val="null3"/>
            </w:pPr>
            <w:r>
              <w:rPr>
                <w:rFonts w:ascii="仿宋_GB2312" w:hAnsi="仿宋_GB2312" w:cs="仿宋_GB2312" w:eastAsia="仿宋_GB2312"/>
                <w:color w:val="0000FF"/>
              </w:rPr>
              <w:t>9.容易危及人身安全的设施设备有明显警示标志和防范措施；对可能发生的各种突发设备故障有应急预案。</w:t>
            </w:r>
          </w:p>
          <w:p>
            <w:pPr>
              <w:pStyle w:val="null3"/>
            </w:pPr>
            <w:r>
              <w:rPr>
                <w:rFonts w:ascii="仿宋_GB2312" w:hAnsi="仿宋_GB2312" w:cs="仿宋_GB2312" w:eastAsia="仿宋_GB2312"/>
                <w:color w:val="0000FF"/>
              </w:rPr>
              <w:t>（三）公共区域秩序维护服务标准</w:t>
            </w:r>
          </w:p>
          <w:p>
            <w:pPr>
              <w:pStyle w:val="null3"/>
            </w:pPr>
            <w:r>
              <w:rPr>
                <w:rFonts w:ascii="仿宋_GB2312" w:hAnsi="仿宋_GB2312" w:cs="仿宋_GB2312" w:eastAsia="仿宋_GB2312"/>
                <w:color w:val="0000FF"/>
              </w:rPr>
              <w:t>1.校区主出入口设置秩序维护人员、车辆出入管理服务，有详细的交接班记录和外来车辆的登记记录。</w:t>
            </w:r>
          </w:p>
          <w:p>
            <w:pPr>
              <w:pStyle w:val="null3"/>
            </w:pPr>
            <w:r>
              <w:rPr>
                <w:rFonts w:ascii="仿宋_GB2312" w:hAnsi="仿宋_GB2312" w:cs="仿宋_GB2312" w:eastAsia="仿宋_GB2312"/>
                <w:color w:val="0000FF"/>
              </w:rPr>
              <w:t>2.提供地面及地下停车场车辆引导、指挥服务。提供车辆停放服务、车场照明保障服务、车场秩序管理服务。</w:t>
            </w:r>
          </w:p>
          <w:p>
            <w:pPr>
              <w:pStyle w:val="null3"/>
            </w:pPr>
            <w:r>
              <w:rPr>
                <w:rFonts w:ascii="仿宋_GB2312" w:hAnsi="仿宋_GB2312" w:cs="仿宋_GB2312" w:eastAsia="仿宋_GB2312"/>
                <w:color w:val="0000FF"/>
              </w:rPr>
              <w:t>3.重点部位有明确的巡逻要求，并有巡逻记录。</w:t>
            </w:r>
          </w:p>
          <w:p>
            <w:pPr>
              <w:pStyle w:val="null3"/>
            </w:pPr>
            <w:r>
              <w:rPr>
                <w:rFonts w:ascii="仿宋_GB2312" w:hAnsi="仿宋_GB2312" w:cs="仿宋_GB2312" w:eastAsia="仿宋_GB2312"/>
                <w:color w:val="0000FF"/>
              </w:rPr>
              <w:t>4.定期巡查，公共部位门窗保持玻璃、门窗配件完好，门、窗开闭灵活并无异常声响。</w:t>
            </w:r>
          </w:p>
          <w:p>
            <w:pPr>
              <w:pStyle w:val="null3"/>
            </w:pPr>
            <w:r>
              <w:rPr>
                <w:rFonts w:ascii="仿宋_GB2312" w:hAnsi="仿宋_GB2312" w:cs="仿宋_GB2312" w:eastAsia="仿宋_GB2312"/>
                <w:color w:val="0000FF"/>
              </w:rPr>
              <w:t>5.提供 24小</w:t>
            </w:r>
            <w:r>
              <w:rPr>
                <w:rFonts w:ascii="仿宋_GB2312" w:hAnsi="仿宋_GB2312" w:cs="仿宋_GB2312" w:eastAsia="仿宋_GB2312"/>
                <w:color w:val="0000FF"/>
              </w:rPr>
              <w:t>时门岗值班</w:t>
            </w:r>
            <w:r>
              <w:rPr>
                <w:rFonts w:ascii="仿宋_GB2312" w:hAnsi="仿宋_GB2312" w:cs="仿宋_GB2312" w:eastAsia="仿宋_GB2312"/>
                <w:color w:val="0000FF"/>
              </w:rPr>
              <w:t>管理，做好突发预警管理。</w:t>
            </w:r>
          </w:p>
          <w:p>
            <w:pPr>
              <w:pStyle w:val="null3"/>
            </w:pPr>
            <w:r>
              <w:rPr>
                <w:rFonts w:ascii="仿宋_GB2312" w:hAnsi="仿宋_GB2312" w:cs="仿宋_GB2312" w:eastAsia="仿宋_GB2312"/>
                <w:color w:val="0000FF"/>
              </w:rPr>
              <w:t>6.对危险隐患部位设置安全防范警示标志，并在主要通道设置安全疏散指示和应急照明设施，保证标志清晰完整，设施运行正常。</w:t>
            </w:r>
          </w:p>
          <w:p>
            <w:pPr>
              <w:pStyle w:val="null3"/>
            </w:pPr>
            <w:r>
              <w:rPr>
                <w:rFonts w:ascii="仿宋_GB2312" w:hAnsi="仿宋_GB2312" w:cs="仿宋_GB2312" w:eastAsia="仿宋_GB2312"/>
                <w:color w:val="0000FF"/>
              </w:rPr>
              <w:t>7.对进出校区的车辆实施证、卡管理，引导车辆有序通行、停放。</w:t>
            </w:r>
          </w:p>
          <w:p>
            <w:pPr>
              <w:pStyle w:val="null3"/>
            </w:pPr>
            <w:r>
              <w:rPr>
                <w:rFonts w:ascii="仿宋_GB2312" w:hAnsi="仿宋_GB2312" w:cs="仿宋_GB2312" w:eastAsia="仿宋_GB2312"/>
                <w:color w:val="0000FF"/>
              </w:rPr>
              <w:t>8.对进出校区的来访人员实行登记管理。</w:t>
            </w:r>
          </w:p>
          <w:p>
            <w:pPr>
              <w:pStyle w:val="null3"/>
            </w:pPr>
            <w:r>
              <w:rPr>
                <w:rFonts w:ascii="仿宋_GB2312" w:hAnsi="仿宋_GB2312" w:cs="仿宋_GB2312" w:eastAsia="仿宋_GB2312"/>
                <w:color w:val="0000FF"/>
              </w:rPr>
              <w:t>9.大型物件搬出校区需办理相关手续并核实查验后方可离开校区。</w:t>
            </w:r>
          </w:p>
          <w:p>
            <w:pPr>
              <w:pStyle w:val="null3"/>
            </w:pPr>
            <w:r>
              <w:rPr>
                <w:rFonts w:ascii="仿宋_GB2312" w:hAnsi="仿宋_GB2312" w:cs="仿宋_GB2312" w:eastAsia="仿宋_GB2312"/>
                <w:color w:val="0000FF"/>
              </w:rPr>
              <w:t>10.对火灾、治安、公共卫生等突发事件有应急预案，事发时及时报告甲方主管部门，并协助采取相应措施</w:t>
            </w:r>
            <w:r>
              <w:rPr>
                <w:rFonts w:ascii="仿宋_GB2312" w:hAnsi="仿宋_GB2312" w:cs="仿宋_GB2312" w:eastAsia="仿宋_GB2312"/>
                <w:color w:val="0000FF"/>
              </w:rPr>
              <w:t>。</w:t>
            </w:r>
          </w:p>
          <w:p>
            <w:pPr>
              <w:pStyle w:val="null3"/>
              <w:jc w:val="both"/>
            </w:pPr>
            <w:r>
              <w:rPr>
                <w:rFonts w:ascii="仿宋_GB2312" w:hAnsi="仿宋_GB2312" w:cs="仿宋_GB2312" w:eastAsia="仿宋_GB2312"/>
                <w:sz w:val="20"/>
                <w:color w:val="0000FF"/>
              </w:rPr>
              <w:t>（四）公共区域清洁卫生服务标准</w:t>
            </w:r>
          </w:p>
          <w:tbl>
            <w:tblPr>
              <w:tblBorders>
                <w:top w:val="none" w:color="000000" w:sz="4"/>
                <w:left w:val="none" w:color="000000" w:sz="4"/>
                <w:bottom w:val="none" w:color="000000" w:sz="4"/>
                <w:right w:val="none" w:color="000000" w:sz="4"/>
                <w:insideH w:val="none"/>
                <w:insideV w:val="none"/>
              </w:tblBorders>
            </w:tblPr>
            <w:tblGrid>
              <w:gridCol w:w="361"/>
              <w:gridCol w:w="932"/>
              <w:gridCol w:w="1060"/>
              <w:gridCol w:w="769"/>
              <w:gridCol w:w="687"/>
            </w:tblGrid>
            <w:tr>
              <w:tc>
                <w:tcPr>
                  <w:tcW w:type="dxa" w:w="361"/>
                  <w:tcBorders>
                    <w:top w:val="single" w:color="000000" w:sz="12"/>
                    <w:left w:val="single" w:color="000000" w:sz="12"/>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区域</w:t>
                  </w:r>
                </w:p>
              </w:tc>
              <w:tc>
                <w:tcPr>
                  <w:tcW w:type="dxa" w:w="932"/>
                  <w:tcBorders>
                    <w:top w:val="single" w:color="000000" w:sz="12"/>
                    <w:left w:val="none" w:color="000000" w:sz="4"/>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项目</w:t>
                  </w:r>
                </w:p>
              </w:tc>
              <w:tc>
                <w:tcPr>
                  <w:tcW w:type="dxa" w:w="1060"/>
                  <w:tcBorders>
                    <w:top w:val="single" w:color="000000" w:sz="12"/>
                    <w:left w:val="none" w:color="000000" w:sz="4"/>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工作内容</w:t>
                  </w:r>
                </w:p>
              </w:tc>
              <w:tc>
                <w:tcPr>
                  <w:tcW w:type="dxa" w:w="769"/>
                  <w:tcBorders>
                    <w:top w:val="single" w:color="000000" w:sz="12"/>
                    <w:left w:val="none" w:color="000000" w:sz="4"/>
                    <w:bottom w:val="single" w:color="000000" w:sz="8"/>
                    <w:right w:val="single" w:color="000000" w:sz="8"/>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标准</w:t>
                  </w:r>
                </w:p>
              </w:tc>
              <w:tc>
                <w:tcPr>
                  <w:tcW w:type="dxa" w:w="687"/>
                  <w:tcBorders>
                    <w:top w:val="single" w:color="000000" w:sz="12"/>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b/>
                      <w:color w:val="0000FF"/>
                    </w:rPr>
                    <w:t>保洁频率</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750"/>
                    <w:jc w:val="left"/>
                  </w:pPr>
                  <w:r>
                    <w:rPr>
                      <w:rFonts w:ascii="仿宋_GB2312" w:hAnsi="仿宋_GB2312" w:cs="仿宋_GB2312" w:eastAsia="仿宋_GB2312"/>
                      <w:sz w:val="15"/>
                      <w:color w:val="0000FF"/>
                    </w:rPr>
                    <w:t>总</w:t>
                  </w:r>
                  <w:r>
                    <w:rPr>
                      <w:rFonts w:ascii="仿宋_GB2312" w:hAnsi="仿宋_GB2312" w:cs="仿宋_GB2312" w:eastAsia="仿宋_GB2312"/>
                      <w:sz w:val="24"/>
                    </w:rPr>
                    <w:t xml:space="preserve"> </w:t>
                  </w:r>
                  <w:r>
                    <w:rPr>
                      <w:rFonts w:ascii="仿宋_GB2312" w:hAnsi="仿宋_GB2312" w:cs="仿宋_GB2312" w:eastAsia="仿宋_GB2312"/>
                      <w:sz w:val="15"/>
                      <w:color w:val="0000FF"/>
                    </w:rPr>
                    <w:t>体</w:t>
                  </w:r>
                  <w:r>
                    <w:rPr>
                      <w:rFonts w:ascii="仿宋_GB2312" w:hAnsi="仿宋_GB2312" w:cs="仿宋_GB2312" w:eastAsia="仿宋_GB2312"/>
                      <w:sz w:val="24"/>
                    </w:rPr>
                    <w:t xml:space="preserve"> </w:t>
                  </w:r>
                  <w:r>
                    <w:rPr>
                      <w:rFonts w:ascii="仿宋_GB2312" w:hAnsi="仿宋_GB2312" w:cs="仿宋_GB2312" w:eastAsia="仿宋_GB2312"/>
                      <w:sz w:val="15"/>
                      <w:color w:val="0000FF"/>
                    </w:rPr>
                    <w:t>外</w:t>
                  </w:r>
                  <w:r>
                    <w:rPr>
                      <w:rFonts w:ascii="仿宋_GB2312" w:hAnsi="仿宋_GB2312" w:cs="仿宋_GB2312" w:eastAsia="仿宋_GB2312"/>
                      <w:sz w:val="24"/>
                    </w:rPr>
                    <w:t xml:space="preserve"> </w:t>
                  </w:r>
                  <w:r>
                    <w:rPr>
                      <w:rFonts w:ascii="仿宋_GB2312" w:hAnsi="仿宋_GB2312" w:cs="仿宋_GB2312" w:eastAsia="仿宋_GB2312"/>
                      <w:sz w:val="15"/>
                      <w:color w:val="0000FF"/>
                    </w:rPr>
                    <w:t>围</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各出入口地</w:t>
                  </w:r>
                  <w:r>
                    <w:rPr>
                      <w:rFonts w:ascii="仿宋_GB2312" w:hAnsi="仿宋_GB2312" w:cs="仿宋_GB2312" w:eastAsia="仿宋_GB2312"/>
                      <w:sz w:val="24"/>
                    </w:rPr>
                    <w:t xml:space="preserve"> </w:t>
                  </w:r>
                  <w:r>
                    <w:rPr>
                      <w:rFonts w:ascii="仿宋_GB2312" w:hAnsi="仿宋_GB2312" w:cs="仿宋_GB2312" w:eastAsia="仿宋_GB2312"/>
                      <w:sz w:val="15"/>
                      <w:color w:val="0000FF"/>
                    </w:rPr>
                    <w:t>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清扫、收集垃</w:t>
                  </w:r>
                  <w:r>
                    <w:rPr>
                      <w:rFonts w:ascii="仿宋_GB2312" w:hAnsi="仿宋_GB2312" w:cs="仿宋_GB2312" w:eastAsia="仿宋_GB2312"/>
                      <w:sz w:val="24"/>
                    </w:rPr>
                    <w:t xml:space="preserve"> </w:t>
                  </w:r>
                  <w:r>
                    <w:rPr>
                      <w:rFonts w:ascii="仿宋_GB2312" w:hAnsi="仿宋_GB2312" w:cs="仿宋_GB2312" w:eastAsia="仿宋_GB2312"/>
                      <w:sz w:val="15"/>
                      <w:color w:val="0000FF"/>
                    </w:rPr>
                    <w:t>圾</w:t>
                  </w:r>
                  <w:r>
                    <w:rPr>
                      <w:rFonts w:ascii="仿宋_GB2312" w:hAnsi="仿宋_GB2312" w:cs="仿宋_GB2312" w:eastAsia="仿宋_GB2312"/>
                      <w:sz w:val="24"/>
                    </w:rPr>
                    <w:t xml:space="preserve"> </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无垃圾、烟头、杂物</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明沟</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清扫、收集垃圾、刷洗</w:t>
                  </w:r>
                  <w:r>
                    <w:rPr>
                      <w:rFonts w:ascii="仿宋_GB2312" w:hAnsi="仿宋_GB2312" w:cs="仿宋_GB2312" w:eastAsia="仿宋_GB2312"/>
                      <w:sz w:val="24"/>
                    </w:rPr>
                    <w:t xml:space="preserve"> </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无垃圾、杂物</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室外地面及周边</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清扫、收集垃</w:t>
                  </w:r>
                  <w:r>
                    <w:rPr>
                      <w:rFonts w:ascii="仿宋_GB2312" w:hAnsi="仿宋_GB2312" w:cs="仿宋_GB2312" w:eastAsia="仿宋_GB2312"/>
                      <w:sz w:val="24"/>
                    </w:rPr>
                    <w:t xml:space="preserve"> </w:t>
                  </w:r>
                  <w:r>
                    <w:rPr>
                      <w:rFonts w:ascii="仿宋_GB2312" w:hAnsi="仿宋_GB2312" w:cs="仿宋_GB2312" w:eastAsia="仿宋_GB2312"/>
                      <w:sz w:val="15"/>
                      <w:color w:val="0000FF"/>
                    </w:rPr>
                    <w:t>圾</w:t>
                  </w:r>
                  <w:r>
                    <w:rPr>
                      <w:rFonts w:ascii="仿宋_GB2312" w:hAnsi="仿宋_GB2312" w:cs="仿宋_GB2312" w:eastAsia="仿宋_GB2312"/>
                      <w:sz w:val="24"/>
                    </w:rPr>
                    <w:t xml:space="preserve"> </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无垃圾、积水、烟头</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外露管道</w:t>
                  </w:r>
                  <w:r>
                    <w:rPr>
                      <w:rFonts w:ascii="仿宋_GB2312" w:hAnsi="仿宋_GB2312" w:cs="仿宋_GB2312" w:eastAsia="仿宋_GB2312"/>
                      <w:sz w:val="24"/>
                    </w:rPr>
                    <w:t xml:space="preserve"> </w:t>
                  </w:r>
                  <w:r>
                    <w:rPr>
                      <w:rFonts w:ascii="仿宋_GB2312" w:hAnsi="仿宋_GB2312" w:cs="仿宋_GB2312" w:eastAsia="仿宋_GB2312"/>
                      <w:sz w:val="15"/>
                      <w:color w:val="0000FF"/>
                    </w:rPr>
                    <w:t>（二米以下）</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屋顶及周边</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清扫、收集垃圾、刷洗、清洁堵塞物</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无垃圾、杂物</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每日清扫</w:t>
                  </w:r>
                  <w:r>
                    <w:rPr>
                      <w:rFonts w:ascii="仿宋_GB2312" w:hAnsi="仿宋_GB2312" w:cs="仿宋_GB2312" w:eastAsia="仿宋_GB2312"/>
                      <w:sz w:val="24"/>
                    </w:rPr>
                    <w:t xml:space="preserve"> </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外墙金属嵌条</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标志牌</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2米以下外墙</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刷洗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2米以上外墙</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无灰尘、污渍</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监控探头</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每日清扫</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150"/>
                    <w:jc w:val="center"/>
                  </w:pPr>
                  <w:r>
                    <w:rPr>
                      <w:rFonts w:ascii="仿宋_GB2312" w:hAnsi="仿宋_GB2312" w:cs="仿宋_GB2312" w:eastAsia="仿宋_GB2312"/>
                      <w:sz w:val="15"/>
                      <w:color w:val="0000FF"/>
                    </w:rPr>
                    <w:t>大</w:t>
                  </w:r>
                </w:p>
                <w:p>
                  <w:pPr>
                    <w:pStyle w:val="null3"/>
                    <w:ind w:firstLine="150"/>
                    <w:jc w:val="center"/>
                  </w:pPr>
                  <w:r>
                    <w:rPr>
                      <w:rFonts w:ascii="仿宋_GB2312" w:hAnsi="仿宋_GB2312" w:cs="仿宋_GB2312" w:eastAsia="仿宋_GB2312"/>
                      <w:sz w:val="15"/>
                      <w:color w:val="0000FF"/>
                    </w:rPr>
                    <w:t>厅</w:t>
                  </w:r>
                </w:p>
                <w:p>
                  <w:pPr>
                    <w:pStyle w:val="null3"/>
                    <w:ind w:firstLine="150"/>
                    <w:jc w:val="center"/>
                  </w:pPr>
                  <w:r>
                    <w:rPr>
                      <w:rFonts w:ascii="仿宋_GB2312" w:hAnsi="仿宋_GB2312" w:cs="仿宋_GB2312" w:eastAsia="仿宋_GB2312"/>
                      <w:sz w:val="15"/>
                      <w:color w:val="0000FF"/>
                    </w:rPr>
                    <w:t>及</w:t>
                  </w:r>
                </w:p>
                <w:p>
                  <w:pPr>
                    <w:pStyle w:val="null3"/>
                    <w:ind w:firstLine="150"/>
                    <w:jc w:val="center"/>
                  </w:pPr>
                  <w:r>
                    <w:rPr>
                      <w:rFonts w:ascii="仿宋_GB2312" w:hAnsi="仿宋_GB2312" w:cs="仿宋_GB2312" w:eastAsia="仿宋_GB2312"/>
                      <w:sz w:val="15"/>
                      <w:color w:val="0000FF"/>
                    </w:rPr>
                    <w:t>各</w:t>
                  </w:r>
                </w:p>
                <w:p>
                  <w:pPr>
                    <w:pStyle w:val="null3"/>
                    <w:ind w:firstLine="150"/>
                    <w:jc w:val="center"/>
                  </w:pPr>
                  <w:r>
                    <w:rPr>
                      <w:rFonts w:ascii="仿宋_GB2312" w:hAnsi="仿宋_GB2312" w:cs="仿宋_GB2312" w:eastAsia="仿宋_GB2312"/>
                      <w:sz w:val="15"/>
                      <w:color w:val="0000FF"/>
                    </w:rPr>
                    <w:t>楼</w:t>
                  </w:r>
                </w:p>
                <w:p>
                  <w:pPr>
                    <w:pStyle w:val="null3"/>
                    <w:ind w:firstLine="150"/>
                    <w:jc w:val="center"/>
                  </w:pPr>
                  <w:r>
                    <w:rPr>
                      <w:rFonts w:ascii="仿宋_GB2312" w:hAnsi="仿宋_GB2312" w:cs="仿宋_GB2312" w:eastAsia="仿宋_GB2312"/>
                      <w:sz w:val="15"/>
                      <w:color w:val="0000FF"/>
                    </w:rPr>
                    <w:t>层</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地毯、踏垫</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保持地毯干净无污渍</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每日清扫</w:t>
                  </w:r>
                  <w:r>
                    <w:rPr>
                      <w:rFonts w:ascii="仿宋_GB2312" w:hAnsi="仿宋_GB2312" w:cs="仿宋_GB2312" w:eastAsia="仿宋_GB2312"/>
                      <w:sz w:val="24"/>
                    </w:rPr>
                    <w:t xml:space="preserve"> </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屋面玻璃</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除积灰、污渍斑点</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无明显污渍斑点</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r>
                    <w:rPr>
                      <w:rFonts w:ascii="仿宋_GB2312" w:hAnsi="仿宋_GB2312" w:cs="仿宋_GB2312" w:eastAsia="仿宋_GB2312"/>
                      <w:sz w:val="24"/>
                    </w:rPr>
                    <w:t xml:space="preserve"> </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抹灰墙面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无积灰、无蜘蛛网</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石材墙面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清洁无灰尘</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墙脚线</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木质立面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无灰尘、光亮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标识牌（各类）</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灯箱</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外表除尘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各类消防设施</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风口</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垃圾桶</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清除垃圾</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无垃圾满溢</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门框</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无灰尘及手印，明亮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大玻璃窗</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无积灰及划痕，明亮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花盆套</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无灰尘、盆内无垃圾</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灯具</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接待室、活动室</w:t>
                  </w:r>
                  <w:r>
                    <w:rPr>
                      <w:rFonts w:ascii="仿宋_GB2312" w:hAnsi="仿宋_GB2312" w:cs="仿宋_GB2312" w:eastAsia="仿宋_GB2312"/>
                      <w:sz w:val="15"/>
                      <w:color w:val="0000FF"/>
                    </w:rPr>
                    <w:t>、</w:t>
                  </w:r>
                  <w:r>
                    <w:rPr>
                      <w:rFonts w:ascii="仿宋_GB2312" w:hAnsi="仿宋_GB2312" w:cs="仿宋_GB2312" w:eastAsia="仿宋_GB2312"/>
                      <w:sz w:val="15"/>
                      <w:color w:val="0000FF"/>
                    </w:rPr>
                    <w:t>会</w:t>
                  </w:r>
                  <w:r>
                    <w:rPr>
                      <w:rFonts w:ascii="仿宋_GB2312" w:hAnsi="仿宋_GB2312" w:cs="仿宋_GB2312" w:eastAsia="仿宋_GB2312"/>
                      <w:sz w:val="15"/>
                      <w:color w:val="0000FF"/>
                    </w:rPr>
                    <w:t>议室</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无家具表面无灰尘</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窗台</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无杂物、无水迹、无灰尘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指定办公室</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无家具表面无灰尘</w:t>
                  </w:r>
                  <w:r>
                    <w:rPr>
                      <w:rFonts w:ascii="仿宋_GB2312" w:hAnsi="仿宋_GB2312" w:cs="仿宋_GB2312" w:eastAsia="仿宋_GB2312"/>
                      <w:sz w:val="24"/>
                    </w:rPr>
                    <w:t xml:space="preserve"> </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150"/>
                    <w:jc w:val="center"/>
                  </w:pPr>
                  <w:r>
                    <w:rPr>
                      <w:rFonts w:ascii="仿宋_GB2312" w:hAnsi="仿宋_GB2312" w:cs="仿宋_GB2312" w:eastAsia="仿宋_GB2312"/>
                      <w:sz w:val="15"/>
                      <w:color w:val="0000FF"/>
                    </w:rPr>
                    <w:t>电</w:t>
                  </w:r>
                </w:p>
                <w:p>
                  <w:pPr>
                    <w:pStyle w:val="null3"/>
                    <w:ind w:firstLine="150"/>
                    <w:jc w:val="center"/>
                  </w:pPr>
                  <w:r>
                    <w:rPr>
                      <w:rFonts w:ascii="仿宋_GB2312" w:hAnsi="仿宋_GB2312" w:cs="仿宋_GB2312" w:eastAsia="仿宋_GB2312"/>
                      <w:sz w:val="15"/>
                      <w:color w:val="0000FF"/>
                    </w:rPr>
                    <w:t>梯</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轿厢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无灰尘及手印，光亮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门（内外）</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无灰尘及垃圾，亮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门槽</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清除垃圾、杂物</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无灰尘及垃圾</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指示牌和按钮</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无灰尘、无手印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灯具</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900"/>
                    <w:jc w:val="left"/>
                  </w:pPr>
                  <w:r>
                    <w:rPr>
                      <w:rFonts w:ascii="仿宋_GB2312" w:hAnsi="仿宋_GB2312" w:cs="仿宋_GB2312" w:eastAsia="仿宋_GB2312"/>
                      <w:sz w:val="15"/>
                      <w:color w:val="0000FF"/>
                    </w:rPr>
                    <w:t>洗</w:t>
                  </w:r>
                  <w:r>
                    <w:rPr>
                      <w:rFonts w:ascii="仿宋_GB2312" w:hAnsi="仿宋_GB2312" w:cs="仿宋_GB2312" w:eastAsia="仿宋_GB2312"/>
                      <w:sz w:val="24"/>
                    </w:rPr>
                    <w:t xml:space="preserve"> </w:t>
                  </w:r>
                  <w:r>
                    <w:rPr>
                      <w:rFonts w:ascii="仿宋_GB2312" w:hAnsi="仿宋_GB2312" w:cs="仿宋_GB2312" w:eastAsia="仿宋_GB2312"/>
                      <w:sz w:val="15"/>
                      <w:color w:val="0000FF"/>
                    </w:rPr>
                    <w:t>手</w:t>
                  </w:r>
                  <w:r>
                    <w:rPr>
                      <w:rFonts w:ascii="仿宋_GB2312" w:hAnsi="仿宋_GB2312" w:cs="仿宋_GB2312" w:eastAsia="仿宋_GB2312"/>
                      <w:sz w:val="24"/>
                    </w:rPr>
                    <w:t xml:space="preserve"> </w:t>
                  </w:r>
                  <w:r>
                    <w:rPr>
                      <w:rFonts w:ascii="仿宋_GB2312" w:hAnsi="仿宋_GB2312" w:cs="仿宋_GB2312" w:eastAsia="仿宋_GB2312"/>
                      <w:sz w:val="15"/>
                      <w:color w:val="0000FF"/>
                    </w:rPr>
                    <w:t>间</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尿斗、坐厕、</w:t>
                  </w:r>
                  <w:r>
                    <w:rPr>
                      <w:rFonts w:ascii="仿宋_GB2312" w:hAnsi="仿宋_GB2312" w:cs="仿宋_GB2312" w:eastAsia="仿宋_GB2312"/>
                      <w:sz w:val="24"/>
                    </w:rPr>
                    <w:t xml:space="preserve"> </w:t>
                  </w:r>
                  <w:r>
                    <w:rPr>
                      <w:rFonts w:ascii="仿宋_GB2312" w:hAnsi="仿宋_GB2312" w:cs="仿宋_GB2312" w:eastAsia="仿宋_GB2312"/>
                      <w:sz w:val="15"/>
                      <w:color w:val="0000FF"/>
                    </w:rPr>
                    <w:t>面盆</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除污垢</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r>
                    <w:rPr>
                      <w:rFonts w:ascii="仿宋_GB2312" w:hAnsi="仿宋_GB2312" w:cs="仿宋_GB2312" w:eastAsia="仿宋_GB2312"/>
                      <w:sz w:val="24"/>
                    </w:rPr>
                    <w:t xml:space="preserve"> </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隔断</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除尘、除污垢</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水龙头</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无水锈、无污渍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镜面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无水迹及污渍，明亮</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地面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无垃圾、水迹及污渍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墙面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灯具</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门和门框</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台面</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清洁</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无水迹、无污渍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垃圾桶</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清除垃圾</w:t>
                  </w:r>
                  <w:r>
                    <w:rPr>
                      <w:rFonts w:ascii="仿宋_GB2312" w:hAnsi="仿宋_GB2312" w:cs="仿宋_GB2312" w:eastAsia="仿宋_GB2312"/>
                      <w:sz w:val="24"/>
                    </w:rPr>
                    <w:t xml:space="preserve"> </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无垃圾满溢、无污渍</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玻璃窗</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清洗、除尘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无灰尘、无水迹</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定期清洁</w:t>
                  </w:r>
                </w:p>
              </w:tc>
            </w:tr>
            <w:tr>
              <w:tc>
                <w:tcPr>
                  <w:tcW w:type="dxa" w:w="361"/>
                  <w:vMerge w:val="restart"/>
                  <w:tcBorders>
                    <w:top w:val="none" w:color="000000" w:sz="4"/>
                    <w:left w:val="single" w:color="000000" w:sz="12"/>
                    <w:bottom w:val="single" w:color="000000" w:sz="8"/>
                    <w:right w:val="single" w:color="000000" w:sz="8"/>
                  </w:tcBorders>
                  <w:tcMar>
                    <w:top w:type="dxa" w:w="0"/>
                    <w:left w:type="dxa" w:w="0"/>
                    <w:bottom w:type="dxa" w:w="0"/>
                    <w:right w:type="dxa" w:w="0"/>
                  </w:tcMar>
                  <w:vAlign w:val="top"/>
                </w:tcPr>
                <w:p>
                  <w:pPr>
                    <w:pStyle w:val="null3"/>
                    <w:ind w:firstLine="150"/>
                    <w:jc w:val="left"/>
                  </w:pPr>
                  <w:r>
                    <w:rPr>
                      <w:rFonts w:ascii="仿宋_GB2312" w:hAnsi="仿宋_GB2312" w:cs="仿宋_GB2312" w:eastAsia="仿宋_GB2312"/>
                      <w:sz w:val="15"/>
                      <w:color w:val="0000FF"/>
                    </w:rPr>
                    <w:t>楼</w:t>
                  </w:r>
                  <w:r>
                    <w:rPr>
                      <w:rFonts w:ascii="仿宋_GB2312" w:hAnsi="仿宋_GB2312" w:cs="仿宋_GB2312" w:eastAsia="仿宋_GB2312"/>
                      <w:sz w:val="24"/>
                    </w:rPr>
                    <w:t xml:space="preserve"> </w:t>
                  </w:r>
                  <w:r>
                    <w:rPr>
                      <w:rFonts w:ascii="仿宋_GB2312" w:hAnsi="仿宋_GB2312" w:cs="仿宋_GB2312" w:eastAsia="仿宋_GB2312"/>
                      <w:sz w:val="15"/>
                      <w:color w:val="0000FF"/>
                    </w:rPr>
                    <w:t>梯</w:t>
                  </w: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楼级和平台</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清扫垃圾、清洗</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无垃圾、死角及积灰</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扶手、栏杆</w:t>
                  </w:r>
                </w:p>
              </w:tc>
              <w:tc>
                <w:tcPr>
                  <w:tcW w:type="dxa" w:w="1060"/>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8"/>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8"/>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r>
              <w:tc>
                <w:tcPr>
                  <w:tcW w:type="dxa" w:w="361"/>
                  <w:vMerge/>
                  <w:tcBorders>
                    <w:top w:val="none" w:color="000000" w:sz="4"/>
                    <w:left w:val="single" w:color="000000" w:sz="12"/>
                    <w:bottom w:val="single" w:color="000000" w:sz="8"/>
                    <w:right w:val="single" w:color="000000" w:sz="8"/>
                  </w:tcBorders>
                </w:tcPr>
                <w:p/>
              </w:tc>
              <w:tc>
                <w:tcPr>
                  <w:tcW w:type="dxa" w:w="932"/>
                  <w:tcBorders>
                    <w:top w:val="none" w:color="000000" w:sz="4"/>
                    <w:left w:val="none" w:color="000000" w:sz="4"/>
                    <w:bottom w:val="single" w:color="000000" w:sz="12"/>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外露管道</w:t>
                  </w:r>
                </w:p>
              </w:tc>
              <w:tc>
                <w:tcPr>
                  <w:tcW w:type="dxa" w:w="1060"/>
                  <w:tcBorders>
                    <w:top w:val="none" w:color="000000" w:sz="4"/>
                    <w:left w:val="none" w:color="000000" w:sz="4"/>
                    <w:bottom w:val="single" w:color="000000" w:sz="12"/>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除尘</w:t>
                  </w:r>
                </w:p>
              </w:tc>
              <w:tc>
                <w:tcPr>
                  <w:tcW w:type="dxa" w:w="769"/>
                  <w:tcBorders>
                    <w:top w:val="none" w:color="000000" w:sz="4"/>
                    <w:left w:val="none" w:color="000000" w:sz="4"/>
                    <w:bottom w:val="single" w:color="000000" w:sz="12"/>
                    <w:right w:val="single" w:color="000000" w:sz="8"/>
                  </w:tcBorders>
                  <w:tcMar>
                    <w:top w:type="dxa" w:w="0"/>
                    <w:left w:type="dxa" w:w="0"/>
                    <w:bottom w:type="dxa" w:w="0"/>
                    <w:right w:type="dxa" w:w="0"/>
                  </w:tcMar>
                  <w:vAlign w:val="top"/>
                </w:tcPr>
                <w:p>
                  <w:pPr>
                    <w:pStyle w:val="null3"/>
                    <w:jc w:val="left"/>
                  </w:pPr>
                  <w:r>
                    <w:rPr>
                      <w:rFonts w:ascii="仿宋_GB2312" w:hAnsi="仿宋_GB2312" w:cs="仿宋_GB2312" w:eastAsia="仿宋_GB2312"/>
                      <w:sz w:val="15"/>
                      <w:color w:val="0000FF"/>
                    </w:rPr>
                    <w:t>无灰尘</w:t>
                  </w:r>
                </w:p>
              </w:tc>
              <w:tc>
                <w:tcPr>
                  <w:tcW w:type="dxa" w:w="687"/>
                  <w:tcBorders>
                    <w:top w:val="none" w:color="000000" w:sz="4"/>
                    <w:left w:val="none" w:color="000000" w:sz="4"/>
                    <w:bottom w:val="single" w:color="000000" w:sz="12"/>
                    <w:right w:val="single" w:color="000000" w:sz="12"/>
                  </w:tcBorders>
                  <w:tcMar>
                    <w:top w:type="dxa" w:w="0"/>
                    <w:left w:type="dxa" w:w="0"/>
                    <w:bottom w:type="dxa" w:w="0"/>
                    <w:right w:type="dxa" w:w="0"/>
                  </w:tcMar>
                  <w:vAlign w:val="top"/>
                </w:tcPr>
                <w:p>
                  <w:pPr>
                    <w:pStyle w:val="null3"/>
                    <w:jc w:val="center"/>
                  </w:pPr>
                  <w:r>
                    <w:rPr>
                      <w:rFonts w:ascii="仿宋_GB2312" w:hAnsi="仿宋_GB2312" w:cs="仿宋_GB2312" w:eastAsia="仿宋_GB2312"/>
                      <w:sz w:val="15"/>
                      <w:color w:val="0000FF"/>
                    </w:rPr>
                    <w:t>每日清洁</w:t>
                  </w:r>
                </w:p>
              </w:tc>
            </w:tr>
          </w:tbl>
          <w:p>
            <w:pPr>
              <w:pStyle w:val="null3"/>
            </w:pPr>
            <w:r>
              <w:rPr>
                <w:rFonts w:ascii="仿宋_GB2312" w:hAnsi="仿宋_GB2312" w:cs="仿宋_GB2312" w:eastAsia="仿宋_GB2312"/>
                <w:sz w:val="20"/>
                <w:color w:val="0000FF"/>
              </w:rPr>
              <w:t>（五）公共区域绿化日常养护管理服务标准</w:t>
            </w:r>
          </w:p>
          <w:p>
            <w:pPr>
              <w:pStyle w:val="null3"/>
            </w:pPr>
            <w:r>
              <w:rPr>
                <w:rFonts w:ascii="仿宋_GB2312" w:hAnsi="仿宋_GB2312" w:cs="仿宋_GB2312" w:eastAsia="仿宋_GB2312"/>
                <w:color w:val="0000FF"/>
              </w:rPr>
              <w:t>1.维保期内</w:t>
            </w:r>
            <w:r>
              <w:rPr>
                <w:rFonts w:ascii="仿宋_GB2312" w:hAnsi="仿宋_GB2312" w:cs="仿宋_GB2312" w:eastAsia="仿宋_GB2312"/>
                <w:color w:val="0000FF"/>
              </w:rPr>
              <w:t>配合</w:t>
            </w:r>
            <w:r>
              <w:rPr>
                <w:rFonts w:ascii="仿宋_GB2312" w:hAnsi="仿宋_GB2312" w:cs="仿宋_GB2312" w:eastAsia="仿宋_GB2312"/>
                <w:color w:val="0000FF"/>
              </w:rPr>
              <w:t>联系绿化施工单位，做好绿化养护管理；维保期后由</w:t>
            </w:r>
            <w:r>
              <w:rPr>
                <w:rFonts w:ascii="仿宋_GB2312" w:hAnsi="仿宋_GB2312" w:cs="仿宋_GB2312" w:eastAsia="仿宋_GB2312"/>
                <w:color w:val="0000FF"/>
              </w:rPr>
              <w:t>第三方维保</w:t>
            </w:r>
            <w:r>
              <w:rPr>
                <w:rFonts w:ascii="仿宋_GB2312" w:hAnsi="仿宋_GB2312" w:cs="仿宋_GB2312" w:eastAsia="仿宋_GB2312"/>
                <w:color w:val="0000FF"/>
              </w:rPr>
              <w:t>负责养护，</w:t>
            </w:r>
            <w:r>
              <w:rPr>
                <w:rFonts w:ascii="仿宋_GB2312" w:hAnsi="仿宋_GB2312" w:cs="仿宋_GB2312" w:eastAsia="仿宋_GB2312"/>
                <w:color w:val="0000FF"/>
              </w:rPr>
              <w:t>做好相关监管</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2.</w:t>
            </w:r>
            <w:r>
              <w:rPr>
                <w:rFonts w:ascii="仿宋_GB2312" w:hAnsi="仿宋_GB2312" w:cs="仿宋_GB2312" w:eastAsia="仿宋_GB2312"/>
                <w:color w:val="0000FF"/>
              </w:rPr>
              <w:t>监管养护单位对现场</w:t>
            </w:r>
            <w:r>
              <w:rPr>
                <w:rFonts w:ascii="仿宋_GB2312" w:hAnsi="仿宋_GB2312" w:cs="仿宋_GB2312" w:eastAsia="仿宋_GB2312"/>
                <w:color w:val="0000FF"/>
              </w:rPr>
              <w:t>草坪生长，及时修剪和补栽补种，基本无杂草、杂物</w:t>
            </w:r>
            <w:r>
              <w:rPr>
                <w:rFonts w:ascii="仿宋_GB2312" w:hAnsi="仿宋_GB2312" w:cs="仿宋_GB2312" w:eastAsia="仿宋_GB2312"/>
                <w:color w:val="0000FF"/>
              </w:rPr>
              <w:t>等相关工作</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3.</w:t>
            </w:r>
            <w:r>
              <w:rPr>
                <w:rFonts w:ascii="仿宋_GB2312" w:hAnsi="仿宋_GB2312" w:cs="仿宋_GB2312" w:eastAsia="仿宋_GB2312"/>
                <w:color w:val="0000FF"/>
              </w:rPr>
              <w:t>监管养护单位</w:t>
            </w:r>
            <w:r>
              <w:rPr>
                <w:rFonts w:ascii="仿宋_GB2312" w:hAnsi="仿宋_GB2312" w:cs="仿宋_GB2312" w:eastAsia="仿宋_GB2312"/>
                <w:color w:val="0000FF"/>
              </w:rPr>
              <w:t>花卉、绿篱、树木应根据其品种和生长情况，及时修剪整形。</w:t>
            </w:r>
          </w:p>
          <w:p>
            <w:pPr>
              <w:pStyle w:val="null3"/>
            </w:pPr>
            <w:r>
              <w:rPr>
                <w:rFonts w:ascii="仿宋_GB2312" w:hAnsi="仿宋_GB2312" w:cs="仿宋_GB2312" w:eastAsia="仿宋_GB2312"/>
                <w:color w:val="0000FF"/>
              </w:rPr>
              <w:t>4.</w:t>
            </w:r>
            <w:r>
              <w:rPr>
                <w:rFonts w:ascii="仿宋_GB2312" w:hAnsi="仿宋_GB2312" w:cs="仿宋_GB2312" w:eastAsia="仿宋_GB2312"/>
                <w:color w:val="0000FF"/>
              </w:rPr>
              <w:t>配合养护单位</w:t>
            </w:r>
            <w:r>
              <w:rPr>
                <w:rFonts w:ascii="仿宋_GB2312" w:hAnsi="仿宋_GB2312" w:cs="仿宋_GB2312" w:eastAsia="仿宋_GB2312"/>
                <w:color w:val="0000FF"/>
              </w:rPr>
              <w:t>定期组织浇灌、施肥和松土，做好防涝、防冻</w:t>
            </w:r>
            <w:r>
              <w:rPr>
                <w:rFonts w:ascii="仿宋_GB2312" w:hAnsi="仿宋_GB2312" w:cs="仿宋_GB2312" w:eastAsia="仿宋_GB2312"/>
              </w:rPr>
              <w:t xml:space="preserve"> </w:t>
            </w:r>
          </w:p>
          <w:p>
            <w:pPr>
              <w:pStyle w:val="null3"/>
            </w:pPr>
            <w:r>
              <w:rPr>
                <w:rFonts w:ascii="仿宋_GB2312" w:hAnsi="仿宋_GB2312" w:cs="仿宋_GB2312" w:eastAsia="仿宋_GB2312"/>
                <w:color w:val="0000FF"/>
              </w:rPr>
              <w:t>5.</w:t>
            </w:r>
            <w:r>
              <w:rPr>
                <w:rFonts w:ascii="仿宋_GB2312" w:hAnsi="仿宋_GB2312" w:cs="仿宋_GB2312" w:eastAsia="仿宋_GB2312"/>
                <w:color w:val="0000FF"/>
              </w:rPr>
              <w:t>配合养护单位</w:t>
            </w:r>
            <w:r>
              <w:rPr>
                <w:rFonts w:ascii="仿宋_GB2312" w:hAnsi="仿宋_GB2312" w:cs="仿宋_GB2312" w:eastAsia="仿宋_GB2312"/>
                <w:color w:val="0000FF"/>
              </w:rPr>
              <w:t>定期喷洒药物，预防病虫害。</w:t>
            </w:r>
          </w:p>
          <w:p>
            <w:pPr>
              <w:pStyle w:val="null3"/>
            </w:pPr>
            <w:r>
              <w:rPr>
                <w:rFonts w:ascii="仿宋_GB2312" w:hAnsi="仿宋_GB2312" w:cs="仿宋_GB2312" w:eastAsia="仿宋_GB2312"/>
                <w:b/>
                <w:color w:val="0000FF"/>
              </w:rPr>
              <w:t>三、人员配置</w:t>
            </w:r>
          </w:p>
          <w:p>
            <w:pPr>
              <w:pStyle w:val="null3"/>
            </w:pPr>
            <w:r>
              <w:rPr>
                <w:rFonts w:ascii="仿宋_GB2312" w:hAnsi="仿宋_GB2312" w:cs="仿宋_GB2312" w:eastAsia="仿宋_GB2312"/>
                <w:color w:val="0000FF"/>
              </w:rPr>
              <w:t>根据工作岗位职责要求，物业人员配置需满足下列要求：人员不得少于</w:t>
            </w:r>
            <w:r>
              <w:rPr>
                <w:rFonts w:ascii="仿宋_GB2312" w:hAnsi="仿宋_GB2312" w:cs="仿宋_GB2312" w:eastAsia="仿宋_GB2312"/>
                <w:color w:val="0000FF"/>
              </w:rPr>
              <w:t>21</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（一）</w:t>
            </w:r>
            <w:r>
              <w:rPr>
                <w:rFonts w:ascii="仿宋_GB2312" w:hAnsi="仿宋_GB2312" w:cs="仿宋_GB2312" w:eastAsia="仿宋_GB2312"/>
                <w:color w:val="0000FF"/>
              </w:rPr>
              <w:t>校管员</w:t>
            </w:r>
            <w:r>
              <w:rPr>
                <w:rFonts w:ascii="仿宋_GB2312" w:hAnsi="仿宋_GB2312" w:cs="仿宋_GB2312" w:eastAsia="仿宋_GB2312"/>
                <w:color w:val="0000FF"/>
              </w:rPr>
              <w:t>1</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w:t>
            </w:r>
            <w:r>
              <w:rPr>
                <w:rFonts w:ascii="仿宋_GB2312" w:hAnsi="仿宋_GB2312" w:cs="仿宋_GB2312" w:eastAsia="仿宋_GB2312"/>
                <w:color w:val="0000FF"/>
              </w:rPr>
              <w:t>女性、</w:t>
            </w:r>
            <w:r>
              <w:rPr>
                <w:rFonts w:ascii="仿宋_GB2312" w:hAnsi="仿宋_GB2312" w:cs="仿宋_GB2312" w:eastAsia="仿宋_GB2312"/>
                <w:color w:val="0000FF"/>
              </w:rPr>
              <w:t>年龄</w:t>
            </w:r>
            <w:r>
              <w:rPr>
                <w:rFonts w:ascii="仿宋_GB2312" w:hAnsi="仿宋_GB2312" w:cs="仿宋_GB2312" w:eastAsia="仿宋_GB2312"/>
                <w:color w:val="0000FF"/>
              </w:rPr>
              <w:t>55</w:t>
            </w:r>
            <w:r>
              <w:rPr>
                <w:rFonts w:ascii="仿宋_GB2312" w:hAnsi="仿宋_GB2312" w:cs="仿宋_GB2312" w:eastAsia="仿宋_GB2312"/>
                <w:color w:val="0000FF"/>
              </w:rPr>
              <w:t>岁以下，</w:t>
            </w:r>
            <w:r>
              <w:rPr>
                <w:rFonts w:ascii="仿宋_GB2312" w:hAnsi="仿宋_GB2312" w:cs="仿宋_GB2312" w:eastAsia="仿宋_GB2312"/>
                <w:color w:val="0000FF"/>
              </w:rPr>
              <w:t>本科及</w:t>
            </w:r>
            <w:r>
              <w:rPr>
                <w:rFonts w:ascii="仿宋_GB2312" w:hAnsi="仿宋_GB2312" w:cs="仿宋_GB2312" w:eastAsia="仿宋_GB2312"/>
                <w:color w:val="0000FF"/>
              </w:rPr>
              <w:t>以上学历；</w:t>
            </w:r>
          </w:p>
          <w:p>
            <w:pPr>
              <w:pStyle w:val="null3"/>
            </w:pPr>
            <w:r>
              <w:rPr>
                <w:rFonts w:ascii="仿宋_GB2312" w:hAnsi="仿宋_GB2312" w:cs="仿宋_GB2312" w:eastAsia="仿宋_GB2312"/>
                <w:color w:val="0000FF"/>
              </w:rPr>
              <w:t>2、具有较强的组织指挥、技术指导和解决问题的能力；</w:t>
            </w:r>
          </w:p>
          <w:p>
            <w:pPr>
              <w:pStyle w:val="null3"/>
            </w:pPr>
            <w:r>
              <w:rPr>
                <w:rFonts w:ascii="仿宋_GB2312" w:hAnsi="仿宋_GB2312" w:cs="仿宋_GB2312" w:eastAsia="仿宋_GB2312"/>
                <w:color w:val="0000FF"/>
              </w:rPr>
              <w:t>3、具有较强的服务意识、团队意识和沟通能力；</w:t>
            </w:r>
          </w:p>
          <w:p>
            <w:pPr>
              <w:pStyle w:val="null3"/>
            </w:pPr>
            <w:r>
              <w:rPr>
                <w:rFonts w:ascii="仿宋_GB2312" w:hAnsi="仿宋_GB2312" w:cs="仿宋_GB2312" w:eastAsia="仿宋_GB2312"/>
                <w:color w:val="0000FF"/>
              </w:rPr>
              <w:t>4、人品端正、思维敏捷，有良好的执行力，工作态度积极主动。</w:t>
            </w:r>
          </w:p>
          <w:p>
            <w:pPr>
              <w:pStyle w:val="null3"/>
            </w:pPr>
            <w:r>
              <w:rPr>
                <w:rFonts w:ascii="仿宋_GB2312" w:hAnsi="仿宋_GB2312" w:cs="仿宋_GB2312" w:eastAsia="仿宋_GB2312"/>
                <w:color w:val="0000FF"/>
              </w:rPr>
              <w:t>（二）工程管理</w:t>
            </w:r>
            <w:r>
              <w:rPr>
                <w:rFonts w:ascii="仿宋_GB2312" w:hAnsi="仿宋_GB2312" w:cs="仿宋_GB2312" w:eastAsia="仿宋_GB2312"/>
                <w:color w:val="0000FF"/>
              </w:rPr>
              <w:t>不低于</w:t>
            </w:r>
            <w:r>
              <w:rPr>
                <w:rFonts w:ascii="仿宋_GB2312" w:hAnsi="仿宋_GB2312" w:cs="仿宋_GB2312" w:eastAsia="仿宋_GB2312"/>
                <w:color w:val="0000FF"/>
              </w:rPr>
              <w:t xml:space="preserve">2 </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1、年龄</w:t>
            </w:r>
            <w:r>
              <w:rPr>
                <w:rFonts w:ascii="仿宋_GB2312" w:hAnsi="仿宋_GB2312" w:cs="仿宋_GB2312" w:eastAsia="仿宋_GB2312"/>
                <w:color w:val="0000FF"/>
              </w:rPr>
              <w:t>55</w:t>
            </w:r>
            <w:r>
              <w:rPr>
                <w:rFonts w:ascii="仿宋_GB2312" w:hAnsi="仿宋_GB2312" w:cs="仿宋_GB2312" w:eastAsia="仿宋_GB2312"/>
                <w:color w:val="0000FF"/>
              </w:rPr>
              <w:t>岁以下，中专以上学历，具备相应岗位的上岗证；</w:t>
            </w:r>
          </w:p>
          <w:p>
            <w:pPr>
              <w:pStyle w:val="null3"/>
            </w:pPr>
            <w:r>
              <w:rPr>
                <w:rFonts w:ascii="仿宋_GB2312" w:hAnsi="仿宋_GB2312" w:cs="仿宋_GB2312" w:eastAsia="仿宋_GB2312"/>
                <w:color w:val="0000FF"/>
              </w:rPr>
              <w:t>2、具备良好的沟通能力和解决问题的能力；</w:t>
            </w:r>
          </w:p>
          <w:p>
            <w:pPr>
              <w:pStyle w:val="null3"/>
            </w:pPr>
            <w:r>
              <w:rPr>
                <w:rFonts w:ascii="仿宋_GB2312" w:hAnsi="仿宋_GB2312" w:cs="仿宋_GB2312" w:eastAsia="仿宋_GB2312"/>
                <w:color w:val="0000FF"/>
              </w:rPr>
              <w:t>3、具有较强的服务意识、团队意识；</w:t>
            </w:r>
          </w:p>
          <w:p>
            <w:pPr>
              <w:pStyle w:val="null3"/>
            </w:pPr>
            <w:r>
              <w:rPr>
                <w:rFonts w:ascii="仿宋_GB2312" w:hAnsi="仿宋_GB2312" w:cs="仿宋_GB2312" w:eastAsia="仿宋_GB2312"/>
                <w:color w:val="0000FF"/>
              </w:rPr>
              <w:t>4、人品端正、思维敏捷，有良好的执行力，工作态度积极主动。</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三</w:t>
            </w:r>
            <w:r>
              <w:rPr>
                <w:rFonts w:ascii="仿宋_GB2312" w:hAnsi="仿宋_GB2312" w:cs="仿宋_GB2312" w:eastAsia="仿宋_GB2312"/>
                <w:color w:val="0000FF"/>
              </w:rPr>
              <w:t>）</w:t>
            </w:r>
            <w:r>
              <w:rPr>
                <w:rFonts w:ascii="仿宋_GB2312" w:hAnsi="仿宋_GB2312" w:cs="仿宋_GB2312" w:eastAsia="仿宋_GB2312"/>
                <w:color w:val="0000FF"/>
              </w:rPr>
              <w:t>秩序</w:t>
            </w:r>
            <w:r>
              <w:rPr>
                <w:rFonts w:ascii="仿宋_GB2312" w:hAnsi="仿宋_GB2312" w:cs="仿宋_GB2312" w:eastAsia="仿宋_GB2312"/>
                <w:color w:val="0000FF"/>
              </w:rPr>
              <w:t>管理</w:t>
            </w:r>
            <w:r>
              <w:rPr>
                <w:rFonts w:ascii="仿宋_GB2312" w:hAnsi="仿宋_GB2312" w:cs="仿宋_GB2312" w:eastAsia="仿宋_GB2312"/>
                <w:color w:val="0000FF"/>
              </w:rPr>
              <w:t>不低于</w:t>
            </w:r>
            <w:r>
              <w:rPr>
                <w:rFonts w:ascii="仿宋_GB2312" w:hAnsi="仿宋_GB2312" w:cs="仿宋_GB2312" w:eastAsia="仿宋_GB2312"/>
                <w:color w:val="0000FF"/>
              </w:rPr>
              <w:t>9</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1、协防年龄5</w:t>
            </w:r>
            <w:r>
              <w:rPr>
                <w:rFonts w:ascii="仿宋_GB2312" w:hAnsi="仿宋_GB2312" w:cs="仿宋_GB2312" w:eastAsia="仿宋_GB2312"/>
                <w:color w:val="0000FF"/>
              </w:rPr>
              <w:t>5</w:t>
            </w:r>
            <w:r>
              <w:rPr>
                <w:rFonts w:ascii="仿宋_GB2312" w:hAnsi="仿宋_GB2312" w:cs="仿宋_GB2312" w:eastAsia="仿宋_GB2312"/>
                <w:color w:val="0000FF"/>
              </w:rPr>
              <w:t>岁以下，初中以上文化程度；</w:t>
            </w:r>
          </w:p>
          <w:p>
            <w:pPr>
              <w:pStyle w:val="null3"/>
            </w:pPr>
            <w:r>
              <w:rPr>
                <w:rFonts w:ascii="仿宋_GB2312" w:hAnsi="仿宋_GB2312" w:cs="仿宋_GB2312" w:eastAsia="仿宋_GB2312"/>
                <w:color w:val="0000FF"/>
              </w:rPr>
              <w:t>2、工作人员必须保持个人和工作现场的干净、整洁、卫生，维护好单位良好形象；</w:t>
            </w:r>
          </w:p>
          <w:p>
            <w:pPr>
              <w:pStyle w:val="null3"/>
            </w:pPr>
            <w:r>
              <w:rPr>
                <w:rFonts w:ascii="仿宋_GB2312" w:hAnsi="仿宋_GB2312" w:cs="仿宋_GB2312" w:eastAsia="仿宋_GB2312"/>
                <w:color w:val="0000FF"/>
              </w:rPr>
              <w:t>3、按规定上岗交接班，忠于职守，在岗时不得与其他无关人员聊天，禁止玩手机，做与本岗位无关事宜</w:t>
            </w:r>
            <w:r>
              <w:rPr>
                <w:rFonts w:ascii="仿宋_GB2312" w:hAnsi="仿宋_GB2312" w:cs="仿宋_GB2312" w:eastAsia="仿宋_GB2312"/>
                <w:color w:val="0000FF"/>
              </w:rPr>
              <w:t>。</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四</w:t>
            </w:r>
            <w:r>
              <w:rPr>
                <w:rFonts w:ascii="仿宋_GB2312" w:hAnsi="仿宋_GB2312" w:cs="仿宋_GB2312" w:eastAsia="仿宋_GB2312"/>
                <w:color w:val="0000FF"/>
              </w:rPr>
              <w:t>）保洁</w:t>
            </w:r>
            <w:r>
              <w:rPr>
                <w:rFonts w:ascii="仿宋_GB2312" w:hAnsi="仿宋_GB2312" w:cs="仿宋_GB2312" w:eastAsia="仿宋_GB2312"/>
                <w:color w:val="0000FF"/>
              </w:rPr>
              <w:t>不低于</w:t>
            </w:r>
            <w:r>
              <w:rPr>
                <w:rFonts w:ascii="仿宋_GB2312" w:hAnsi="仿宋_GB2312" w:cs="仿宋_GB2312" w:eastAsia="仿宋_GB2312"/>
                <w:color w:val="0000FF"/>
              </w:rPr>
              <w:t>8</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1、保洁员年龄</w:t>
            </w:r>
            <w:r>
              <w:rPr>
                <w:rFonts w:ascii="仿宋_GB2312" w:hAnsi="仿宋_GB2312" w:cs="仿宋_GB2312" w:eastAsia="仿宋_GB2312"/>
                <w:color w:val="0000FF"/>
              </w:rPr>
              <w:t>60</w:t>
            </w:r>
            <w:r>
              <w:rPr>
                <w:rFonts w:ascii="仿宋_GB2312" w:hAnsi="仿宋_GB2312" w:cs="仿宋_GB2312" w:eastAsia="仿宋_GB2312"/>
                <w:color w:val="0000FF"/>
              </w:rPr>
              <w:t>岁以下，初中及以上文化，室外保洁男女不限，其余限女性；</w:t>
            </w:r>
          </w:p>
          <w:p>
            <w:pPr>
              <w:pStyle w:val="null3"/>
            </w:pPr>
            <w:r>
              <w:rPr>
                <w:rFonts w:ascii="仿宋_GB2312" w:hAnsi="仿宋_GB2312" w:cs="仿宋_GB2312" w:eastAsia="仿宋_GB2312"/>
                <w:color w:val="0000FF"/>
              </w:rPr>
              <w:t>2、形象好、会讲普通话，有一定应变能力。</w:t>
            </w:r>
          </w:p>
          <w:p>
            <w:pPr>
              <w:pStyle w:val="null3"/>
            </w:pPr>
            <w:r>
              <w:rPr>
                <w:rFonts w:ascii="仿宋_GB2312" w:hAnsi="仿宋_GB2312" w:cs="仿宋_GB2312" w:eastAsia="仿宋_GB2312"/>
                <w:color w:val="0000FF"/>
              </w:rPr>
              <w:t>3、具备良好的沟通能力，身体健康、吃苦耐劳、责任心强。</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五</w:t>
            </w:r>
            <w:r>
              <w:rPr>
                <w:rFonts w:ascii="仿宋_GB2312" w:hAnsi="仿宋_GB2312" w:cs="仿宋_GB2312" w:eastAsia="仿宋_GB2312"/>
                <w:color w:val="0000FF"/>
              </w:rPr>
              <w:t>）</w:t>
            </w:r>
            <w:r>
              <w:rPr>
                <w:rFonts w:ascii="仿宋_GB2312" w:hAnsi="仿宋_GB2312" w:cs="仿宋_GB2312" w:eastAsia="仿宋_GB2312"/>
                <w:color w:val="0000FF"/>
              </w:rPr>
              <w:t>绿化工不低于</w:t>
            </w:r>
            <w:r>
              <w:rPr>
                <w:rFonts w:ascii="仿宋_GB2312" w:hAnsi="仿宋_GB2312" w:cs="仿宋_GB2312" w:eastAsia="仿宋_GB2312"/>
                <w:color w:val="0000FF"/>
              </w:rPr>
              <w:t>1</w:t>
            </w:r>
            <w:r>
              <w:rPr>
                <w:rFonts w:ascii="仿宋_GB2312" w:hAnsi="仿宋_GB2312" w:cs="仿宋_GB2312" w:eastAsia="仿宋_GB2312"/>
                <w:color w:val="0000FF"/>
              </w:rPr>
              <w:t>人</w:t>
            </w:r>
          </w:p>
          <w:p>
            <w:pPr>
              <w:pStyle w:val="null3"/>
            </w:pPr>
            <w:r>
              <w:rPr>
                <w:rFonts w:ascii="仿宋_GB2312" w:hAnsi="仿宋_GB2312" w:cs="仿宋_GB2312" w:eastAsia="仿宋_GB2312"/>
                <w:color w:val="0000FF"/>
              </w:rPr>
              <w:t>1、</w:t>
            </w:r>
            <w:r>
              <w:rPr>
                <w:rFonts w:ascii="仿宋_GB2312" w:hAnsi="仿宋_GB2312" w:cs="仿宋_GB2312" w:eastAsia="仿宋_GB2312"/>
                <w:color w:val="0000FF"/>
              </w:rPr>
              <w:t>绿化工</w:t>
            </w:r>
            <w:r>
              <w:rPr>
                <w:rFonts w:ascii="仿宋_GB2312" w:hAnsi="仿宋_GB2312" w:cs="仿宋_GB2312" w:eastAsia="仿宋_GB2312"/>
                <w:color w:val="0000FF"/>
              </w:rPr>
              <w:t>年龄</w:t>
            </w:r>
            <w:r>
              <w:rPr>
                <w:rFonts w:ascii="仿宋_GB2312" w:hAnsi="仿宋_GB2312" w:cs="仿宋_GB2312" w:eastAsia="仿宋_GB2312"/>
                <w:color w:val="0000FF"/>
              </w:rPr>
              <w:t>60</w:t>
            </w:r>
            <w:r>
              <w:rPr>
                <w:rFonts w:ascii="仿宋_GB2312" w:hAnsi="仿宋_GB2312" w:cs="仿宋_GB2312" w:eastAsia="仿宋_GB2312"/>
                <w:color w:val="0000FF"/>
              </w:rPr>
              <w:t>岁以下，初中及以上文化；</w:t>
            </w:r>
          </w:p>
          <w:p>
            <w:pPr>
              <w:pStyle w:val="null3"/>
            </w:pPr>
            <w:r>
              <w:rPr>
                <w:rFonts w:ascii="仿宋_GB2312" w:hAnsi="仿宋_GB2312" w:cs="仿宋_GB2312" w:eastAsia="仿宋_GB2312"/>
                <w:color w:val="0000FF"/>
              </w:rPr>
              <w:t>2、形象好、会讲普通话，有一定应变能力。</w:t>
            </w:r>
          </w:p>
          <w:p>
            <w:pPr>
              <w:pStyle w:val="null3"/>
            </w:pPr>
            <w:r>
              <w:rPr>
                <w:rFonts w:ascii="仿宋_GB2312" w:hAnsi="仿宋_GB2312" w:cs="仿宋_GB2312" w:eastAsia="仿宋_GB2312"/>
                <w:color w:val="0000FF"/>
              </w:rPr>
              <w:t>3、具备良好的沟通能力，身体健康、吃苦耐劳、责任心强</w:t>
            </w:r>
            <w:r>
              <w:rPr>
                <w:rFonts w:ascii="仿宋_GB2312" w:hAnsi="仿宋_GB2312" w:cs="仿宋_GB2312" w:eastAsia="仿宋_GB2312"/>
                <w:color w:val="0000FF"/>
              </w:rPr>
              <w:t>。</w:t>
            </w:r>
          </w:p>
          <w:p>
            <w:pPr>
              <w:pStyle w:val="null3"/>
            </w:pPr>
            <w:r>
              <w:rPr>
                <w:rFonts w:ascii="仿宋_GB2312" w:hAnsi="仿宋_GB2312" w:cs="仿宋_GB2312" w:eastAsia="仿宋_GB2312"/>
                <w:b/>
                <w:color w:val="0000FF"/>
              </w:rPr>
              <w:t>四</w:t>
            </w:r>
            <w:r>
              <w:rPr>
                <w:rFonts w:ascii="仿宋_GB2312" w:hAnsi="仿宋_GB2312" w:cs="仿宋_GB2312" w:eastAsia="仿宋_GB2312"/>
                <w:b/>
                <w:color w:val="0000FF"/>
              </w:rPr>
              <w:t>、服务期限</w:t>
            </w:r>
          </w:p>
          <w:p>
            <w:pPr>
              <w:pStyle w:val="null3"/>
            </w:pPr>
            <w:r>
              <w:rPr>
                <w:rFonts w:ascii="仿宋_GB2312" w:hAnsi="仿宋_GB2312" w:cs="仿宋_GB2312" w:eastAsia="仿宋_GB2312"/>
                <w:sz w:val="21"/>
                <w:color w:val="0000FF"/>
              </w:rPr>
              <w:t>自合同签订之日起一年</w:t>
            </w:r>
            <w:r>
              <w:rPr>
                <w:rFonts w:ascii="仿宋_GB2312" w:hAnsi="仿宋_GB2312" w:cs="仿宋_GB2312" w:eastAsia="仿宋_GB2312"/>
                <w:sz w:val="21"/>
                <w:color w:val="0000FF"/>
              </w:rPr>
              <w:t>（本项目采购人拟在采购内容不变、年度有预算保障、服务价格不变或降低的情况下，与供应商就本项目进行不超过</w:t>
            </w:r>
            <w:r>
              <w:rPr>
                <w:rFonts w:ascii="仿宋_GB2312" w:hAnsi="仿宋_GB2312" w:cs="仿宋_GB2312" w:eastAsia="仿宋_GB2312"/>
                <w:sz w:val="21"/>
                <w:color w:val="0000FF"/>
              </w:rPr>
              <w:t>3年</w:t>
            </w:r>
            <w:r>
              <w:rPr>
                <w:rFonts w:ascii="仿宋_GB2312" w:hAnsi="仿宋_GB2312" w:cs="仿宋_GB2312" w:eastAsia="仿宋_GB2312"/>
                <w:sz w:val="21"/>
                <w:color w:val="0000FF"/>
              </w:rPr>
              <w:t>服务</w:t>
            </w:r>
            <w:r>
              <w:rPr>
                <w:rFonts w:ascii="仿宋_GB2312" w:hAnsi="仿宋_GB2312" w:cs="仿宋_GB2312" w:eastAsia="仿宋_GB2312"/>
                <w:sz w:val="21"/>
                <w:color w:val="0000FF"/>
              </w:rPr>
              <w:t>期限的政府采购服务合作，服务合同一年一签；所提供的服务质量经采购人考核后，在采购内容不变，政府采购计划备案审批同意后续签服务合同，本次采购预算为第一年预算，采购人根据第二年资金落实情况、供应商实际服务质量等因素决定是否续签，续签不超过两次）</w:t>
            </w:r>
            <w:r>
              <w:rPr>
                <w:rFonts w:ascii="仿宋_GB2312" w:hAnsi="仿宋_GB2312" w:cs="仿宋_GB2312" w:eastAsia="仿宋_GB2312"/>
                <w:sz w:val="21"/>
                <w:color w:val="0000FF"/>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符合磋商文件及项目要求，供应商根据单位自身及项目实际情况自主配置。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购人拟在采购内容不变、年度有预算保障、服务价格不变或降低的情况下，与供应商就本项目进行不超过3年服务期限的政府采购服务合作，服务合同一年一签；所提供的服务质量经采购人考核后，在采购内容不变，政府采购计划备案审批同意后续签服务合同，本次采购预算为第一年预算，采购人根据第二年资金落实情况、供应商实际服务质量等因素决定是否续签，续签不超过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西安高新区第十一初级中学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（1）符合目前国家或地方现行的验收标准及方法； （2）供应商按照合同条款要求完成各项服务内容，采购人每月对供应商进行检查，对服务不达要求责令乙方整改，如整改不到位采购人有权按照合同条款扣除当月服务费用。</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按每季度（三个月）以转账形式结算，供应商每月需出具书面服务报告，向采购人汇报当月服务情况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按每季度（三个月）以转账形式结算，供应商每月需出具书面服务报告，向采购人汇报当月服务情况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按每季度（三个月）以转账形式结算，供应商每月需出具书面服务报告，向采购人汇报当月服务情况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按每季度（三个月）以转账形式结算，供应商每月需出具书面服务报告，向采购人汇报当月服务情况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在履行期间，双方发生一切争议时，在不影响服务进度的前提下，甲乙双方就合同条款的解释或执行以及与项目密切相关的事项发生争议。应在7个工作日内双方友好协商解决或请有关部门进行调解。协商或调节不成，诉讼至采购人所在地人民法院解决。 2、因质量问题发生的争议，由国家权威技术单位进行质量鉴定，该鉴定结论是终局的，采购人及供应商双方应当接受。</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 2、成交供应商在领取成交通知书前，须向采购代理机构提供纸质版响应文件正本壹份、副本贰份、电子投标文件贰份（U盘或移动硬盘；响应文件为Word版本和PDF版本，PDF文件为签字、盖章的完整正本扫描件），且提供的响应文件必须与在陕西省政府采购综合管理平台的项目电子化交易系统中递交的电子响应文件内容一致，纸质版响应文件必须装订成册且签字、盖章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授权委托代理人参加磋商的，须出具法定代表人授权书（附法定代表人、被授权委托代理人身份证复印件或扫描件）及被授权委托代理人自响应文件提交截止日前六个月内任意一个月在本单位的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案件当事人名单”，未被“中国政府采购网”（www.ccgp.gov.cn）列入“政府采购严重违法失信行为记录名单”；（响应文件解密完成后查询相关信用记录，对列入失信被执行人、重大税收违法案件当事人名单、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竞争性磋商响应文件是否按竞争性磋商文件要求签署、盖章的</w:t>
            </w:r>
          </w:p>
        </w:tc>
        <w:tc>
          <w:tcPr>
            <w:tcW w:type="dxa" w:w="3322"/>
          </w:tcPr>
          <w:p>
            <w:pPr>
              <w:pStyle w:val="null3"/>
            </w:pPr>
            <w:r>
              <w:rPr>
                <w:rFonts w:ascii="仿宋_GB2312" w:hAnsi="仿宋_GB2312" w:cs="仿宋_GB2312" w:eastAsia="仿宋_GB2312"/>
              </w:rPr>
              <w:t>按竞争性磋商响应文件要求签署、盖章的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竞争性磋商文件是否含有采购人不能接受的附加条件的或其他情形</w:t>
            </w:r>
          </w:p>
        </w:tc>
        <w:tc>
          <w:tcPr>
            <w:tcW w:type="dxa" w:w="3322"/>
          </w:tcPr>
          <w:p>
            <w:pPr>
              <w:pStyle w:val="null3"/>
            </w:pPr>
            <w:r>
              <w:rPr>
                <w:rFonts w:ascii="仿宋_GB2312" w:hAnsi="仿宋_GB2312" w:cs="仿宋_GB2312" w:eastAsia="仿宋_GB2312"/>
              </w:rPr>
              <w:t>竞争性磋商文件未含有采购人不能接受的附加条件的或其他情形</w:t>
            </w:r>
          </w:p>
        </w:tc>
        <w:tc>
          <w:tcPr>
            <w:tcW w:type="dxa" w:w="1661"/>
          </w:tcPr>
          <w:p>
            <w:pPr>
              <w:pStyle w:val="null3"/>
            </w:pPr>
            <w:r>
              <w:rPr>
                <w:rFonts w:ascii="仿宋_GB2312" w:hAnsi="仿宋_GB2312" w:cs="仿宋_GB2312" w:eastAsia="仿宋_GB2312"/>
              </w:rPr>
              <w:t>合同条款偏离表 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评审内容：①服务理念及特色；②服务目标；③服务计划；④公司内控管理制度（规章制度、组织架构及管理理念）；⑤日常档案资料管理制度；⑥进场方案、工作交接方案。 方案内容均有描述且符合本项目要求的得12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评审内容：①服务内容及标准②工作流程及工作计划。 方案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秩序维护服务方案</w:t>
            </w:r>
          </w:p>
        </w:tc>
        <w:tc>
          <w:tcPr>
            <w:tcW w:type="dxa" w:w="2492"/>
          </w:tcPr>
          <w:p>
            <w:pPr>
              <w:pStyle w:val="null3"/>
            </w:pPr>
            <w:r>
              <w:rPr>
                <w:rFonts w:ascii="仿宋_GB2312" w:hAnsi="仿宋_GB2312" w:cs="仿宋_GB2312" w:eastAsia="仿宋_GB2312"/>
              </w:rPr>
              <w:t>评审内容：①服务内容及标准②工作流程及计划③校园安全管理制度。 方案内容均有描述且符合本项目要求的得6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其他后勤保障服务方案</w:t>
            </w:r>
          </w:p>
        </w:tc>
        <w:tc>
          <w:tcPr>
            <w:tcW w:type="dxa" w:w="2492"/>
          </w:tcPr>
          <w:p>
            <w:pPr>
              <w:pStyle w:val="null3"/>
            </w:pPr>
            <w:r>
              <w:rPr>
                <w:rFonts w:ascii="仿宋_GB2312" w:hAnsi="仿宋_GB2312" w:cs="仿宋_GB2312" w:eastAsia="仿宋_GB2312"/>
              </w:rPr>
              <w:t>评审内容：①服务内容及标准②工作流程及计划。 方案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评审内容：①团队人员配备清单及相关从业证书；②配备人员具体岗位职责；③人员管理制度（如：仪容仪表、请销假、奖惩措施、激励机制等）；④人员日常考核及培训方案（考核标准、培训内容及进度计划）。 方案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评审内容：①内控和人员管理制度②考核制度③奖惩激励制度。 方案内容均有描述且符合本项目要求的得6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方案内容均有描述且符合本项目要求的得4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安全保障管理方案</w:t>
            </w:r>
          </w:p>
        </w:tc>
        <w:tc>
          <w:tcPr>
            <w:tcW w:type="dxa" w:w="2492"/>
          </w:tcPr>
          <w:p>
            <w:pPr>
              <w:pStyle w:val="null3"/>
            </w:pPr>
            <w:r>
              <w:rPr>
                <w:rFonts w:ascii="仿宋_GB2312" w:hAnsi="仿宋_GB2312" w:cs="仿宋_GB2312" w:eastAsia="仿宋_GB2312"/>
              </w:rPr>
              <w:t>评审内容：①传染性疾病预防、重大卫生防控方案③重大事故预防方案。 方案内容均有描述且符合本项目要求的得4分；每缺少一项要求的方案内容扣2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应急管理预案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评审内容：①恶劣天气、停水停电、火灾、水浸、防火等②重大活动、紧急事件及临时性任务③违法事件（防盗、打架斗殴、寻衅滋事等）④重大人事变动。 方案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评审内容：①安防承诺②环境维护承诺③其他后勤保障服务承诺④确保上岗人员身体健康无重大疾病承诺。 方案内容均有描述且符合本项目要求的得12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累计扣分不超过该项满分，扣完为止；每有一项要求的方案内容有一处描述不切合项目实际的，一处扣1分，累计扣分不超过该项满分，扣完为止。不提供方案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供应商具有2022年11月01日至今（以合同签订时间为准）的类似项目业绩，投标文件中提供合同复印件加盖公章，每提供一个计2分，满分10分。 注：业绩以合同的复印件或扫描件并加盖供应商公章为计分依据。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取有效磋商总报价的最低价为评审基准价；磋商报价得分=（评审基准价／最终磋商报价）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