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版本号：MZ2025-CS110920251218001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MZ2025-CS1109</w:t>
      </w:r>
      <w:r>
        <w:br/>
      </w:r>
      <w:r>
        <w:br/>
      </w:r>
      <w:r>
        <w:br/>
      </w:r>
    </w:p>
    <w:p>
      <w:pPr>
        <w:pStyle w:val="null3"/>
        <w:jc w:val="center"/>
        <w:outlineLvl w:val="2"/>
      </w:pPr>
      <w:r>
        <w:rPr>
          <w:rFonts w:ascii="仿宋_GB2312" w:hAnsi="仿宋_GB2312" w:cs="仿宋_GB2312" w:eastAsia="仿宋_GB2312"/>
          <w:sz w:val="28"/>
          <w:b/>
        </w:rPr>
        <w:t>西安高新区第四完全中学</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西安高新区第四完全中学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本项目采购核心为“护航博雅教育，打造智慧校园”，要求供应商构建“安全化、精细化、智慧化、特色化”四位一体的后勤服务体系，具体服务内容及要求详见采购文件。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身份证明/法定代表人授权书：法定代表人直接参加磋商的，须出具法定代表人身份证明及法人身份证；法定代表人授权代表参加磋商的，须出具法定代表人授权书及法人和授权代表身份证并提供开标前连续三个月授权代表在本单位的社保缴纳证明。</w:t>
      </w:r>
    </w:p>
    <w:p>
      <w:pPr>
        <w:pStyle w:val="null3"/>
      </w:pPr>
      <w:r>
        <w:rPr>
          <w:rFonts w:ascii="仿宋_GB2312" w:hAnsi="仿宋_GB2312" w:cs="仿宋_GB2312" w:eastAsia="仿宋_GB2312"/>
        </w:rPr>
        <w:t>4、本项目不接受联合体磋商：本项目不接受联合体磋商</w:t>
      </w:r>
    </w:p>
    <w:p>
      <w:pPr>
        <w:pStyle w:val="null3"/>
      </w:pPr>
      <w:r>
        <w:rPr>
          <w:rFonts w:ascii="仿宋_GB2312" w:hAnsi="仿宋_GB2312" w:cs="仿宋_GB2312" w:eastAsia="仿宋_GB2312"/>
        </w:rPr>
        <w:t>5、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西安高新区第四完全中学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西安市高新区经十三路与科技五路交汇处东南角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029-88855508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冯瑶 韩微 张玉洁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采购包1：798,000.00元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具体金额将在结果公告中公布。成交单位的代理服务费交纳信息 银行户名：陕西明正招标有限公司 开户银行：招商银行股份有限公司西安白沙路支行账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西安高新区第四完全中学</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西安高新区第四完全中学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西安高新区第四完全中学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成交供应商配合采购人验收；若存在验收费用，由成交供应商自行承担。每季度甲方组织验收，经综合验收合格后，由乙方向甲方提交付款申请书及相应清单、票据等报账资料，经甲方审定确认无误按照合同约定条款支付乙方所产生的费用。2、验收标准：验收以合同、采购文件、采购响应文件、澄清及国家相应的标准、规范等为依据。双方如对质量要求和技术指标的约定标准有相互抵触或异议的事项，由采购人在采购与响应文件中按质量要求和技术指标比较优胜的原则确定该项的约定标准进行验收；如采购人有其他要求，不违背相关法律规定前提下，供应商也应当遵守。3、履约验收其他事项：其他未尽事宜应严格按照财政部关于进一步加强政府采购需求和履约验收管理的指导意见（财库〔2016〕205 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联系人：冯瑶 韩微</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本项目采购核心为“护航博雅教育，打造智慧校园”，要求供应商构建“安全化、精细化、智慧化、特色化”四位一体的后勤服务体系，具体服务内容及要求详见采购文件。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798,000.00</w:t>
      </w:r>
    </w:p>
    <w:p>
      <w:pPr>
        <w:pStyle w:val="null3"/>
      </w:pPr>
      <w:r>
        <w:rPr>
          <w:rFonts w:ascii="仿宋_GB2312" w:hAnsi="仿宋_GB2312" w:cs="仿宋_GB2312" w:eastAsia="仿宋_GB2312"/>
        </w:rPr>
        <w:t>采购包最高限价（元）: 798,000.00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798,000.00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一、服务内容：</w:t>
            </w:r>
          </w:p>
          <w:p>
            <w:pPr>
              <w:pStyle w:val="null3"/>
            </w:pPr>
            <w:r>
              <w:rPr>
                <w:rFonts w:ascii="仿宋_GB2312" w:hAnsi="仿宋_GB2312" w:cs="仿宋_GB2312" w:eastAsia="仿宋_GB2312"/>
              </w:rPr>
              <w:t>本项目采购核心为</w:t>
            </w:r>
            <w:r>
              <w:rPr>
                <w:rFonts w:ascii="仿宋_GB2312" w:hAnsi="仿宋_GB2312" w:cs="仿宋_GB2312" w:eastAsia="仿宋_GB2312"/>
              </w:rPr>
              <w:t>“护航博雅教育，打造智慧校园”，要求供应商构建“安全化、精细化、智慧化、特色化”四位一体的后勤服务体系，具体服务内容及要求如下：</w:t>
            </w:r>
          </w:p>
          <w:p>
            <w:pPr>
              <w:pStyle w:val="null3"/>
            </w:pPr>
            <w:r>
              <w:rPr>
                <w:rFonts w:ascii="仿宋_GB2312" w:hAnsi="仿宋_GB2312" w:cs="仿宋_GB2312" w:eastAsia="仿宋_GB2312"/>
              </w:rPr>
              <w:t>（一）安全化服务</w:t>
            </w:r>
          </w:p>
          <w:p>
            <w:pPr>
              <w:pStyle w:val="null3"/>
            </w:pPr>
            <w:r>
              <w:rPr>
                <w:rFonts w:ascii="仿宋_GB2312" w:hAnsi="仿宋_GB2312" w:cs="仿宋_GB2312" w:eastAsia="仿宋_GB2312"/>
              </w:rPr>
              <w:t>1.全时段安防巡查：建立覆盖校园所有区域（含教学楼、宿舍、操场、绿化带、停车场等）的24小时巡查机制，明确巡查路线、频次及记录标准，确保及时发现并处置安全隐患，保安年龄不超过50岁。</w:t>
            </w:r>
          </w:p>
          <w:p>
            <w:pPr>
              <w:pStyle w:val="null3"/>
            </w:pPr>
            <w:r>
              <w:rPr>
                <w:rFonts w:ascii="仿宋_GB2312" w:hAnsi="仿宋_GB2312" w:cs="仿宋_GB2312" w:eastAsia="仿宋_GB2312"/>
              </w:rPr>
              <w:t>2.专业化应急处置：组建具备应急处置资质的团队，针对火灾、地震、设施故障、校园突发冲突等场景制定专项应急预案，安保人员每月至少开展1次应急演练；建立30分钟内应急响应机制，保障师生人身及财产安全。</w:t>
            </w:r>
          </w:p>
          <w:p>
            <w:pPr>
              <w:pStyle w:val="null3"/>
            </w:pPr>
            <w:r>
              <w:rPr>
                <w:rFonts w:ascii="仿宋_GB2312" w:hAnsi="仿宋_GB2312" w:cs="仿宋_GB2312" w:eastAsia="仿宋_GB2312"/>
              </w:rPr>
              <w:t>3.智慧化安防保障：负责校园智能监控体系、门禁系统、报警系统等设备的日常运维，确保设备24小时正常运行；协助学校做好访客登记、出入管理及安防数据统计分析工作。</w:t>
            </w:r>
          </w:p>
          <w:p>
            <w:pPr>
              <w:pStyle w:val="null3"/>
            </w:pPr>
            <w:r>
              <w:rPr>
                <w:rFonts w:ascii="仿宋_GB2312" w:hAnsi="仿宋_GB2312" w:cs="仿宋_GB2312" w:eastAsia="仿宋_GB2312"/>
              </w:rPr>
              <w:t>（二）精细化服务</w:t>
            </w:r>
          </w:p>
          <w:p>
            <w:pPr>
              <w:pStyle w:val="null3"/>
            </w:pPr>
            <w:r>
              <w:rPr>
                <w:rFonts w:ascii="仿宋_GB2312" w:hAnsi="仿宋_GB2312" w:cs="仿宋_GB2312" w:eastAsia="仿宋_GB2312"/>
              </w:rPr>
              <w:t>1.多元区域场景化服务：</w:t>
            </w:r>
          </w:p>
          <w:p>
            <w:pPr>
              <w:pStyle w:val="null3"/>
            </w:pPr>
            <w:r>
              <w:rPr>
                <w:rFonts w:ascii="仿宋_GB2312" w:hAnsi="仿宋_GB2312" w:cs="仿宋_GB2312" w:eastAsia="仿宋_GB2312"/>
              </w:rPr>
              <w:t>行政楼、初中部、高中部：每日开展走廊、楼梯间、厕所、电梯等公共区域的清扫保洁，保证厕所无异味、蹲坑干净；走廊、楼梯间等区域窗台无灰尘、地面干净整洁无纸屑垃圾。每周对墙面、门窗、地面、厕所等区域进行大扫除，并开展全面消毒，营造整洁有序安全的教学环境。</w:t>
            </w:r>
          </w:p>
          <w:p>
            <w:pPr>
              <w:pStyle w:val="null3"/>
            </w:pPr>
            <w:r>
              <w:rPr>
                <w:rFonts w:ascii="仿宋_GB2312" w:hAnsi="仿宋_GB2312" w:cs="仿宋_GB2312" w:eastAsia="仿宋_GB2312"/>
              </w:rPr>
              <w:t>校园外围（操场、花园、地库等户外活动区域）：每日在学生上课前对外围卫生清扫完毕，保证卫生干净整洁，无任何垃圾纸屑；每周对外围的地面、操场进行清洗，为学生营造良好的户外运动环境。定期对地下车库进行清扫维护，保证车库正常运转。</w:t>
            </w:r>
          </w:p>
          <w:p>
            <w:pPr>
              <w:pStyle w:val="null3"/>
            </w:pPr>
            <w:r>
              <w:rPr>
                <w:rFonts w:ascii="仿宋_GB2312" w:hAnsi="仿宋_GB2312" w:cs="仿宋_GB2312" w:eastAsia="仿宋_GB2312"/>
              </w:rPr>
              <w:t>2.每日清扫宿舍楼梯间、楼道等公共区域，每周对宿舍进行全面消毒，保障学生居住卫生安全。</w:t>
            </w:r>
          </w:p>
          <w:p>
            <w:pPr>
              <w:pStyle w:val="null3"/>
            </w:pPr>
            <w:r>
              <w:rPr>
                <w:rFonts w:ascii="仿宋_GB2312" w:hAnsi="仿宋_GB2312" w:cs="仿宋_GB2312" w:eastAsia="仿宋_GB2312"/>
              </w:rPr>
              <w:t>3.体育馆、德育展室、科技馆、图书馆、非遗展室、闻雅厅、阶梯教室、会议室等特定场所的清洁维护服务：根据不同场馆功能特点制定专项服务方案，如图书馆需保障藏书整理、借阅辅助及阅读区域保洁，体育馆需做好运动设施维护、场地清洁及活动保障工作。</w:t>
            </w:r>
          </w:p>
          <w:p>
            <w:pPr>
              <w:pStyle w:val="null3"/>
            </w:pPr>
            <w:r>
              <w:rPr>
                <w:rFonts w:ascii="仿宋_GB2312" w:hAnsi="仿宋_GB2312" w:cs="仿宋_GB2312" w:eastAsia="仿宋_GB2312"/>
              </w:rPr>
              <w:t>4.特殊设施标准化运维：针对消防、配电室、水箱等特殊设施，配备具备对应资质的专业技术人员，制定标准化运维流程，每日进行设备巡查，及时保养及故障维修，确保设施稳定运行；建立设施运维档案，详细记录巡检及维修情况。</w:t>
            </w:r>
          </w:p>
          <w:p>
            <w:pPr>
              <w:pStyle w:val="null3"/>
            </w:pPr>
            <w:r>
              <w:rPr>
                <w:rFonts w:ascii="仿宋_GB2312" w:hAnsi="仿宋_GB2312" w:cs="仿宋_GB2312" w:eastAsia="仿宋_GB2312"/>
              </w:rPr>
              <w:t>5.校园环境养护（绿化）：负责校园绿化区域的养护工作，包括定期给绿植浇水、施肥、修剪、病虫害防治、落叶清扫等维护；定期开展校园公共区域的垃圾清运、卫生消杀，营造整洁优美的校园环境。</w:t>
            </w:r>
          </w:p>
          <w:p>
            <w:pPr>
              <w:pStyle w:val="null3"/>
            </w:pPr>
            <w:r>
              <w:rPr>
                <w:rFonts w:ascii="仿宋_GB2312" w:hAnsi="仿宋_GB2312" w:cs="仿宋_GB2312" w:eastAsia="仿宋_GB2312"/>
              </w:rPr>
              <w:t>6.进行定期培训：对保洁、安保人员、维修要进行定期的培训工作，要求在服务质量上保持统一标准，提升服务意识和操作技能，确保各项服务流程规范、高效执行；培训内容涵盖安全知识、应急处理、设备使用及文明礼仪等方面，强化人员专业素养与责任意识，持续优化校园服务质量。</w:t>
            </w:r>
          </w:p>
          <w:p>
            <w:pPr>
              <w:pStyle w:val="null3"/>
            </w:pPr>
            <w:r>
              <w:rPr>
                <w:rFonts w:ascii="仿宋_GB2312" w:hAnsi="仿宋_GB2312" w:cs="仿宋_GB2312" w:eastAsia="仿宋_GB2312"/>
              </w:rPr>
              <w:t>7.对于学校临时性的任务要快速高效响应，并保质保量的完成，如：大型集会、迎接上级检查等工作。</w:t>
            </w:r>
          </w:p>
          <w:p>
            <w:pPr>
              <w:pStyle w:val="null3"/>
            </w:pPr>
            <w:r>
              <w:rPr>
                <w:rFonts w:ascii="仿宋_GB2312" w:hAnsi="仿宋_GB2312" w:cs="仿宋_GB2312" w:eastAsia="仿宋_GB2312"/>
              </w:rPr>
              <w:t>（三）智慧化服务</w:t>
            </w:r>
          </w:p>
          <w:p>
            <w:pPr>
              <w:pStyle w:val="null3"/>
            </w:pPr>
            <w:r>
              <w:rPr>
                <w:rFonts w:ascii="仿宋_GB2312" w:hAnsi="仿宋_GB2312" w:cs="仿宋_GB2312" w:eastAsia="仿宋_GB2312"/>
              </w:rPr>
              <w:t>1.智慧系统运维：组建专业技术团队，负责消防系统、监控体系等设施的日常运维，保障系统稳定运行；及时响应学校提出的系统优化需求，协助提升校园智慧化管理水平。</w:t>
            </w:r>
          </w:p>
          <w:p>
            <w:pPr>
              <w:pStyle w:val="null3"/>
            </w:pPr>
            <w:r>
              <w:rPr>
                <w:rFonts w:ascii="仿宋_GB2312" w:hAnsi="仿宋_GB2312" w:cs="仿宋_GB2312" w:eastAsia="仿宋_GB2312"/>
              </w:rPr>
              <w:t>2.线上服务渠道搭建：搭建线上服务平台（如微信小程序、APP等），为师生提供报修、咨询、投诉等便捷服务渠道，实现服务需求提交、进度查询、结果反馈全流程线上化；建立服务响应机制，确保线上需求2小时内响应，一般问题24小时内解决。</w:t>
            </w:r>
          </w:p>
          <w:p>
            <w:pPr>
              <w:pStyle w:val="null3"/>
            </w:pPr>
            <w:r>
              <w:rPr>
                <w:rFonts w:ascii="仿宋_GB2312" w:hAnsi="仿宋_GB2312" w:cs="仿宋_GB2312" w:eastAsia="仿宋_GB2312"/>
              </w:rPr>
              <w:t>（四）特色化服务</w:t>
            </w:r>
          </w:p>
          <w:p>
            <w:pPr>
              <w:pStyle w:val="null3"/>
            </w:pPr>
            <w:r>
              <w:rPr>
                <w:rFonts w:ascii="仿宋_GB2312" w:hAnsi="仿宋_GB2312" w:cs="仿宋_GB2312" w:eastAsia="仿宋_GB2312"/>
              </w:rPr>
              <w:t>1.文化活动定制化保障：针对学校40余个学生社团活动及体育节、艺术节、科技周等常态化特色活动，制定定制化服务方案，配备专项服务团队，负责活动场地布置、设备调试、现场秩序维护、活动后场地清理等保障工作，确保活动顺利开展。</w:t>
            </w:r>
          </w:p>
          <w:p>
            <w:pPr>
              <w:pStyle w:val="null3"/>
            </w:pPr>
            <w:r>
              <w:rPr>
                <w:rFonts w:ascii="仿宋_GB2312" w:hAnsi="仿宋_GB2312" w:cs="仿宋_GB2312" w:eastAsia="仿宋_GB2312"/>
              </w:rPr>
              <w:t>2.校园文化适配服务：深入理解“博雅”校园文化内涵，在服务过程中融入文化元素，如在学校大型集会、大型活动、上级检查等突发事项，及时做好安全、提供设施设备等后勤保障。协助学校开展校园文化宣传相关的后勤保障工作，助力校园文化建设。</w:t>
            </w:r>
          </w:p>
          <w:p>
            <w:pPr>
              <w:pStyle w:val="null3"/>
            </w:pPr>
            <w:r>
              <w:rPr>
                <w:rFonts w:ascii="仿宋_GB2312" w:hAnsi="仿宋_GB2312" w:cs="仿宋_GB2312" w:eastAsia="仿宋_GB2312"/>
              </w:rPr>
              <w:t>二、</w:t>
            </w:r>
            <w:r>
              <w:rPr>
                <w:rFonts w:ascii="仿宋_GB2312" w:hAnsi="仿宋_GB2312" w:cs="仿宋_GB2312" w:eastAsia="仿宋_GB2312"/>
              </w:rPr>
              <w:t>服务质量要求</w:t>
            </w:r>
          </w:p>
          <w:p>
            <w:pPr>
              <w:pStyle w:val="null3"/>
            </w:pPr>
            <w:r>
              <w:rPr>
                <w:rFonts w:ascii="仿宋_GB2312" w:hAnsi="仿宋_GB2312" w:cs="仿宋_GB2312" w:eastAsia="仿宋_GB2312"/>
              </w:rPr>
              <w:t>1.供应商需严格按照本采购说明及双方签订的服务合同开展服务，建立服务质量自查机制，每月向学校提交服务质量报告。</w:t>
            </w:r>
          </w:p>
          <w:p>
            <w:pPr>
              <w:pStyle w:val="null3"/>
            </w:pPr>
            <w:r>
              <w:rPr>
                <w:rFonts w:ascii="仿宋_GB2312" w:hAnsi="仿宋_GB2312" w:cs="仿宋_GB2312" w:eastAsia="仿宋_GB2312"/>
              </w:rPr>
              <w:t>2.学校建立服务质量考核机制，从安全保障、服务效率、师生满意度等方面对供应商进行月度及年度考核，考核结果与服务费用支付挂钩；年度考核不合格的，学校有权终止服务合同。</w:t>
            </w:r>
          </w:p>
          <w:p>
            <w:pPr>
              <w:pStyle w:val="null3"/>
            </w:pPr>
            <w:r>
              <w:rPr>
                <w:rFonts w:ascii="仿宋_GB2312" w:hAnsi="仿宋_GB2312" w:cs="仿宋_GB2312" w:eastAsia="仿宋_GB2312"/>
              </w:rPr>
              <w:t>3.师生满意度调查结果需达到90%及以上，若单次调查满意度低于80%，供应商需在15日内提交整改方案并完成整改，整改后仍未达标的，学校可依据合同约定追究其违约责任。</w:t>
            </w:r>
          </w:p>
          <w:p>
            <w:pPr>
              <w:pStyle w:val="null3"/>
            </w:pPr>
            <w:r>
              <w:rPr>
                <w:rFonts w:ascii="仿宋_GB2312" w:hAnsi="仿宋_GB2312" w:cs="仿宋_GB2312" w:eastAsia="仿宋_GB2312"/>
              </w:rPr>
              <w:t>4.设备运维保障率需达到98%及以上，即学校各类设施设备正常运行时间占总运行时间的比例不低于98%；若因运维不当导致设备故障影响教育教学工作的，供应商需承担相应赔偿责任。</w:t>
            </w:r>
          </w:p>
          <w:p>
            <w:pPr>
              <w:pStyle w:val="null3"/>
            </w:pPr>
            <w:r>
              <w:rPr>
                <w:rFonts w:ascii="仿宋_GB2312" w:hAnsi="仿宋_GB2312" w:cs="仿宋_GB2312" w:eastAsia="仿宋_GB2312"/>
              </w:rPr>
              <w:t>三、人员数量配置要求：</w:t>
            </w:r>
          </w:p>
          <w:p>
            <w:pPr>
              <w:pStyle w:val="null3"/>
            </w:pPr>
            <w:r>
              <w:rPr>
                <w:rFonts w:ascii="仿宋_GB2312" w:hAnsi="仿宋_GB2312" w:cs="仿宋_GB2312" w:eastAsia="仿宋_GB2312"/>
              </w:rPr>
              <w:t>1、保安员</w:t>
            </w:r>
            <w:r>
              <w:rPr>
                <w:rFonts w:ascii="仿宋_GB2312" w:hAnsi="仿宋_GB2312" w:cs="仿宋_GB2312" w:eastAsia="仿宋_GB2312"/>
              </w:rPr>
              <w:t>6</w:t>
            </w:r>
            <w:r>
              <w:rPr>
                <w:rFonts w:ascii="仿宋_GB2312" w:hAnsi="仿宋_GB2312" w:cs="仿宋_GB2312" w:eastAsia="仿宋_GB2312"/>
              </w:rPr>
              <w:t>人，负责校园治安秩序及消防安防工作等；</w:t>
            </w:r>
          </w:p>
          <w:p>
            <w:pPr>
              <w:pStyle w:val="null3"/>
            </w:pPr>
            <w:r>
              <w:rPr>
                <w:rFonts w:ascii="仿宋_GB2312" w:hAnsi="仿宋_GB2312" w:cs="仿宋_GB2312" w:eastAsia="仿宋_GB2312"/>
              </w:rPr>
              <w:t>2</w:t>
            </w:r>
            <w:r>
              <w:rPr>
                <w:rFonts w:ascii="仿宋_GB2312" w:hAnsi="仿宋_GB2312" w:cs="仿宋_GB2312" w:eastAsia="仿宋_GB2312"/>
              </w:rPr>
              <w:t>、保洁员</w:t>
            </w:r>
            <w:r>
              <w:rPr>
                <w:rFonts w:ascii="仿宋_GB2312" w:hAnsi="仿宋_GB2312" w:cs="仿宋_GB2312" w:eastAsia="仿宋_GB2312"/>
              </w:rPr>
              <w:t>12</w:t>
            </w:r>
            <w:r>
              <w:rPr>
                <w:rFonts w:ascii="仿宋_GB2312" w:hAnsi="仿宋_GB2312" w:cs="仿宋_GB2312" w:eastAsia="仿宋_GB2312"/>
              </w:rPr>
              <w:t>人，负责校园卫生清洁工作及公共区域消杀等；</w:t>
            </w:r>
          </w:p>
          <w:p>
            <w:pPr>
              <w:pStyle w:val="null3"/>
            </w:pPr>
            <w:r>
              <w:rPr>
                <w:rFonts w:ascii="仿宋_GB2312" w:hAnsi="仿宋_GB2312" w:cs="仿宋_GB2312" w:eastAsia="仿宋_GB2312"/>
                <w:sz w:val="21"/>
              </w:rPr>
              <w:t>3</w:t>
            </w:r>
            <w:r>
              <w:rPr>
                <w:rFonts w:ascii="仿宋_GB2312" w:hAnsi="仿宋_GB2312" w:cs="仿宋_GB2312" w:eastAsia="仿宋_GB2312"/>
                <w:sz w:val="21"/>
              </w:rPr>
              <w:t>、水电勤杂维修员</w:t>
            </w:r>
            <w:r>
              <w:rPr>
                <w:rFonts w:ascii="仿宋_GB2312" w:hAnsi="仿宋_GB2312" w:cs="仿宋_GB2312" w:eastAsia="仿宋_GB2312"/>
                <w:sz w:val="21"/>
              </w:rPr>
              <w:t>1人，负责校园水电勤杂维修及设备养护等</w:t>
            </w:r>
            <w:r>
              <w:rPr>
                <w:rFonts w:ascii="仿宋_GB2312" w:hAnsi="仿宋_GB2312" w:cs="仿宋_GB2312" w:eastAsia="仿宋_GB2312"/>
                <w:sz w:val="21"/>
              </w:rPr>
              <w:t>。</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成交供应商配合采购人验收；若存在验收费用，由成交供应商自行承担。每季度甲方组织验收，经综合验收合格后，由乙方向甲方提交付款申请书及相应清单、票据等报账资料，经甲方审定确认无误按照合同约定条款支付乙方所产生的费用。2、验收标准：验收以合同、采购文件、采购响应文件、澄清及国家相应的标准、规范等为依据。双方如对质量要求和技术指标的约定标准有相互抵触或异议的事项，由采购人在采购与响应文件中按质量要求和技术指标比较优胜的原则确定该项的约定标准进行验收；如采购人有其他要求，不违背相关法律规定前提下，供应商也应当遵守。3、履约验收其他事项：其他未尽事宜应严格按照财政部关于进一步加强政府采购需求和履约验收管理的指导意见（财库〔2016〕205 号）的要求进行。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一年分四个季度支付，每一季度第一个月15号之前支付本季度费用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一年分四个季度支付，每一季度第一个月15号之前支付本季度费用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一年分四个季度支付，每一季度第一个月15号之前支付本季度费用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一年分四个季度支付，每一季度第一个月15号之前支付本季度费用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1.按《中华人民共和国民法典》中的相关条款和本合同的约定执行。未按合同或磋商文件要求提供产品或供应的产品质量不能满足采购人技术要求，采购人有权终止合同，甚至对供应商违约行为进行追究。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并提供开标前连续三个月授权代表在本单位的社保缴纳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报价表 服务内容及服务要求响应偏离表.docx 响应文件封面 分项报价表.docx 供应商认为有必要补充说明的事项.docx 残疾人福利性单位声明函 业绩证明材料.docx 标的清单 商务要求响应偏离表.docx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 报价未超出采购预算和最高限价。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满足商务条款</w:t>
            </w:r>
          </w:p>
        </w:tc>
        <w:tc>
          <w:tcPr>
            <w:tcW w:type="dxa" w:w="3322"/>
          </w:tcPr>
          <w:p>
            <w:pPr>
              <w:pStyle w:val="null3"/>
            </w:pPr>
            <w:r>
              <w:rPr>
                <w:rFonts w:ascii="仿宋_GB2312" w:hAnsi="仿宋_GB2312" w:cs="仿宋_GB2312" w:eastAsia="仿宋_GB2312"/>
              </w:rPr>
              <w:t>完全满足采购文件商务要求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报价表 服务内容及服务要求响应偏离表.docx 响应文件封面 分项报价表.docx 供应商认为有必要补充说明的事项.docx 残疾人福利性单位声明函 业绩证明材料.docx 标的清单 商务要求响应偏离表.docx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报价表 服务内容及服务要求响应偏离表.docx 响应文件封面 分项报价表.docx 供应商认为有必要补充说明的事项.docx 残疾人福利性单位声明函 业绩证明材料.docx 标的清单 商务要求响应偏离表.docx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一、评审内容： 服务方案至少包括①对本项目整体实施服务方案；②安全化服务方案；③精细化服务方案；④智慧化服务方案;⑤特色化服务方案等进行综合评审。 二、评审标准： ①以上内容切合本项目实际情况及实施要求，内容与要点相符、每个要点均有展开详细的阐述且能够适用于本项目的得满分20分； ②评审内容中有描述过于简单、条理不清晰的每一项扣1分； ③评审内容中有与项目内容不匹配、凭空编造、出现常识性错误、存在不适用项目实际情况的情形的每项扣2分。 ④评审内容每缺一项扣4分。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一、评审内容： 针对本项目提出的质量控制方案，方案内容包含①质量目标②质量保障措施③规范工作措施。 二、评审标准： 以上评审内容每一项满分3分，按如下标准赋分：①专门针对本项目编制，内容详尽全面，合理性和可行性强，得3分；②专门针对本项目编制，基本符合项目实际情况及实施要求，内容较详细，基本合理可行的，得2分； ③专门针对本项目编制，基本符合项目实际情况及实施要求，但方案涵盖角度不全面且实施有难度的，得1分；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企业管理制度</w:t>
            </w:r>
          </w:p>
        </w:tc>
        <w:tc>
          <w:tcPr>
            <w:tcW w:type="dxa" w:w="2492"/>
          </w:tcPr>
          <w:p>
            <w:pPr>
              <w:pStyle w:val="null3"/>
            </w:pPr>
            <w:r>
              <w:rPr>
                <w:rFonts w:ascii="仿宋_GB2312" w:hAnsi="仿宋_GB2312" w:cs="仿宋_GB2312" w:eastAsia="仿宋_GB2312"/>
              </w:rPr>
              <w:t>一、评审内容： 针对本项目具有良好的管理制度，制度内容包含①管理架构②岗位职责：具有岗位工作标准、服务质量标准、作业流程及作业记录③内控制度：具有保密制度、管理组织机构、问责机制、监督机制、自查制度④人员管理制度：具有员工日常管理办法、考核制度、请销假制度、奖惩措施、激励机制、仪容仪表制度。 ⑤日常档案资料管理制度。 二、评审标准：以上评审内容每一项满分3分，按如下标准赋分：①专门针对本项目编制，内容详尽且涵盖角度全面，合理性和可行性强，能够保障项目顺利实施的，得3分；②专门针对本项目编制，基本符合项目实际情况及实施要求，内容较详细，涵盖角度较全面，基本合理可行的，得2分； ③专门针对本项目编制，基本符合项目实际情况及实施要求，但方案涵盖角度不全面且实施有难度的，得1分；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人员及工器具配置</w:t>
            </w:r>
          </w:p>
        </w:tc>
        <w:tc>
          <w:tcPr>
            <w:tcW w:type="dxa" w:w="2492"/>
          </w:tcPr>
          <w:p>
            <w:pPr>
              <w:pStyle w:val="null3"/>
            </w:pPr>
            <w:r>
              <w:rPr>
                <w:rFonts w:ascii="仿宋_GB2312" w:hAnsi="仿宋_GB2312" w:cs="仿宋_GB2312" w:eastAsia="仿宋_GB2312"/>
              </w:rPr>
              <w:t>一、评审内容：①针对本项目所配保洁人员、水电勤杂维修、安全保卫服务人员人数满足采购文件要求且人员配置科学合理。②拟投入的人员工作服装配置。 ③拟投入的设备、劳保用品、清洁工具、维修设备、安保设备数量种类配置。 二、评审标准：以上评审内容每一项满分4分，按如下标准赋分：①专门针对本项目编制，符合项目实际情况及实施要求，内容详尽且涵盖角度全面，合理性和可行性强，能够保障项目顺利实施的，得4分；②专门针对本项目编制，符合项目实际情况及实施要求，内容详尽且涵盖角度基本全面，有一定的合理性和可行性的，得3分；③ 专门针对本项目编制，基本符合项目实际情况及实施要求，内容较详细，涵盖角度较全面，基本合理可行的，得2分； ④专门针对本项目编制，基本符合项目实际情况及实施要求，但方案涵盖角度不全面且实施有难度的，得1分； ⑤内容简单笼统，实施难度大的，得0分。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日常活动及其他应急预案</w:t>
            </w:r>
          </w:p>
        </w:tc>
        <w:tc>
          <w:tcPr>
            <w:tcW w:type="dxa" w:w="2492"/>
          </w:tcPr>
          <w:p>
            <w:pPr>
              <w:pStyle w:val="null3"/>
            </w:pPr>
            <w:r>
              <w:rPr>
                <w:rFonts w:ascii="仿宋_GB2312" w:hAnsi="仿宋_GB2312" w:cs="仿宋_GB2312" w:eastAsia="仿宋_GB2312"/>
              </w:rPr>
              <w:t>一、评审内容： 内容至少包括①日常检查、考察接待方案；②日常活动、比赛、考试保障方案；③自然灾害（如极端天气、停电、停水、火灾等）预防及处置措施；④公共安全事件（如：突发公共卫生、盗窃、打架、暴恐、爆炸、意外伤亡、踩踏事件等）预防及处置措施等。 二、评审标准：以上评审内容每一项满分3分，按如下标准赋分：①专门针对本项目编制，内容详尽且涵盖角度全面，合理性和可行性强，能够保障项目顺利实施的，得3分；②专门针对本项目编制，基本符合项目实际情况及实施要求，内容较详细，涵盖角度较全面，基本合理可行的，得2分；③ 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①承诺按时足额发放人员工资及福利等。②相关人员及时到岗承诺③综合维修承诺④确保上岗人员身体健康无重大疾病承诺。 二、评审标准：以上评审内容每一项满分3分，按如下标准赋分：①专门针对本项目编制，内容详尽且涵盖角度全面，合理性和可行性强，能够保障项目顺利实施的，得3分；②专门针对本项目编制，基本符合项目实际情况及实施要求，内容较详细，涵盖角度较全面，基本合理可行的，得2分； ③专门针对本项目编制，基本符合项目实际情况及实施要求，但方案涵盖角度不全面且实施有难度的，得1分； ④内容简单笼统，实施难度大的，得0分。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供应商具有2023年01月01日至今（以合同签订时间为准）的类似项目业绩，投标文件中提供合同复印件加盖公章，每提供一个计2分，满分10分。 注：以合同为准，证明材料为合同首页、双方签字盖章页以及能够反映合同内容的部分。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实质性满足磋商文件要求且最终报价最低的磋商总报价为评标基准价，其价格分为满分10分。 磋商总报价得分=（评标基准价/磋商总报价）*10分。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