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0F94">
      <w:pPr>
        <w:keepNext w:val="0"/>
        <w:keepLines w:val="0"/>
        <w:pageBreakBefore w:val="0"/>
        <w:widowControl w:val="0"/>
        <w:tabs>
          <w:tab w:val="left" w:pos="9030"/>
        </w:tabs>
        <w:kinsoku/>
        <w:wordWrap/>
        <w:overflowPunct/>
        <w:topLinePunct w:val="0"/>
        <w:autoSpaceDE/>
        <w:autoSpaceDN/>
        <w:bidi w:val="0"/>
        <w:adjustRightInd w:val="0"/>
        <w:snapToGrid w:val="0"/>
        <w:spacing w:line="360" w:lineRule="auto"/>
        <w:ind w:right="0"/>
        <w:jc w:val="center"/>
        <w:textAlignment w:val="auto"/>
        <w:outlineLvl w:val="0"/>
        <w:rPr>
          <w:rFonts w:hint="eastAsia" w:ascii="宋体" w:hAnsi="宋体" w:cs="宋体"/>
          <w:sz w:val="52"/>
          <w:szCs w:val="52"/>
        </w:rPr>
      </w:pPr>
      <w:r>
        <w:rPr>
          <w:rStyle w:val="9"/>
          <w:rFonts w:hint="eastAsia" w:hAnsi="Times New Roman" w:cs="Times New Roman"/>
          <w:b/>
          <w:bCs/>
          <w:sz w:val="32"/>
          <w:szCs w:val="32"/>
          <w:lang w:val="zh-CN" w:eastAsia="zh-CN"/>
        </w:rPr>
        <w:t xml:space="preserve"> </w:t>
      </w:r>
      <w:r>
        <w:rPr>
          <w:rStyle w:val="9"/>
          <w:rFonts w:hint="eastAsia" w:hAnsi="Times New Roman" w:cs="Times New Roman"/>
          <w:b/>
          <w:bCs/>
          <w:sz w:val="40"/>
          <w:szCs w:val="40"/>
          <w:lang w:val="zh-CN" w:eastAsia="zh-CN"/>
        </w:rPr>
        <w:t>拟签订的合同条款文本</w:t>
      </w:r>
    </w:p>
    <w:p w14:paraId="4BF71BDB">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32CAF44A">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乙方（成交供</w:t>
      </w:r>
      <w:bookmarkStart w:id="0" w:name="_GoBack"/>
      <w:bookmarkEnd w:id="0"/>
      <w:r>
        <w:rPr>
          <w:rFonts w:hint="eastAsia" w:ascii="仿宋_GB2312" w:hAnsi="仿宋_GB2312" w:eastAsia="仿宋_GB2312" w:cs="仿宋_GB2312"/>
          <w:bCs/>
          <w:sz w:val="28"/>
          <w:szCs w:val="28"/>
        </w:rPr>
        <w:t xml:space="preserve">应商）： </w:t>
      </w:r>
    </w:p>
    <w:p w14:paraId="7C83A64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eastAsia="zh-CN"/>
        </w:rPr>
        <w:t>警务辅助人员服装采购项目</w:t>
      </w:r>
      <w:r>
        <w:rPr>
          <w:rFonts w:hint="eastAsia" w:ascii="仿宋_GB2312" w:hAnsi="仿宋_GB2312" w:eastAsia="仿宋_GB2312" w:cs="仿宋_GB2312"/>
          <w:bCs/>
          <w:sz w:val="28"/>
          <w:szCs w:val="28"/>
          <w:u w:val="single"/>
        </w:rPr>
        <w:t>(项目编号：</w:t>
      </w:r>
      <w:r>
        <w:rPr>
          <w:rFonts w:hint="eastAsia" w:ascii="仿宋_GB2312" w:hAnsi="仿宋_GB2312" w:eastAsia="仿宋_GB2312" w:cs="仿宋_GB2312"/>
          <w:bCs/>
          <w:sz w:val="28"/>
          <w:szCs w:val="28"/>
          <w:u w:val="single"/>
          <w:lang w:eastAsia="zh-CN"/>
        </w:rPr>
        <w:t>SXHC2025-289</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，由陕西华采招标有限公司组织竞争性磋商，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39D44E4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依据《中华人民共和国民法典》和《中华人民共和国政府采购法》之规定，经双方在平等、自愿、互利的基础上，签订本合同，共同信守。</w:t>
      </w:r>
    </w:p>
    <w:p w14:paraId="75CF9155">
      <w:pPr>
        <w:autoSpaceDE w:val="0"/>
        <w:autoSpaceDN w:val="0"/>
        <w:adjustRightInd w:val="0"/>
        <w:snapToGrid w:val="0"/>
        <w:spacing w:line="360" w:lineRule="auto"/>
        <w:ind w:firstLine="562" w:firstLineChars="200"/>
        <w:rPr>
          <w:rFonts w:hint="eastAsia" w:ascii="仿宋_GB2312" w:hAnsi="仿宋" w:eastAsia="仿宋_GB2312"/>
          <w:b/>
          <w:bCs/>
          <w:sz w:val="28"/>
          <w:szCs w:val="28"/>
          <w:lang w:val="zh-CN"/>
        </w:rPr>
      </w:pPr>
      <w:r>
        <w:rPr>
          <w:rFonts w:hint="eastAsia" w:ascii="仿宋_GB2312" w:hAnsi="仿宋" w:eastAsia="仿宋_GB2312"/>
          <w:b/>
          <w:bCs/>
          <w:sz w:val="28"/>
          <w:szCs w:val="28"/>
        </w:rPr>
        <w:t>一、</w:t>
      </w:r>
      <w:r>
        <w:rPr>
          <w:rFonts w:hint="eastAsia" w:ascii="仿宋_GB2312" w:hAnsi="仿宋" w:eastAsia="仿宋_GB2312"/>
          <w:b/>
          <w:bCs/>
          <w:sz w:val="28"/>
          <w:szCs w:val="28"/>
          <w:lang w:val="zh-CN"/>
        </w:rPr>
        <w:t>合同标的</w:t>
      </w:r>
      <w:r>
        <w:rPr>
          <w:rFonts w:hint="eastAsia" w:ascii="仿宋_GB2312" w:hAnsi="仿宋" w:eastAsia="仿宋_GB2312"/>
          <w:b/>
          <w:bCs/>
          <w:sz w:val="28"/>
          <w:szCs w:val="28"/>
        </w:rPr>
        <w:t>物内容</w:t>
      </w:r>
      <w:r>
        <w:rPr>
          <w:rFonts w:hint="eastAsia" w:ascii="仿宋_GB2312" w:hAnsi="仿宋" w:eastAsia="仿宋_GB2312"/>
          <w:b/>
          <w:bCs/>
          <w:sz w:val="28"/>
          <w:szCs w:val="28"/>
          <w:lang w:val="zh-CN"/>
        </w:rPr>
        <w:t>及数量</w:t>
      </w:r>
    </w:p>
    <w:p w14:paraId="7A5E7B48">
      <w:pPr>
        <w:autoSpaceDE w:val="0"/>
        <w:autoSpaceDN w:val="0"/>
        <w:adjustRightInd w:val="0"/>
        <w:snapToGrid w:val="0"/>
        <w:spacing w:line="360" w:lineRule="auto"/>
        <w:ind w:firstLine="560" w:firstLineChars="200"/>
        <w:rPr>
          <w:rFonts w:hint="eastAsia" w:ascii="仿宋_GB2312" w:hAnsi="仿宋" w:eastAsia="仿宋_GB2312"/>
          <w:bCs/>
          <w:sz w:val="28"/>
          <w:szCs w:val="28"/>
          <w:lang w:val="zh-CN"/>
        </w:rPr>
      </w:pPr>
      <w:r>
        <w:rPr>
          <w:rFonts w:hint="eastAsia" w:ascii="仿宋_GB2312" w:hAnsi="仿宋" w:eastAsia="仿宋_GB2312"/>
          <w:bCs/>
          <w:sz w:val="28"/>
          <w:szCs w:val="28"/>
          <w:lang w:val="zh-CN"/>
        </w:rPr>
        <w:t>乙方向甲方提供下列货物（产品）：</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649"/>
        <w:gridCol w:w="1481"/>
        <w:gridCol w:w="531"/>
        <w:gridCol w:w="717"/>
        <w:gridCol w:w="730"/>
        <w:gridCol w:w="1060"/>
        <w:gridCol w:w="1461"/>
      </w:tblGrid>
      <w:tr w14:paraId="7960C3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center"/>
          </w:tcPr>
          <w:p w14:paraId="199ED14E">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序号</w:t>
            </w:r>
          </w:p>
        </w:tc>
        <w:tc>
          <w:tcPr>
            <w:tcW w:w="1649" w:type="dxa"/>
            <w:noWrap w:val="0"/>
            <w:vAlign w:val="center"/>
          </w:tcPr>
          <w:p w14:paraId="10741A5E">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lang w:val="en-US" w:eastAsia="zh-CN"/>
              </w:rPr>
              <w:t>货物</w:t>
            </w:r>
            <w:r>
              <w:rPr>
                <w:rFonts w:hint="eastAsia" w:ascii="仿宋_GB2312" w:hAnsi="仿宋" w:eastAsia="仿宋_GB2312"/>
                <w:bCs/>
                <w:sz w:val="28"/>
                <w:szCs w:val="28"/>
              </w:rPr>
              <w:t>名称</w:t>
            </w:r>
          </w:p>
        </w:tc>
        <w:tc>
          <w:tcPr>
            <w:tcW w:w="1481" w:type="dxa"/>
            <w:noWrap w:val="0"/>
            <w:vAlign w:val="center"/>
          </w:tcPr>
          <w:p w14:paraId="08B50234">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品牌/型号</w:t>
            </w:r>
          </w:p>
        </w:tc>
        <w:tc>
          <w:tcPr>
            <w:tcW w:w="531" w:type="dxa"/>
            <w:noWrap w:val="0"/>
            <w:vAlign w:val="center"/>
          </w:tcPr>
          <w:p w14:paraId="40E35D28">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规格</w:t>
            </w:r>
          </w:p>
        </w:tc>
        <w:tc>
          <w:tcPr>
            <w:tcW w:w="717" w:type="dxa"/>
            <w:noWrap w:val="0"/>
            <w:vAlign w:val="center"/>
          </w:tcPr>
          <w:p w14:paraId="68211333">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单位</w:t>
            </w:r>
          </w:p>
        </w:tc>
        <w:tc>
          <w:tcPr>
            <w:tcW w:w="730" w:type="dxa"/>
            <w:noWrap w:val="0"/>
            <w:vAlign w:val="center"/>
          </w:tcPr>
          <w:p w14:paraId="4EC0C578">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数量</w:t>
            </w:r>
          </w:p>
        </w:tc>
        <w:tc>
          <w:tcPr>
            <w:tcW w:w="1060" w:type="dxa"/>
            <w:noWrap w:val="0"/>
            <w:vAlign w:val="center"/>
          </w:tcPr>
          <w:p w14:paraId="35FC5682">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单价（元）</w:t>
            </w:r>
          </w:p>
        </w:tc>
        <w:tc>
          <w:tcPr>
            <w:tcW w:w="1461" w:type="dxa"/>
            <w:noWrap w:val="0"/>
            <w:vAlign w:val="center"/>
          </w:tcPr>
          <w:p w14:paraId="3FB28F77">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金额 (元)</w:t>
            </w:r>
          </w:p>
        </w:tc>
      </w:tr>
      <w:tr w14:paraId="58AB1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1B2A28FF">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649" w:type="dxa"/>
            <w:noWrap w:val="0"/>
            <w:vAlign w:val="top"/>
          </w:tcPr>
          <w:p w14:paraId="4033781E">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481" w:type="dxa"/>
            <w:noWrap w:val="0"/>
            <w:vAlign w:val="top"/>
          </w:tcPr>
          <w:p w14:paraId="2A030DFE">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531" w:type="dxa"/>
            <w:noWrap w:val="0"/>
            <w:vAlign w:val="top"/>
          </w:tcPr>
          <w:p w14:paraId="0A776710">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717" w:type="dxa"/>
            <w:noWrap w:val="0"/>
            <w:vAlign w:val="top"/>
          </w:tcPr>
          <w:p w14:paraId="157A6FA4">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730" w:type="dxa"/>
            <w:noWrap w:val="0"/>
            <w:vAlign w:val="top"/>
          </w:tcPr>
          <w:p w14:paraId="1876E6AD">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060" w:type="dxa"/>
            <w:noWrap w:val="0"/>
            <w:vAlign w:val="top"/>
          </w:tcPr>
          <w:p w14:paraId="52A00F2F">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461" w:type="dxa"/>
            <w:noWrap w:val="0"/>
            <w:vAlign w:val="top"/>
          </w:tcPr>
          <w:p w14:paraId="7043B05A">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r>
      <w:tr w14:paraId="2C402A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47A675F2">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649" w:type="dxa"/>
            <w:noWrap w:val="0"/>
            <w:vAlign w:val="top"/>
          </w:tcPr>
          <w:p w14:paraId="4C30AA5C">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481" w:type="dxa"/>
            <w:noWrap w:val="0"/>
            <w:vAlign w:val="top"/>
          </w:tcPr>
          <w:p w14:paraId="0FA11603">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531" w:type="dxa"/>
            <w:noWrap w:val="0"/>
            <w:vAlign w:val="top"/>
          </w:tcPr>
          <w:p w14:paraId="7DEE1C4A">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717" w:type="dxa"/>
            <w:noWrap w:val="0"/>
            <w:vAlign w:val="top"/>
          </w:tcPr>
          <w:p w14:paraId="37FEAC0C">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730" w:type="dxa"/>
            <w:noWrap w:val="0"/>
            <w:vAlign w:val="top"/>
          </w:tcPr>
          <w:p w14:paraId="21F949A9">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060" w:type="dxa"/>
            <w:noWrap w:val="0"/>
            <w:vAlign w:val="top"/>
          </w:tcPr>
          <w:p w14:paraId="6E5DFD0F">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461" w:type="dxa"/>
            <w:noWrap w:val="0"/>
            <w:vAlign w:val="top"/>
          </w:tcPr>
          <w:p w14:paraId="221E60F0">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r>
      <w:tr w14:paraId="7EFBC8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1B58182F">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649" w:type="dxa"/>
            <w:noWrap w:val="0"/>
            <w:vAlign w:val="top"/>
          </w:tcPr>
          <w:p w14:paraId="17A33085">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481" w:type="dxa"/>
            <w:noWrap w:val="0"/>
            <w:vAlign w:val="top"/>
          </w:tcPr>
          <w:p w14:paraId="5BFAFF54">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531" w:type="dxa"/>
            <w:noWrap w:val="0"/>
            <w:vAlign w:val="top"/>
          </w:tcPr>
          <w:p w14:paraId="38F7A3BF">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717" w:type="dxa"/>
            <w:noWrap w:val="0"/>
            <w:vAlign w:val="top"/>
          </w:tcPr>
          <w:p w14:paraId="03166698">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730" w:type="dxa"/>
            <w:noWrap w:val="0"/>
            <w:vAlign w:val="top"/>
          </w:tcPr>
          <w:p w14:paraId="6127EFA3">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060" w:type="dxa"/>
            <w:noWrap w:val="0"/>
            <w:vAlign w:val="top"/>
          </w:tcPr>
          <w:p w14:paraId="3E1E7F8E">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c>
          <w:tcPr>
            <w:tcW w:w="1461" w:type="dxa"/>
            <w:noWrap w:val="0"/>
            <w:vAlign w:val="top"/>
          </w:tcPr>
          <w:p w14:paraId="388008FA">
            <w:pPr>
              <w:autoSpaceDE w:val="0"/>
              <w:autoSpaceDN w:val="0"/>
              <w:adjustRightInd w:val="0"/>
              <w:snapToGrid w:val="0"/>
              <w:spacing w:line="360" w:lineRule="auto"/>
              <w:ind w:firstLine="560" w:firstLineChars="200"/>
              <w:rPr>
                <w:rFonts w:hint="eastAsia" w:ascii="仿宋_GB2312" w:hAnsi="仿宋" w:eastAsia="仿宋_GB2312"/>
                <w:bCs/>
                <w:sz w:val="28"/>
                <w:szCs w:val="28"/>
              </w:rPr>
            </w:pPr>
          </w:p>
        </w:tc>
      </w:tr>
      <w:tr w14:paraId="17A09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465" w:type="dxa"/>
            <w:gridSpan w:val="2"/>
            <w:noWrap w:val="0"/>
            <w:vAlign w:val="center"/>
          </w:tcPr>
          <w:p w14:paraId="0AC44D95">
            <w:pPr>
              <w:autoSpaceDE w:val="0"/>
              <w:autoSpaceDN w:val="0"/>
              <w:adjustRightInd w:val="0"/>
              <w:snapToGrid w:val="0"/>
              <w:jc w:val="center"/>
              <w:rPr>
                <w:rFonts w:hint="eastAsia" w:ascii="仿宋_GB2312" w:hAnsi="仿宋" w:eastAsia="仿宋_GB2312"/>
                <w:bCs/>
                <w:sz w:val="28"/>
                <w:szCs w:val="28"/>
              </w:rPr>
            </w:pPr>
            <w:r>
              <w:rPr>
                <w:rFonts w:hint="eastAsia" w:ascii="仿宋_GB2312" w:hAnsi="仿宋" w:eastAsia="仿宋_GB2312"/>
                <w:bCs/>
                <w:sz w:val="28"/>
                <w:szCs w:val="28"/>
              </w:rPr>
              <w:t>合计</w:t>
            </w:r>
          </w:p>
        </w:tc>
        <w:tc>
          <w:tcPr>
            <w:tcW w:w="3459" w:type="dxa"/>
            <w:gridSpan w:val="4"/>
            <w:noWrap w:val="0"/>
            <w:vAlign w:val="center"/>
          </w:tcPr>
          <w:p w14:paraId="4B4D81C3">
            <w:pPr>
              <w:autoSpaceDE w:val="0"/>
              <w:autoSpaceDN w:val="0"/>
              <w:adjustRightInd w:val="0"/>
              <w:snapToGrid w:val="0"/>
              <w:jc w:val="left"/>
              <w:rPr>
                <w:rFonts w:hint="eastAsia" w:ascii="仿宋_GB2312" w:hAnsi="仿宋" w:eastAsia="仿宋_GB2312"/>
                <w:bCs/>
                <w:sz w:val="28"/>
                <w:szCs w:val="28"/>
              </w:rPr>
            </w:pPr>
            <w:r>
              <w:rPr>
                <w:rFonts w:hint="eastAsia" w:ascii="仿宋_GB2312" w:hAnsi="仿宋" w:eastAsia="仿宋_GB2312"/>
                <w:bCs/>
                <w:sz w:val="28"/>
                <w:szCs w:val="28"/>
              </w:rPr>
              <w:t>大写</w:t>
            </w:r>
          </w:p>
        </w:tc>
        <w:tc>
          <w:tcPr>
            <w:tcW w:w="2521" w:type="dxa"/>
            <w:gridSpan w:val="2"/>
            <w:noWrap w:val="0"/>
            <w:vAlign w:val="center"/>
          </w:tcPr>
          <w:p w14:paraId="090BD9EB">
            <w:pPr>
              <w:autoSpaceDE w:val="0"/>
              <w:autoSpaceDN w:val="0"/>
              <w:adjustRightInd w:val="0"/>
              <w:snapToGrid w:val="0"/>
              <w:ind w:firstLine="560" w:firstLineChars="200"/>
              <w:jc w:val="left"/>
              <w:rPr>
                <w:rFonts w:hint="eastAsia" w:ascii="仿宋_GB2312" w:hAnsi="仿宋" w:eastAsia="仿宋_GB2312"/>
                <w:bCs/>
                <w:sz w:val="28"/>
                <w:szCs w:val="28"/>
              </w:rPr>
            </w:pPr>
            <w:r>
              <w:rPr>
                <w:rFonts w:hint="eastAsia" w:ascii="仿宋_GB2312" w:hAnsi="仿宋" w:eastAsia="仿宋_GB2312"/>
                <w:bCs/>
                <w:sz w:val="28"/>
                <w:szCs w:val="28"/>
              </w:rPr>
              <w:t>¥</w:t>
            </w:r>
          </w:p>
        </w:tc>
      </w:tr>
    </w:tbl>
    <w:p w14:paraId="4C6B8E14">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rPr>
        <w:t>二、合同价款</w:t>
      </w:r>
    </w:p>
    <w:p w14:paraId="12B8A1C7">
      <w:pPr>
        <w:autoSpaceDE w:val="0"/>
        <w:autoSpaceDN w:val="0"/>
        <w:adjustRightInd w:val="0"/>
        <w:snapToGrid w:val="0"/>
        <w:spacing w:line="360" w:lineRule="auto"/>
        <w:ind w:firstLine="562" w:firstLineChars="200"/>
        <w:rPr>
          <w:rFonts w:hint="default" w:ascii="仿宋_GB2312" w:hAnsi="仿宋" w:eastAsia="仿宋_GB2312"/>
          <w:bCs/>
          <w:sz w:val="28"/>
          <w:szCs w:val="28"/>
          <w:highlight w:val="none"/>
          <w:lang w:val="en-US"/>
        </w:rPr>
      </w:pPr>
      <w:r>
        <w:rPr>
          <w:rFonts w:hint="eastAsia" w:ascii="仿宋_GB2312" w:hAnsi="仿宋" w:eastAsia="仿宋_GB2312"/>
          <w:b/>
          <w:bCs w:val="0"/>
          <w:sz w:val="28"/>
          <w:szCs w:val="28"/>
          <w:highlight w:val="none"/>
        </w:rPr>
        <w:t>（一）</w:t>
      </w:r>
      <w:r>
        <w:rPr>
          <w:rFonts w:hint="eastAsia" w:ascii="仿宋_GB2312" w:hAnsi="仿宋" w:eastAsia="仿宋_GB2312"/>
          <w:b/>
          <w:bCs w:val="0"/>
          <w:sz w:val="28"/>
          <w:szCs w:val="28"/>
          <w:highlight w:val="none"/>
          <w:lang w:eastAsia="zh-CN"/>
        </w:rPr>
        <w:t>本项目为固定单价合同，</w:t>
      </w:r>
      <w:r>
        <w:rPr>
          <w:rFonts w:hint="eastAsia" w:ascii="仿宋_GB2312" w:hAnsi="仿宋" w:eastAsia="仿宋_GB2312"/>
          <w:b/>
          <w:bCs w:val="0"/>
          <w:sz w:val="28"/>
          <w:szCs w:val="28"/>
          <w:highlight w:val="none"/>
          <w:u w:val="none"/>
          <w:lang w:val="en-US" w:eastAsia="zh-CN"/>
        </w:rPr>
        <w:t>在合同执行过程中根据实际情况据实结算，最终结算款项合计</w:t>
      </w:r>
      <w:r>
        <w:rPr>
          <w:rFonts w:hint="eastAsia" w:ascii="仿宋_GB2312" w:hAnsi="仿宋" w:eastAsia="仿宋_GB2312"/>
          <w:b/>
          <w:bCs w:val="0"/>
          <w:color w:val="auto"/>
          <w:sz w:val="28"/>
          <w:szCs w:val="28"/>
          <w:highlight w:val="none"/>
          <w:vertAlign w:val="baseline"/>
          <w:lang w:val="en-US" w:eastAsia="zh-CN"/>
        </w:rPr>
        <w:t>不超过项目预算940000.00元。</w:t>
      </w:r>
    </w:p>
    <w:p w14:paraId="72AB8110">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（二）合同价款包括但不限于</w:t>
      </w:r>
      <w:r>
        <w:rPr>
          <w:rFonts w:hint="eastAsia" w:ascii="仿宋_GB2312" w:hAnsi="宋体" w:eastAsia="仿宋_GB2312"/>
          <w:sz w:val="28"/>
          <w:szCs w:val="28"/>
          <w:lang w:val="zh-CN"/>
        </w:rPr>
        <w:t>产品供应费、运</w:t>
      </w:r>
      <w:r>
        <w:rPr>
          <w:rFonts w:hint="eastAsia" w:ascii="仿宋_GB2312" w:hAnsi="宋体" w:eastAsia="仿宋_GB2312"/>
          <w:sz w:val="28"/>
          <w:szCs w:val="28"/>
          <w:lang w:val="en-US" w:eastAsia="zh-CN"/>
        </w:rPr>
        <w:t>杂</w:t>
      </w:r>
      <w:r>
        <w:rPr>
          <w:rFonts w:hint="eastAsia" w:ascii="仿宋_GB2312" w:hAnsi="宋体" w:eastAsia="仿宋_GB2312"/>
          <w:sz w:val="28"/>
          <w:szCs w:val="28"/>
          <w:lang w:val="zh-CN"/>
        </w:rPr>
        <w:t>费、</w:t>
      </w:r>
      <w:r>
        <w:rPr>
          <w:rFonts w:hint="eastAsia" w:ascii="仿宋_GB2312" w:hAnsi="宋体" w:eastAsia="仿宋_GB2312"/>
          <w:sz w:val="28"/>
          <w:szCs w:val="28"/>
          <w:lang w:val="en-US" w:eastAsia="zh-CN"/>
        </w:rPr>
        <w:t>质检</w:t>
      </w:r>
      <w:r>
        <w:rPr>
          <w:rFonts w:hint="eastAsia" w:ascii="仿宋_GB2312" w:hAnsi="宋体" w:eastAsia="仿宋_GB2312"/>
          <w:sz w:val="28"/>
          <w:szCs w:val="28"/>
          <w:lang w:val="zh-CN"/>
        </w:rPr>
        <w:t>验收费、税金</w:t>
      </w:r>
      <w:r>
        <w:rPr>
          <w:rFonts w:hint="eastAsia" w:ascii="仿宋_GB2312" w:hAnsi="仿宋_GB2312" w:eastAsia="仿宋_GB2312" w:cs="仿宋_GB2312"/>
          <w:sz w:val="28"/>
          <w:szCs w:val="28"/>
          <w:lang w:val="zh-CN"/>
        </w:rPr>
        <w:t>及其它相关的费用</w:t>
      </w:r>
      <w:r>
        <w:rPr>
          <w:rFonts w:hint="eastAsia" w:ascii="仿宋_GB2312" w:hAnsi="仿宋" w:eastAsia="仿宋_GB2312"/>
          <w:bCs/>
          <w:sz w:val="28"/>
          <w:szCs w:val="28"/>
        </w:rPr>
        <w:t>。</w:t>
      </w:r>
    </w:p>
    <w:p w14:paraId="4ECC44F9">
      <w:pPr>
        <w:autoSpaceDE w:val="0"/>
        <w:autoSpaceDN w:val="0"/>
        <w:adjustRightInd w:val="0"/>
        <w:spacing w:line="360" w:lineRule="auto"/>
        <w:ind w:firstLine="560" w:firstLineChars="200"/>
        <w:rPr>
          <w:rFonts w:hint="eastAsia" w:ascii="仿宋_GB2312" w:eastAsia="仿宋_GB2312"/>
          <w:sz w:val="28"/>
          <w:szCs w:val="28"/>
        </w:rPr>
      </w:pPr>
      <w:r>
        <w:rPr>
          <w:rFonts w:hint="eastAsia" w:ascii="仿宋_GB2312" w:hAnsi="仿宋" w:eastAsia="仿宋_GB2312"/>
          <w:bCs/>
          <w:sz w:val="28"/>
          <w:szCs w:val="28"/>
        </w:rPr>
        <w:t>（三）合同价款一次性包死，不受市场价格变化因素的影响。</w:t>
      </w:r>
    </w:p>
    <w:p w14:paraId="7BFA2DE6">
      <w:pPr>
        <w:autoSpaceDE w:val="0"/>
        <w:autoSpaceDN w:val="0"/>
        <w:adjustRightIn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lang w:val="en-US" w:eastAsia="zh-CN"/>
        </w:rPr>
        <w:t>三、</w:t>
      </w:r>
      <w:r>
        <w:rPr>
          <w:rFonts w:hint="eastAsia" w:ascii="仿宋_GB2312" w:hAnsi="仿宋" w:eastAsia="仿宋_GB2312"/>
          <w:b/>
          <w:bCs/>
          <w:sz w:val="28"/>
          <w:szCs w:val="28"/>
        </w:rPr>
        <w:t>款项结算</w:t>
      </w:r>
    </w:p>
    <w:p w14:paraId="352C9C9E">
      <w:pPr>
        <w:autoSpaceDE w:val="0"/>
        <w:autoSpaceDN w:val="0"/>
        <w:adjustRightInd w:val="0"/>
        <w:spacing w:line="360" w:lineRule="auto"/>
        <w:ind w:firstLine="560" w:firstLineChars="200"/>
        <w:rPr>
          <w:rFonts w:hint="eastAsia" w:ascii="仿宋_GB2312" w:hAnsi="仿宋" w:eastAsia="仿宋_GB2312" w:cs="Times New Roman"/>
          <w:bCs/>
          <w:sz w:val="28"/>
          <w:szCs w:val="28"/>
          <w:highlight w:val="none"/>
          <w:lang w:val="en-US" w:eastAsia="zh-CN"/>
        </w:rPr>
      </w:pPr>
      <w:r>
        <w:rPr>
          <w:rFonts w:hint="eastAsia" w:ascii="仿宋_GB2312" w:hAnsi="仿宋" w:eastAsia="仿宋_GB2312" w:cs="Times New Roman"/>
          <w:bCs/>
          <w:sz w:val="28"/>
          <w:szCs w:val="28"/>
          <w:highlight w:val="none"/>
          <w:lang w:val="en-US" w:eastAsia="zh-CN"/>
        </w:rPr>
        <w:t>（一）付款方式：</w:t>
      </w:r>
    </w:p>
    <w:p w14:paraId="1550AA4B">
      <w:pPr>
        <w:autoSpaceDE w:val="0"/>
        <w:autoSpaceDN w:val="0"/>
        <w:adjustRightInd w:val="0"/>
        <w:spacing w:line="360" w:lineRule="auto"/>
        <w:ind w:firstLine="560" w:firstLineChars="200"/>
        <w:rPr>
          <w:rFonts w:hint="eastAsia" w:ascii="仿宋_GB2312" w:hAnsi="仿宋" w:eastAsia="仿宋_GB2312" w:cs="Times New Roman"/>
          <w:bCs/>
          <w:sz w:val="28"/>
          <w:szCs w:val="28"/>
        </w:rPr>
      </w:pPr>
      <w:r>
        <w:rPr>
          <w:rFonts w:hint="eastAsia" w:ascii="仿宋_GB2312" w:hAnsi="仿宋" w:eastAsia="仿宋_GB2312" w:cs="Times New Roman"/>
          <w:bCs/>
          <w:sz w:val="28"/>
          <w:szCs w:val="28"/>
          <w:highlight w:val="none"/>
          <w:lang w:val="en-US" w:eastAsia="zh-CN"/>
        </w:rPr>
        <w:t>1、合同签订后，甲方预付成交金额的40%给乙方，年底前付成交金额的20%，项目结束后，支付剩余40%（若乙方为中小型企业）</w:t>
      </w:r>
      <w:r>
        <w:rPr>
          <w:rFonts w:hint="eastAsia" w:ascii="仿宋_GB2312" w:hAnsi="仿宋" w:eastAsia="仿宋_GB2312" w:cs="Times New Roman"/>
          <w:bCs/>
          <w:sz w:val="28"/>
          <w:szCs w:val="28"/>
        </w:rPr>
        <w:t>；</w:t>
      </w:r>
    </w:p>
    <w:p w14:paraId="47183C21">
      <w:pPr>
        <w:autoSpaceDE w:val="0"/>
        <w:autoSpaceDN w:val="0"/>
        <w:adjustRightInd w:val="0"/>
        <w:spacing w:line="360" w:lineRule="auto"/>
        <w:ind w:firstLine="560" w:firstLineChars="200"/>
        <w:rPr>
          <w:rFonts w:hint="eastAsia" w:ascii="仿宋_GB2312" w:hAnsi="仿宋" w:eastAsia="仿宋_GB2312" w:cs="Times New Roman"/>
          <w:bCs/>
          <w:sz w:val="28"/>
          <w:szCs w:val="28"/>
          <w:highlight w:val="none"/>
          <w:lang w:val="en-US" w:eastAsia="zh-CN"/>
        </w:rPr>
      </w:pPr>
      <w:r>
        <w:rPr>
          <w:rFonts w:hint="eastAsia" w:ascii="仿宋_GB2312" w:hAnsi="仿宋" w:eastAsia="仿宋_GB2312" w:cs="Times New Roman"/>
          <w:bCs/>
          <w:sz w:val="28"/>
          <w:szCs w:val="28"/>
          <w:highlight w:val="none"/>
          <w:lang w:val="en-US" w:eastAsia="zh-CN"/>
        </w:rPr>
        <w:t>2、合同签订后，甲方预付成交金额的30%给乙方，年底前付成交金额的30%，项目结束后，支付剩余40%（若乙方为非中小型企业）。</w:t>
      </w:r>
    </w:p>
    <w:p w14:paraId="3FAFB7EA">
      <w:pPr>
        <w:autoSpaceDE w:val="0"/>
        <w:autoSpaceDN w:val="0"/>
        <w:adjustRightIn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cs="Times New Roman"/>
          <w:bCs/>
          <w:sz w:val="28"/>
          <w:szCs w:val="28"/>
          <w:lang w:val="en-US" w:eastAsia="zh-CN"/>
        </w:rPr>
        <w:t>（二）结算</w:t>
      </w:r>
      <w:r>
        <w:rPr>
          <w:rFonts w:hint="eastAsia" w:ascii="仿宋_GB2312" w:hAnsi="仿宋" w:eastAsia="仿宋_GB2312"/>
          <w:bCs/>
          <w:sz w:val="28"/>
          <w:szCs w:val="28"/>
        </w:rPr>
        <w:t>方式：银行转账。</w:t>
      </w:r>
    </w:p>
    <w:p w14:paraId="36FE800E">
      <w:pPr>
        <w:autoSpaceDE w:val="0"/>
        <w:autoSpaceDN w:val="0"/>
        <w:adjustRightIn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w:t>
      </w:r>
      <w:r>
        <w:rPr>
          <w:rFonts w:hint="eastAsia" w:ascii="仿宋_GB2312" w:hAnsi="仿宋" w:eastAsia="仿宋_GB2312"/>
          <w:bCs/>
          <w:sz w:val="28"/>
          <w:szCs w:val="28"/>
          <w:lang w:val="en-US" w:eastAsia="zh-CN"/>
        </w:rPr>
        <w:t>结算单位</w:t>
      </w:r>
      <w:r>
        <w:rPr>
          <w:rFonts w:hint="eastAsia" w:ascii="仿宋_GB2312" w:hAnsi="仿宋" w:eastAsia="仿宋_GB2312"/>
          <w:bCs/>
          <w:sz w:val="28"/>
          <w:szCs w:val="28"/>
        </w:rPr>
        <w:t>：</w:t>
      </w:r>
      <w:r>
        <w:rPr>
          <w:rFonts w:hint="eastAsia" w:ascii="仿宋_GB2312" w:eastAsia="仿宋_GB2312"/>
          <w:sz w:val="28"/>
          <w:szCs w:val="28"/>
          <w:lang w:val="zh-CN"/>
        </w:rPr>
        <w:t>由</w:t>
      </w:r>
      <w:r>
        <w:rPr>
          <w:rFonts w:hint="eastAsia" w:ascii="仿宋_GB2312" w:eastAsia="仿宋_GB2312"/>
          <w:sz w:val="28"/>
          <w:szCs w:val="28"/>
        </w:rPr>
        <w:t>甲方</w:t>
      </w:r>
      <w:r>
        <w:rPr>
          <w:rFonts w:hint="eastAsia" w:ascii="仿宋_GB2312" w:eastAsia="仿宋_GB2312"/>
          <w:sz w:val="28"/>
          <w:szCs w:val="28"/>
          <w:lang w:val="zh-CN"/>
        </w:rPr>
        <w:t>负责结算，</w:t>
      </w:r>
      <w:r>
        <w:rPr>
          <w:rFonts w:hint="eastAsia" w:ascii="仿宋_GB2312" w:hAnsi="仿宋" w:eastAsia="仿宋_GB2312"/>
          <w:bCs/>
          <w:sz w:val="28"/>
          <w:szCs w:val="28"/>
        </w:rPr>
        <w:t>乙方开具</w:t>
      </w:r>
      <w:r>
        <w:rPr>
          <w:rFonts w:hint="eastAsia" w:ascii="仿宋_GB2312" w:hAnsi="仿宋" w:eastAsia="仿宋_GB2312"/>
          <w:bCs/>
          <w:sz w:val="28"/>
          <w:szCs w:val="28"/>
          <w:lang w:val="en-US" w:eastAsia="zh-CN"/>
        </w:rPr>
        <w:t>等</w:t>
      </w:r>
      <w:r>
        <w:rPr>
          <w:rFonts w:hint="eastAsia" w:ascii="仿宋_GB2312" w:hAnsi="仿宋" w:eastAsia="仿宋_GB2312"/>
          <w:bCs/>
          <w:sz w:val="28"/>
          <w:szCs w:val="28"/>
        </w:rPr>
        <w:t>额发票给甲方。</w:t>
      </w:r>
    </w:p>
    <w:p w14:paraId="275972BE">
      <w:pPr>
        <w:autoSpaceDE w:val="0"/>
        <w:autoSpaceDN w:val="0"/>
        <w:adjustRightInd w:val="0"/>
        <w:spacing w:line="360" w:lineRule="auto"/>
        <w:ind w:firstLine="562" w:firstLineChars="200"/>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四</w:t>
      </w:r>
      <w:r>
        <w:rPr>
          <w:rFonts w:hint="eastAsia" w:ascii="仿宋_GB2312" w:hAnsi="仿宋_GB2312" w:eastAsia="仿宋_GB2312" w:cs="仿宋_GB2312"/>
          <w:b/>
          <w:color w:val="auto"/>
          <w:sz w:val="28"/>
          <w:szCs w:val="28"/>
        </w:rPr>
        <w:t>、</w:t>
      </w:r>
      <w:r>
        <w:rPr>
          <w:rFonts w:hint="eastAsia" w:ascii="仿宋_GB2312" w:hAnsi="仿宋_GB2312" w:eastAsia="仿宋_GB2312" w:cs="仿宋_GB2312"/>
          <w:b/>
          <w:color w:val="auto"/>
          <w:sz w:val="28"/>
          <w:szCs w:val="28"/>
          <w:lang w:val="en-US" w:eastAsia="zh-CN"/>
        </w:rPr>
        <w:t>交货条件</w:t>
      </w:r>
    </w:p>
    <w:p w14:paraId="54E2E9B6">
      <w:pPr>
        <w:autoSpaceDE w:val="0"/>
        <w:autoSpaceDN w:val="0"/>
        <w:adjustRightInd w:val="0"/>
        <w:spacing w:line="360" w:lineRule="auto"/>
        <w:ind w:firstLine="560" w:firstLineChars="200"/>
        <w:rPr>
          <w:rFonts w:hint="eastAsia" w:ascii="仿宋_GB2312" w:hAnsi="仿宋" w:eastAsia="仿宋_GB2312" w:cs="Times New Roman"/>
          <w:bCs/>
          <w:sz w:val="28"/>
          <w:szCs w:val="28"/>
          <w:highlight w:val="none"/>
          <w:lang w:eastAsia="zh-CN"/>
        </w:rPr>
      </w:pPr>
      <w:r>
        <w:rPr>
          <w:rFonts w:hint="eastAsia" w:ascii="仿宋_GB2312" w:hAnsi="仿宋" w:eastAsia="仿宋_GB2312"/>
          <w:bCs/>
          <w:sz w:val="28"/>
          <w:szCs w:val="28"/>
          <w:highlight w:val="none"/>
        </w:rPr>
        <w:t>（一</w:t>
      </w:r>
      <w:r>
        <w:rPr>
          <w:rFonts w:hint="eastAsia" w:ascii="仿宋_GB2312" w:hAnsi="仿宋" w:eastAsia="仿宋_GB2312"/>
          <w:bCs/>
          <w:color w:val="auto"/>
          <w:sz w:val="28"/>
          <w:szCs w:val="28"/>
          <w:highlight w:val="none"/>
        </w:rPr>
        <w:t>）</w:t>
      </w:r>
      <w:r>
        <w:rPr>
          <w:rFonts w:hint="eastAsia" w:ascii="仿宋_GB2312" w:hAnsi="仿宋" w:eastAsia="仿宋_GB2312" w:cs="Times New Roman"/>
          <w:bCs/>
          <w:sz w:val="28"/>
          <w:szCs w:val="28"/>
          <w:highlight w:val="none"/>
          <w:lang w:val="en-US" w:eastAsia="zh-CN"/>
        </w:rPr>
        <w:t>交货期</w:t>
      </w:r>
      <w:r>
        <w:rPr>
          <w:rFonts w:hint="eastAsia" w:ascii="仿宋_GB2312" w:hAnsi="仿宋" w:eastAsia="仿宋_GB2312" w:cs="Times New Roman"/>
          <w:bCs/>
          <w:sz w:val="28"/>
          <w:szCs w:val="28"/>
          <w:highlight w:val="none"/>
        </w:rPr>
        <w:t>：</w:t>
      </w:r>
      <w:r>
        <w:rPr>
          <w:rFonts w:hint="eastAsia" w:ascii="仿宋_GB2312" w:hAnsi="仿宋" w:eastAsia="仿宋_GB2312" w:cs="Times New Roman"/>
          <w:bCs/>
          <w:sz w:val="28"/>
          <w:szCs w:val="28"/>
          <w:highlight w:val="none"/>
          <w:lang w:val="en-US" w:eastAsia="zh-CN"/>
        </w:rPr>
        <w:t>自合同签订后</w:t>
      </w:r>
      <w:r>
        <w:rPr>
          <w:rFonts w:hint="eastAsia" w:ascii="仿宋_GB2312" w:hAnsi="仿宋" w:eastAsia="仿宋_GB2312" w:cs="Times New Roman"/>
          <w:bCs/>
          <w:sz w:val="28"/>
          <w:szCs w:val="28"/>
          <w:highlight w:val="none"/>
          <w:u w:val="single"/>
          <w:lang w:val="en-US" w:eastAsia="zh-CN"/>
        </w:rPr>
        <w:t xml:space="preserve">     </w:t>
      </w:r>
      <w:r>
        <w:rPr>
          <w:rFonts w:hint="eastAsia" w:ascii="仿宋_GB2312" w:hAnsi="仿宋" w:eastAsia="仿宋_GB2312" w:cs="Times New Roman"/>
          <w:bCs/>
          <w:sz w:val="28"/>
          <w:szCs w:val="28"/>
          <w:highlight w:val="none"/>
          <w:lang w:val="en-US" w:eastAsia="zh-CN"/>
        </w:rPr>
        <w:t>日内供货到位</w:t>
      </w:r>
      <w:r>
        <w:rPr>
          <w:rFonts w:hint="eastAsia" w:ascii="仿宋_GB2312" w:hAnsi="仿宋" w:eastAsia="仿宋_GB2312" w:cs="Times New Roman"/>
          <w:bCs/>
          <w:sz w:val="28"/>
          <w:szCs w:val="28"/>
          <w:highlight w:val="none"/>
          <w:lang w:eastAsia="zh-CN"/>
        </w:rPr>
        <w:t>。</w:t>
      </w:r>
    </w:p>
    <w:p w14:paraId="1D9E329A">
      <w:pPr>
        <w:autoSpaceDE w:val="0"/>
        <w:autoSpaceDN w:val="0"/>
        <w:adjustRightIn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cs="Times New Roman"/>
          <w:bCs/>
          <w:sz w:val="28"/>
          <w:szCs w:val="28"/>
          <w:highlight w:val="none"/>
        </w:rPr>
        <w:t>（</w:t>
      </w:r>
      <w:r>
        <w:rPr>
          <w:rFonts w:hint="eastAsia" w:ascii="仿宋_GB2312" w:hAnsi="仿宋" w:eastAsia="仿宋_GB2312" w:cs="Times New Roman"/>
          <w:bCs/>
          <w:sz w:val="28"/>
          <w:szCs w:val="28"/>
          <w:highlight w:val="none"/>
          <w:lang w:eastAsia="zh-CN"/>
        </w:rPr>
        <w:t>二</w:t>
      </w:r>
      <w:r>
        <w:rPr>
          <w:rFonts w:hint="eastAsia" w:ascii="仿宋_GB2312" w:hAnsi="仿宋" w:eastAsia="仿宋_GB2312" w:cs="Times New Roman"/>
          <w:bCs/>
          <w:sz w:val="28"/>
          <w:szCs w:val="28"/>
          <w:highlight w:val="none"/>
        </w:rPr>
        <w:t>）</w:t>
      </w:r>
      <w:r>
        <w:rPr>
          <w:rFonts w:hint="eastAsia" w:ascii="仿宋_GB2312" w:hAnsi="仿宋" w:eastAsia="仿宋_GB2312"/>
          <w:bCs/>
          <w:color w:val="auto"/>
          <w:sz w:val="28"/>
          <w:szCs w:val="28"/>
          <w:highlight w:val="none"/>
          <w:lang w:val="en-US" w:eastAsia="zh-CN"/>
        </w:rPr>
        <w:t>交货</w:t>
      </w:r>
      <w:r>
        <w:rPr>
          <w:rFonts w:hint="eastAsia" w:ascii="仿宋_GB2312" w:hAnsi="仿宋" w:eastAsia="仿宋_GB2312"/>
          <w:bCs/>
          <w:color w:val="auto"/>
          <w:sz w:val="28"/>
          <w:szCs w:val="28"/>
          <w:highlight w:val="none"/>
        </w:rPr>
        <w:t>地点：</w:t>
      </w:r>
      <w:r>
        <w:rPr>
          <w:rFonts w:hint="eastAsia" w:ascii="仿宋_GB2312" w:hAnsi="仿宋_GB2312" w:eastAsia="仿宋_GB2312" w:cs="仿宋_GB2312"/>
          <w:sz w:val="28"/>
          <w:szCs w:val="28"/>
          <w:lang w:val="en-US" w:eastAsia="zh-CN"/>
        </w:rPr>
        <w:t>西安市范围内，具体以甲方指定地点为准</w:t>
      </w:r>
      <w:r>
        <w:rPr>
          <w:rFonts w:hint="eastAsia" w:ascii="仿宋_GB2312" w:hAnsi="仿宋" w:eastAsia="仿宋_GB2312"/>
          <w:bCs/>
          <w:color w:val="auto"/>
          <w:sz w:val="28"/>
          <w:szCs w:val="28"/>
          <w:highlight w:val="none"/>
        </w:rPr>
        <w:t>。</w:t>
      </w:r>
    </w:p>
    <w:p w14:paraId="01600E3C">
      <w:pPr>
        <w:autoSpaceDE w:val="0"/>
        <w:autoSpaceDN w:val="0"/>
        <w:adjustRightInd w:val="0"/>
        <w:spacing w:line="360"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五、技术标准、质量标准及其他要求</w:t>
      </w:r>
    </w:p>
    <w:p w14:paraId="375EAB80">
      <w:pPr>
        <w:autoSpaceDE w:val="0"/>
        <w:autoSpaceDN w:val="0"/>
        <w:adjustRightInd w:val="0"/>
        <w:spacing w:line="360" w:lineRule="auto"/>
        <w:ind w:firstLine="560" w:firstLineChars="200"/>
        <w:rPr>
          <w:rFonts w:hint="eastAsia" w:ascii="仿宋_GB2312" w:hAnsi="仿宋" w:eastAsia="仿宋_GB2312"/>
          <w:b w:val="0"/>
          <w:bCs/>
          <w:sz w:val="28"/>
          <w:szCs w:val="28"/>
        </w:rPr>
      </w:pPr>
      <w:r>
        <w:rPr>
          <w:rFonts w:hint="eastAsia" w:ascii="仿宋_GB2312" w:hAnsi="仿宋" w:eastAsia="仿宋_GB2312"/>
          <w:b w:val="0"/>
          <w:bCs/>
          <w:sz w:val="28"/>
          <w:szCs w:val="28"/>
        </w:rPr>
        <w:t>（一）所选材料必须保证质量可靠、进货渠道正规，服装面料、成衣符合国家、行业标准合格品要求。</w:t>
      </w:r>
    </w:p>
    <w:p w14:paraId="5205F4BE">
      <w:pPr>
        <w:autoSpaceDE w:val="0"/>
        <w:autoSpaceDN w:val="0"/>
        <w:adjustRightInd w:val="0"/>
        <w:spacing w:line="360" w:lineRule="auto"/>
        <w:ind w:firstLine="560" w:firstLineChars="200"/>
        <w:rPr>
          <w:rFonts w:hint="eastAsia" w:ascii="仿宋_GB2312" w:hAnsi="仿宋" w:eastAsia="仿宋_GB2312"/>
          <w:b w:val="0"/>
          <w:bCs/>
          <w:sz w:val="28"/>
          <w:szCs w:val="28"/>
        </w:rPr>
      </w:pPr>
      <w:r>
        <w:rPr>
          <w:rFonts w:hint="eastAsia" w:ascii="仿宋_GB2312" w:hAnsi="仿宋" w:eastAsia="仿宋_GB2312"/>
          <w:b w:val="0"/>
          <w:bCs/>
          <w:sz w:val="28"/>
          <w:szCs w:val="28"/>
        </w:rPr>
        <w:t>（二）所提供的产品符合国家现行标准和相应的技术规范，标准和技术规范应为合同签订之日为止最新公布发行的标准和技术规范。</w:t>
      </w:r>
    </w:p>
    <w:p w14:paraId="04A88F86">
      <w:pPr>
        <w:autoSpaceDE w:val="0"/>
        <w:autoSpaceDN w:val="0"/>
        <w:adjustRightInd w:val="0"/>
        <w:spacing w:line="360" w:lineRule="auto"/>
        <w:ind w:firstLine="560" w:firstLineChars="200"/>
        <w:rPr>
          <w:rFonts w:hint="eastAsia" w:ascii="仿宋_GB2312" w:hAnsi="仿宋" w:eastAsia="仿宋_GB2312"/>
          <w:b w:val="0"/>
          <w:bCs/>
          <w:sz w:val="28"/>
          <w:szCs w:val="28"/>
        </w:rPr>
      </w:pPr>
      <w:r>
        <w:rPr>
          <w:rFonts w:hint="eastAsia" w:ascii="仿宋_GB2312" w:hAnsi="仿宋" w:eastAsia="仿宋_GB2312"/>
          <w:b w:val="0"/>
          <w:bCs/>
          <w:sz w:val="28"/>
          <w:szCs w:val="28"/>
        </w:rPr>
        <w:t>（三）产品质保期一年，服装到达用户所在地后90日内，如发现不合体的警服，制造厂商应负责包修、包换；如发现服装材料及加工质量问题，制造厂商应负责包换。</w:t>
      </w:r>
    </w:p>
    <w:p w14:paraId="6A7EE936">
      <w:pPr>
        <w:autoSpaceDE w:val="0"/>
        <w:autoSpaceDN w:val="0"/>
        <w:adjustRightInd w:val="0"/>
        <w:spacing w:line="360" w:lineRule="auto"/>
        <w:ind w:firstLine="560" w:firstLineChars="200"/>
        <w:rPr>
          <w:rFonts w:hint="eastAsia" w:ascii="仿宋_GB2312" w:hAnsi="仿宋" w:eastAsia="仿宋_GB2312"/>
          <w:b w:val="0"/>
          <w:bCs/>
          <w:sz w:val="28"/>
          <w:szCs w:val="28"/>
        </w:rPr>
      </w:pPr>
      <w:r>
        <w:rPr>
          <w:rFonts w:hint="eastAsia" w:ascii="仿宋_GB2312" w:hAnsi="仿宋" w:eastAsia="仿宋_GB2312"/>
          <w:b w:val="0"/>
          <w:bCs/>
          <w:sz w:val="28"/>
          <w:szCs w:val="28"/>
        </w:rPr>
        <w:t>（四）乙方提供的产品，若发生侵权而产生的一切后果，由乙方负责，甲方保留索赔权力。</w:t>
      </w:r>
    </w:p>
    <w:p w14:paraId="1C34B61F">
      <w:pPr>
        <w:autoSpaceDE w:val="0"/>
        <w:autoSpaceDN w:val="0"/>
        <w:adjustRightInd w:val="0"/>
        <w:spacing w:line="360"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lang w:val="en-US" w:eastAsia="zh-CN"/>
        </w:rPr>
        <w:t>六、</w:t>
      </w:r>
      <w:r>
        <w:rPr>
          <w:rFonts w:hint="eastAsia" w:ascii="仿宋_GB2312" w:hAnsi="仿宋" w:eastAsia="仿宋_GB2312"/>
          <w:b/>
          <w:sz w:val="28"/>
          <w:szCs w:val="28"/>
        </w:rPr>
        <w:t>双方的权利和义务</w:t>
      </w:r>
    </w:p>
    <w:p w14:paraId="4874F72F">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（一）甲方的权利与义务</w:t>
      </w:r>
    </w:p>
    <w:p w14:paraId="5F3F1E3F">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1</w:t>
      </w:r>
      <w:r>
        <w:rPr>
          <w:rFonts w:hint="eastAsia" w:ascii="仿宋_GB2312" w:hAnsi="仿宋" w:eastAsia="仿宋_GB2312"/>
          <w:bCs/>
          <w:sz w:val="28"/>
          <w:szCs w:val="28"/>
          <w:lang w:eastAsia="zh-CN"/>
        </w:rPr>
        <w:t>、</w:t>
      </w:r>
      <w:r>
        <w:rPr>
          <w:rFonts w:hint="eastAsia" w:ascii="仿宋_GB2312" w:hAnsi="仿宋" w:eastAsia="仿宋_GB2312"/>
          <w:bCs/>
          <w:sz w:val="28"/>
          <w:szCs w:val="28"/>
        </w:rPr>
        <w:t>积极配合乙方验收工作。</w:t>
      </w:r>
    </w:p>
    <w:p w14:paraId="2CD4FB71">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2</w:t>
      </w:r>
      <w:r>
        <w:rPr>
          <w:rFonts w:hint="eastAsia" w:ascii="仿宋_GB2312" w:hAnsi="仿宋" w:eastAsia="仿宋_GB2312"/>
          <w:bCs/>
          <w:sz w:val="28"/>
          <w:szCs w:val="28"/>
          <w:lang w:eastAsia="zh-CN"/>
        </w:rPr>
        <w:t>、</w:t>
      </w:r>
      <w:r>
        <w:rPr>
          <w:rFonts w:hint="eastAsia" w:ascii="仿宋_GB2312" w:hAnsi="仿宋" w:eastAsia="仿宋_GB2312"/>
          <w:bCs/>
          <w:sz w:val="28"/>
          <w:szCs w:val="28"/>
        </w:rPr>
        <w:t>组织使用单位严格按照</w:t>
      </w:r>
      <w:r>
        <w:rPr>
          <w:rFonts w:hint="eastAsia" w:ascii="仿宋_GB2312" w:hAnsi="仿宋" w:eastAsia="仿宋_GB2312"/>
          <w:bCs/>
          <w:sz w:val="28"/>
          <w:szCs w:val="28"/>
          <w:lang w:eastAsia="zh-CN"/>
        </w:rPr>
        <w:t>磋商文件</w:t>
      </w:r>
      <w:r>
        <w:rPr>
          <w:rFonts w:hint="eastAsia" w:ascii="仿宋_GB2312" w:hAnsi="仿宋" w:eastAsia="仿宋_GB2312"/>
          <w:bCs/>
          <w:sz w:val="28"/>
          <w:szCs w:val="28"/>
        </w:rPr>
        <w:t>及</w:t>
      </w:r>
      <w:r>
        <w:rPr>
          <w:rFonts w:hint="eastAsia" w:ascii="仿宋_GB2312" w:hAnsi="仿宋" w:eastAsia="仿宋_GB2312"/>
          <w:bCs/>
          <w:sz w:val="28"/>
          <w:szCs w:val="28"/>
          <w:lang w:val="en-US" w:eastAsia="zh-CN"/>
        </w:rPr>
        <w:t>响应文件</w:t>
      </w:r>
      <w:r>
        <w:rPr>
          <w:rFonts w:hint="eastAsia" w:ascii="仿宋_GB2312" w:hAnsi="仿宋" w:eastAsia="仿宋_GB2312"/>
          <w:bCs/>
          <w:sz w:val="28"/>
          <w:szCs w:val="28"/>
        </w:rPr>
        <w:t>要求和标准验收货物。</w:t>
      </w:r>
    </w:p>
    <w:p w14:paraId="5AFE49B1">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（二）乙方的权利与义务</w:t>
      </w:r>
    </w:p>
    <w:p w14:paraId="6F0A11ED">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1</w:t>
      </w:r>
      <w:r>
        <w:rPr>
          <w:rFonts w:hint="eastAsia" w:ascii="仿宋_GB2312" w:hAnsi="仿宋" w:eastAsia="仿宋_GB2312"/>
          <w:bCs/>
          <w:sz w:val="28"/>
          <w:szCs w:val="28"/>
          <w:lang w:eastAsia="zh-CN"/>
        </w:rPr>
        <w:t>、</w:t>
      </w:r>
      <w:r>
        <w:rPr>
          <w:rFonts w:hint="eastAsia" w:ascii="仿宋_GB2312" w:hAnsi="仿宋" w:eastAsia="仿宋_GB2312"/>
          <w:bCs/>
          <w:sz w:val="28"/>
          <w:szCs w:val="28"/>
        </w:rPr>
        <w:t>保证对其出售的产品享有合法的权利，不存在任何未曾向甲方透露的担保物权，如抵押权、质押权、留置权。</w:t>
      </w:r>
    </w:p>
    <w:p w14:paraId="270744A9">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2</w:t>
      </w:r>
      <w:r>
        <w:rPr>
          <w:rFonts w:hint="eastAsia" w:ascii="仿宋_GB2312" w:hAnsi="仿宋" w:eastAsia="仿宋_GB2312"/>
          <w:bCs/>
          <w:sz w:val="28"/>
          <w:szCs w:val="28"/>
          <w:lang w:eastAsia="zh-CN"/>
        </w:rPr>
        <w:t>、</w:t>
      </w:r>
      <w:r>
        <w:rPr>
          <w:rFonts w:hint="eastAsia" w:ascii="仿宋_GB2312" w:hAnsi="仿宋" w:eastAsia="仿宋_GB2312"/>
          <w:bCs/>
          <w:sz w:val="28"/>
          <w:szCs w:val="28"/>
        </w:rPr>
        <w:t>保证对其出售的产品或其任何一部分没有侵犯第三方的专利权、版权、商标权或其他权利。</w:t>
      </w:r>
    </w:p>
    <w:p w14:paraId="0C4F75FD">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3</w:t>
      </w:r>
      <w:r>
        <w:rPr>
          <w:rFonts w:hint="eastAsia" w:ascii="仿宋_GB2312" w:hAnsi="仿宋" w:eastAsia="仿宋_GB2312"/>
          <w:bCs/>
          <w:sz w:val="28"/>
          <w:szCs w:val="28"/>
          <w:lang w:eastAsia="zh-CN"/>
        </w:rPr>
        <w:t>、</w:t>
      </w:r>
      <w:r>
        <w:rPr>
          <w:rFonts w:hint="eastAsia" w:ascii="仿宋_GB2312" w:hAnsi="仿宋" w:eastAsia="仿宋_GB2312"/>
          <w:bCs/>
          <w:sz w:val="28"/>
          <w:szCs w:val="28"/>
        </w:rPr>
        <w:t>负责产品的</w:t>
      </w:r>
      <w:r>
        <w:rPr>
          <w:rFonts w:hint="eastAsia" w:ascii="仿宋_GB2312" w:hAnsi="仿宋" w:eastAsia="仿宋_GB2312"/>
          <w:bCs/>
          <w:sz w:val="28"/>
          <w:szCs w:val="28"/>
          <w:lang w:val="en-US" w:eastAsia="zh-CN"/>
        </w:rPr>
        <w:t>供应、</w:t>
      </w:r>
      <w:r>
        <w:rPr>
          <w:rFonts w:hint="eastAsia" w:ascii="仿宋_GB2312" w:hAnsi="仿宋" w:eastAsia="仿宋_GB2312"/>
          <w:bCs/>
          <w:sz w:val="28"/>
          <w:szCs w:val="28"/>
        </w:rPr>
        <w:t>运输，并在合同约定的时间完工，运输及安装施工全过程中的安全由乙方负责。</w:t>
      </w:r>
    </w:p>
    <w:p w14:paraId="7B70ABB7">
      <w:pPr>
        <w:autoSpaceDE w:val="0"/>
        <w:autoSpaceDN w:val="0"/>
        <w:adjustRightInd w:val="0"/>
        <w:snapToGrid w:val="0"/>
        <w:spacing w:line="360" w:lineRule="auto"/>
        <w:ind w:firstLine="560" w:firstLineChars="200"/>
        <w:rPr>
          <w:rFonts w:hint="eastAsia" w:ascii="仿宋_GB2312" w:hAnsi="仿宋" w:eastAsia="仿宋_GB2312"/>
          <w:bCs/>
          <w:sz w:val="28"/>
          <w:szCs w:val="28"/>
          <w:lang w:val="en-US" w:eastAsia="zh-CN"/>
        </w:rPr>
      </w:pPr>
      <w:r>
        <w:rPr>
          <w:rFonts w:hint="eastAsia" w:ascii="仿宋_GB2312" w:hAnsi="仿宋" w:eastAsia="仿宋_GB2312"/>
          <w:bCs/>
          <w:sz w:val="28"/>
          <w:szCs w:val="28"/>
        </w:rPr>
        <w:t>4</w:t>
      </w:r>
      <w:r>
        <w:rPr>
          <w:rFonts w:hint="eastAsia" w:ascii="仿宋_GB2312" w:hAnsi="仿宋" w:eastAsia="仿宋_GB2312"/>
          <w:bCs/>
          <w:sz w:val="28"/>
          <w:szCs w:val="28"/>
          <w:lang w:eastAsia="zh-CN"/>
        </w:rPr>
        <w:t>、</w:t>
      </w:r>
      <w:r>
        <w:rPr>
          <w:rFonts w:hint="eastAsia" w:ascii="仿宋_GB2312" w:hAnsi="仿宋" w:eastAsia="仿宋_GB2312"/>
          <w:bCs/>
          <w:sz w:val="28"/>
          <w:szCs w:val="28"/>
        </w:rPr>
        <w:t>按照合同约定要求甲方及时付款。</w:t>
      </w:r>
    </w:p>
    <w:p w14:paraId="0143D654">
      <w:pPr>
        <w:autoSpaceDE w:val="0"/>
        <w:autoSpaceDN w:val="0"/>
        <w:adjustRightInd w:val="0"/>
        <w:snapToGrid w:val="0"/>
        <w:spacing w:line="360" w:lineRule="auto"/>
        <w:ind w:firstLine="562" w:firstLineChars="200"/>
        <w:rPr>
          <w:rFonts w:hint="eastAsia" w:ascii="仿宋_GB2312" w:hAnsi="仿宋" w:eastAsia="仿宋_GB2312"/>
          <w:b/>
          <w:bCs w:val="0"/>
          <w:sz w:val="28"/>
          <w:szCs w:val="28"/>
          <w:lang w:val="en-US" w:eastAsia="zh-CN"/>
        </w:rPr>
      </w:pPr>
      <w:r>
        <w:rPr>
          <w:rFonts w:hint="eastAsia" w:ascii="仿宋_GB2312" w:hAnsi="仿宋" w:eastAsia="仿宋_GB2312"/>
          <w:b/>
          <w:bCs w:val="0"/>
          <w:sz w:val="28"/>
          <w:szCs w:val="28"/>
          <w:lang w:val="en-US" w:eastAsia="zh-CN"/>
        </w:rPr>
        <w:t>七</w:t>
      </w:r>
      <w:r>
        <w:rPr>
          <w:rFonts w:hint="eastAsia" w:ascii="仿宋_GB2312" w:hAnsi="仿宋" w:eastAsia="仿宋_GB2312"/>
          <w:b/>
          <w:bCs w:val="0"/>
          <w:sz w:val="28"/>
          <w:szCs w:val="28"/>
        </w:rPr>
        <w:t>、</w:t>
      </w:r>
      <w:r>
        <w:rPr>
          <w:rFonts w:hint="eastAsia" w:ascii="仿宋_GB2312" w:hAnsi="仿宋" w:eastAsia="仿宋_GB2312"/>
          <w:b/>
          <w:bCs w:val="0"/>
          <w:sz w:val="28"/>
          <w:szCs w:val="28"/>
          <w:lang w:val="en-US" w:eastAsia="zh-CN"/>
        </w:rPr>
        <w:t>运输</w:t>
      </w:r>
    </w:p>
    <w:p w14:paraId="37192706">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（一）乙方负责所有产品的运输，确保采购产品安全、完整 到达采购人指定地点。运杂费一次性包死在总价内，采购人不再额外支付，包括从生产厂家到使用（安装）现场的包装、装载、运 输、卸载、现场保管、二次倒运等费用。</w:t>
      </w:r>
    </w:p>
    <w:p w14:paraId="432B84E6">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（二）运输方式由乙方自行选择，选择风险小、运费低、运距短的运输路线。但必须保证按期交货所有采购产品在运输、搬运的过程中，造成甲方损失的，由乙方为甲方修复或更新。</w:t>
      </w:r>
    </w:p>
    <w:p w14:paraId="2A888149">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（三）全部货物(产品)均应按照国家、行业规定的标准和保护措施进行包装，该包装应适应于远距离运输、防潮、防震、防锈和防野蛮装卸，以确保货物安全运抵指定地点。</w:t>
      </w:r>
    </w:p>
    <w:p w14:paraId="0D231A6A">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（四）当包装使用塑料、纸质、木材等包装材料时，除应当按照国家、行业规定的包装标准进行包装外，还需按照《商品包装政府采购 需求标准(试行)》(财办库[2020])123号)规定的环保要求进行包装。</w:t>
      </w:r>
    </w:p>
    <w:p w14:paraId="489A78BE">
      <w:pPr>
        <w:autoSpaceDE w:val="0"/>
        <w:autoSpaceDN w:val="0"/>
        <w:adjustRightInd w:val="0"/>
        <w:snapToGrid w:val="0"/>
        <w:spacing w:line="360" w:lineRule="auto"/>
        <w:ind w:firstLine="560" w:firstLineChars="200"/>
        <w:rPr>
          <w:rFonts w:hint="eastAsia" w:ascii="仿宋_GB2312" w:hAnsi="仿宋" w:eastAsia="仿宋_GB2312"/>
          <w:bCs/>
          <w:sz w:val="28"/>
          <w:szCs w:val="28"/>
          <w:lang w:val="en-US" w:eastAsia="zh-CN"/>
        </w:rPr>
      </w:pPr>
      <w:r>
        <w:rPr>
          <w:rFonts w:hint="eastAsia" w:ascii="仿宋_GB2312" w:hAnsi="仿宋" w:eastAsia="仿宋_GB2312"/>
          <w:bCs/>
          <w:sz w:val="28"/>
          <w:szCs w:val="28"/>
        </w:rPr>
        <w:t>（五）当采用快递交货方式时，快递包装除应当按照国家、行业规定的包装标准进行包装外，还需按照《快递包装政府采购需求标准(试行)》(财办库[2020])123号)规定的环保要求进行包装。</w:t>
      </w:r>
    </w:p>
    <w:p w14:paraId="16C7A70B">
      <w:pPr>
        <w:autoSpaceDE w:val="0"/>
        <w:autoSpaceDN w:val="0"/>
        <w:adjustRightInd w:val="0"/>
        <w:snapToGrid w:val="0"/>
        <w:spacing w:line="360" w:lineRule="auto"/>
        <w:ind w:firstLine="562" w:firstLineChars="200"/>
        <w:rPr>
          <w:rFonts w:hint="eastAsia" w:ascii="仿宋_GB2312" w:hAnsi="仿宋" w:eastAsia="仿宋_GB2312"/>
          <w:b/>
          <w:bCs w:val="0"/>
          <w:sz w:val="28"/>
          <w:szCs w:val="28"/>
          <w:lang w:val="en-US" w:eastAsia="zh-CN"/>
        </w:rPr>
      </w:pPr>
      <w:r>
        <w:rPr>
          <w:rFonts w:hint="eastAsia" w:ascii="仿宋_GB2312" w:hAnsi="仿宋" w:eastAsia="仿宋_GB2312"/>
          <w:b/>
          <w:bCs w:val="0"/>
          <w:sz w:val="28"/>
          <w:szCs w:val="28"/>
          <w:lang w:val="en-US" w:eastAsia="zh-CN"/>
        </w:rPr>
        <w:t>八</w:t>
      </w:r>
      <w:r>
        <w:rPr>
          <w:rFonts w:hint="eastAsia" w:ascii="仿宋_GB2312" w:hAnsi="仿宋" w:eastAsia="仿宋_GB2312"/>
          <w:b/>
          <w:bCs w:val="0"/>
          <w:sz w:val="28"/>
          <w:szCs w:val="28"/>
        </w:rPr>
        <w:t>、</w:t>
      </w:r>
      <w:r>
        <w:rPr>
          <w:rFonts w:hint="eastAsia" w:ascii="仿宋_GB2312" w:hAnsi="仿宋" w:eastAsia="仿宋_GB2312"/>
          <w:b/>
          <w:bCs w:val="0"/>
          <w:sz w:val="28"/>
          <w:szCs w:val="28"/>
          <w:lang w:val="en-US" w:eastAsia="zh-CN"/>
        </w:rPr>
        <w:t>验收</w:t>
      </w:r>
    </w:p>
    <w:p w14:paraId="19300E82">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w:t>
      </w:r>
      <w:r>
        <w:rPr>
          <w:rFonts w:ascii="仿宋_GB2312" w:hAnsi="仿宋" w:eastAsia="仿宋_GB2312"/>
          <w:bCs/>
          <w:sz w:val="28"/>
          <w:szCs w:val="28"/>
        </w:rPr>
        <w:t>本项目验收费用，由</w:t>
      </w:r>
      <w:r>
        <w:rPr>
          <w:rFonts w:hint="eastAsia" w:ascii="仿宋_GB2312" w:hAnsi="仿宋" w:eastAsia="仿宋_GB2312"/>
          <w:bCs/>
          <w:sz w:val="28"/>
          <w:szCs w:val="28"/>
        </w:rPr>
        <w:t>乙方</w:t>
      </w:r>
      <w:r>
        <w:rPr>
          <w:rFonts w:ascii="仿宋_GB2312" w:hAnsi="仿宋" w:eastAsia="仿宋_GB2312"/>
          <w:bCs/>
          <w:sz w:val="28"/>
          <w:szCs w:val="28"/>
        </w:rPr>
        <w:t>自行承担。</w:t>
      </w:r>
    </w:p>
    <w:p w14:paraId="35494AFB">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初验：产品到达交货地点后，乙方须提供提供省级或以上质量监督检验机构出具的检验报告，相对应的检验费用发票复印件及所提供货物（产品）的合格证、装箱清单、配件等资料交付给甲方，甲方根据合同要求，对产品进行外观验收、确认产品的产地、规格和数量，甲方和乙方共同签署到货验收单。未签收到货验收单的产品不得擅自开箱安装。</w:t>
      </w:r>
    </w:p>
    <w:p w14:paraId="49BDE91B">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（三）终验：产品供货完成后，乙方进行自测并形成自测报告，出现的问题限期整改。自检最终通过后，乙方提出验收申请 ，甲方确认乙方的自检内容后，会同乙方（必要时请有关专家）进行最终验收。验收合格后，填写项目验收单作为对产品的最终认可。</w:t>
      </w:r>
    </w:p>
    <w:p w14:paraId="4326AD48">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（四）验收依据：</w:t>
      </w:r>
    </w:p>
    <w:p w14:paraId="506550AB">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1</w:t>
      </w:r>
      <w:r>
        <w:rPr>
          <w:rFonts w:hint="eastAsia" w:ascii="仿宋_GB2312" w:hAnsi="仿宋" w:eastAsia="仿宋_GB2312"/>
          <w:bCs/>
          <w:sz w:val="28"/>
          <w:szCs w:val="28"/>
          <w:lang w:eastAsia="zh-CN"/>
        </w:rPr>
        <w:t>、</w:t>
      </w:r>
      <w:r>
        <w:rPr>
          <w:rFonts w:ascii="仿宋_GB2312" w:hAnsi="仿宋" w:eastAsia="仿宋_GB2312"/>
          <w:bCs/>
          <w:sz w:val="28"/>
          <w:szCs w:val="28"/>
        </w:rPr>
        <w:t>本合同</w:t>
      </w:r>
      <w:r>
        <w:rPr>
          <w:rFonts w:hint="eastAsia" w:ascii="仿宋_GB2312" w:hAnsi="仿宋" w:eastAsia="仿宋_GB2312"/>
          <w:bCs/>
          <w:sz w:val="28"/>
          <w:szCs w:val="28"/>
        </w:rPr>
        <w:t>及附加</w:t>
      </w:r>
      <w:r>
        <w:rPr>
          <w:rFonts w:ascii="仿宋_GB2312" w:hAnsi="仿宋" w:eastAsia="仿宋_GB2312"/>
          <w:bCs/>
          <w:sz w:val="28"/>
          <w:szCs w:val="28"/>
        </w:rPr>
        <w:t>文本；</w:t>
      </w:r>
    </w:p>
    <w:p w14:paraId="0C5AEC81">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2</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磋商文件</w:t>
      </w:r>
      <w:r>
        <w:rPr>
          <w:rFonts w:hint="eastAsia" w:ascii="仿宋_GB2312" w:hAnsi="仿宋" w:eastAsia="仿宋_GB2312"/>
          <w:bCs/>
          <w:sz w:val="28"/>
          <w:szCs w:val="28"/>
        </w:rPr>
        <w:t>、</w:t>
      </w:r>
      <w:r>
        <w:rPr>
          <w:rFonts w:hint="eastAsia" w:ascii="仿宋_GB2312" w:hAnsi="仿宋" w:eastAsia="仿宋_GB2312"/>
          <w:bCs/>
          <w:sz w:val="28"/>
          <w:szCs w:val="28"/>
          <w:lang w:val="en-US" w:eastAsia="zh-CN"/>
        </w:rPr>
        <w:t>成交供应商</w:t>
      </w:r>
      <w:r>
        <w:rPr>
          <w:rFonts w:ascii="仿宋_GB2312" w:hAnsi="仿宋" w:eastAsia="仿宋_GB2312"/>
          <w:bCs/>
          <w:sz w:val="28"/>
          <w:szCs w:val="28"/>
        </w:rPr>
        <w:t>的</w:t>
      </w:r>
      <w:r>
        <w:rPr>
          <w:rFonts w:hint="eastAsia" w:ascii="仿宋_GB2312" w:hAnsi="仿宋" w:eastAsia="仿宋_GB2312"/>
          <w:bCs/>
          <w:sz w:val="28"/>
          <w:szCs w:val="28"/>
          <w:lang w:val="en-US" w:eastAsia="zh-CN"/>
        </w:rPr>
        <w:t>响应文件</w:t>
      </w:r>
      <w:r>
        <w:rPr>
          <w:rFonts w:hint="eastAsia" w:ascii="仿宋_GB2312" w:hAnsi="仿宋" w:eastAsia="仿宋_GB2312"/>
          <w:bCs/>
          <w:sz w:val="28"/>
          <w:szCs w:val="28"/>
        </w:rPr>
        <w:t>及澄清（承诺）函</w:t>
      </w:r>
      <w:r>
        <w:rPr>
          <w:rFonts w:ascii="仿宋_GB2312" w:hAnsi="仿宋" w:eastAsia="仿宋_GB2312"/>
          <w:bCs/>
          <w:sz w:val="28"/>
          <w:szCs w:val="28"/>
        </w:rPr>
        <w:t>；</w:t>
      </w:r>
    </w:p>
    <w:p w14:paraId="74D91384">
      <w:pPr>
        <w:autoSpaceDE w:val="0"/>
        <w:autoSpaceDN w:val="0"/>
        <w:adjustRightInd w:val="0"/>
        <w:snapToGrid w:val="0"/>
        <w:spacing w:line="360" w:lineRule="auto"/>
        <w:ind w:firstLine="560" w:firstLineChars="200"/>
        <w:rPr>
          <w:rFonts w:hint="eastAsia" w:ascii="仿宋_GB2312" w:hAnsi="仿宋" w:eastAsia="仿宋_GB2312" w:cs="Times New Roman"/>
          <w:b w:val="0"/>
          <w:bCs/>
          <w:sz w:val="28"/>
          <w:szCs w:val="28"/>
          <w:lang w:val="en-US" w:eastAsia="zh-CN"/>
        </w:rPr>
      </w:pPr>
      <w:r>
        <w:rPr>
          <w:rFonts w:hint="eastAsia" w:ascii="仿宋_GB2312" w:hAnsi="仿宋" w:eastAsia="仿宋_GB2312"/>
          <w:bCs/>
          <w:sz w:val="28"/>
          <w:szCs w:val="28"/>
        </w:rPr>
        <w:t>3</w:t>
      </w:r>
      <w:r>
        <w:rPr>
          <w:rFonts w:hint="eastAsia" w:ascii="仿宋_GB2312" w:hAnsi="仿宋" w:eastAsia="仿宋_GB2312"/>
          <w:bCs/>
          <w:sz w:val="28"/>
          <w:szCs w:val="28"/>
          <w:lang w:eastAsia="zh-CN"/>
        </w:rPr>
        <w:t>、</w:t>
      </w:r>
      <w:r>
        <w:rPr>
          <w:rFonts w:ascii="仿宋_GB2312" w:hAnsi="仿宋" w:eastAsia="仿宋_GB2312"/>
          <w:bCs/>
          <w:sz w:val="28"/>
          <w:szCs w:val="28"/>
        </w:rPr>
        <w:t>国家相应的标准、规范。</w:t>
      </w:r>
    </w:p>
    <w:p w14:paraId="1E103877">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lang w:val="en-US" w:eastAsia="zh-CN"/>
        </w:rPr>
        <w:t>九</w:t>
      </w:r>
      <w:r>
        <w:rPr>
          <w:rFonts w:hint="eastAsia" w:ascii="仿宋_GB2312" w:hAnsi="仿宋" w:eastAsia="仿宋_GB2312"/>
          <w:b/>
          <w:bCs/>
          <w:sz w:val="28"/>
          <w:szCs w:val="28"/>
        </w:rPr>
        <w:t>、违约责任</w:t>
      </w:r>
    </w:p>
    <w:p w14:paraId="4556F11A">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（一）按《中华人民共和国民法典》中的相关条款执行。</w:t>
      </w:r>
    </w:p>
    <w:p w14:paraId="1667E382">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（二）乙方较好期每超过一天，扣除乙方合同总价款的</w:t>
      </w:r>
      <w:r>
        <w:rPr>
          <w:rFonts w:ascii="仿宋_GB2312" w:hAnsi="仿宋" w:eastAsia="仿宋_GB2312"/>
          <w:bCs/>
          <w:sz w:val="28"/>
          <w:szCs w:val="28"/>
        </w:rPr>
        <w:t>0</w:t>
      </w:r>
      <w:r>
        <w:rPr>
          <w:rFonts w:hint="eastAsia" w:ascii="仿宋_GB2312" w:hAnsi="仿宋" w:eastAsia="仿宋_GB2312"/>
          <w:bCs/>
          <w:sz w:val="28"/>
          <w:szCs w:val="28"/>
        </w:rPr>
        <w:t>.2</w:t>
      </w:r>
      <w:r>
        <w:rPr>
          <w:rFonts w:ascii="仿宋_GB2312" w:hAnsi="仿宋" w:eastAsia="仿宋_GB2312"/>
          <w:bCs/>
          <w:sz w:val="28"/>
          <w:szCs w:val="28"/>
        </w:rPr>
        <w:t>%</w:t>
      </w:r>
      <w:r>
        <w:rPr>
          <w:rFonts w:hint="eastAsia" w:ascii="仿宋_GB2312" w:hAnsi="仿宋" w:eastAsia="仿宋_GB2312"/>
          <w:bCs/>
          <w:sz w:val="28"/>
          <w:szCs w:val="28"/>
        </w:rPr>
        <w:t>，</w:t>
      </w:r>
      <w:r>
        <w:rPr>
          <w:rFonts w:ascii="仿宋_GB2312" w:hAnsi="仿宋" w:eastAsia="仿宋_GB2312"/>
          <w:bCs/>
          <w:sz w:val="28"/>
          <w:szCs w:val="28"/>
        </w:rPr>
        <w:t>迟交</w:t>
      </w:r>
      <w:r>
        <w:rPr>
          <w:rFonts w:hint="eastAsia" w:ascii="仿宋_GB2312" w:hAnsi="仿宋" w:eastAsia="仿宋_GB2312"/>
          <w:bCs/>
          <w:sz w:val="28"/>
          <w:szCs w:val="28"/>
        </w:rPr>
        <w:t>产品</w:t>
      </w:r>
      <w:r>
        <w:rPr>
          <w:rFonts w:ascii="仿宋_GB2312" w:hAnsi="仿宋" w:eastAsia="仿宋_GB2312"/>
          <w:bCs/>
          <w:sz w:val="28"/>
          <w:szCs w:val="28"/>
        </w:rPr>
        <w:t>超过30天，</w:t>
      </w:r>
      <w:r>
        <w:rPr>
          <w:rFonts w:hint="eastAsia" w:ascii="仿宋_GB2312" w:hAnsi="仿宋" w:eastAsia="仿宋_GB2312"/>
          <w:bCs/>
          <w:sz w:val="28"/>
          <w:szCs w:val="28"/>
        </w:rPr>
        <w:t>甲方</w:t>
      </w:r>
      <w:r>
        <w:rPr>
          <w:rFonts w:ascii="仿宋_GB2312" w:hAnsi="仿宋" w:eastAsia="仿宋_GB2312"/>
          <w:bCs/>
          <w:sz w:val="28"/>
          <w:szCs w:val="28"/>
        </w:rPr>
        <w:t>有权拒收</w:t>
      </w:r>
      <w:r>
        <w:rPr>
          <w:rFonts w:hint="eastAsia" w:ascii="仿宋_GB2312" w:hAnsi="仿宋" w:eastAsia="仿宋_GB2312"/>
          <w:bCs/>
          <w:sz w:val="28"/>
          <w:szCs w:val="28"/>
        </w:rPr>
        <w:t>产品</w:t>
      </w:r>
      <w:r>
        <w:rPr>
          <w:rFonts w:ascii="仿宋_GB2312" w:hAnsi="仿宋" w:eastAsia="仿宋_GB2312"/>
          <w:bCs/>
          <w:sz w:val="28"/>
          <w:szCs w:val="28"/>
        </w:rPr>
        <w:t>。</w:t>
      </w:r>
    </w:p>
    <w:p w14:paraId="75F35580">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（三）按合同要求提供产品或产品质量不能满足采购技术要求，乙方必须无条件更换产品，提高技术，完善质量，否则，甲方</w:t>
      </w:r>
      <w:r>
        <w:rPr>
          <w:rFonts w:ascii="仿宋_GB2312" w:hAnsi="仿宋" w:eastAsia="仿宋_GB2312"/>
          <w:bCs/>
          <w:sz w:val="28"/>
          <w:szCs w:val="28"/>
        </w:rPr>
        <w:t>会同监督机构、采购代理机构有权终止合同并对</w:t>
      </w:r>
      <w:r>
        <w:rPr>
          <w:rFonts w:hint="eastAsia" w:ascii="仿宋_GB2312" w:hAnsi="仿宋" w:eastAsia="仿宋_GB2312"/>
          <w:bCs/>
          <w:sz w:val="28"/>
          <w:szCs w:val="28"/>
        </w:rPr>
        <w:t>乙</w:t>
      </w:r>
      <w:r>
        <w:rPr>
          <w:rFonts w:ascii="仿宋_GB2312" w:hAnsi="仿宋" w:eastAsia="仿宋_GB2312"/>
          <w:bCs/>
          <w:sz w:val="28"/>
          <w:szCs w:val="28"/>
        </w:rPr>
        <w:t>方违约行为进行追究，同时按政府采购供应商管理办法进行相应的处罚。</w:t>
      </w:r>
    </w:p>
    <w:p w14:paraId="14760EE9">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（四）任何一方因不可抗力原因不能履行协议时，应尽快通知对方，双方均设法补偿。如仍无法履约协议，可协商延缓或撤销协议，双方责任免除。</w:t>
      </w:r>
    </w:p>
    <w:p w14:paraId="14B37AE8">
      <w:pPr>
        <w:autoSpaceDE w:val="0"/>
        <w:autoSpaceDN w:val="0"/>
        <w:adjustRightInd w:val="0"/>
        <w:snapToGrid w:val="0"/>
        <w:spacing w:line="360" w:lineRule="auto"/>
        <w:ind w:firstLine="562" w:firstLineChars="200"/>
        <w:rPr>
          <w:rFonts w:hint="eastAsia" w:ascii="仿宋_GB2312" w:hAnsi="仿宋" w:eastAsia="仿宋_GB2312"/>
          <w:bCs/>
          <w:sz w:val="28"/>
          <w:szCs w:val="28"/>
        </w:rPr>
      </w:pPr>
      <w:r>
        <w:rPr>
          <w:rFonts w:hint="eastAsia" w:ascii="仿宋_GB2312" w:hAnsi="仿宋" w:eastAsia="仿宋_GB2312"/>
          <w:b/>
          <w:bCs/>
          <w:sz w:val="28"/>
          <w:szCs w:val="28"/>
        </w:rPr>
        <w:t>十、合同争议解决的方式</w:t>
      </w:r>
    </w:p>
    <w:p w14:paraId="384E1C0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（一）本合同在履行过程中发生的争议，由甲、乙双方当事人协商解决，协商不成的按下列第</w:t>
      </w:r>
      <w:r>
        <w:rPr>
          <w:rFonts w:hint="eastAsia" w:ascii="仿宋_GB2312" w:hAnsi="仿宋" w:eastAsia="仿宋_GB2312"/>
          <w:bCs/>
          <w:sz w:val="28"/>
          <w:szCs w:val="28"/>
          <w:u w:val="single"/>
        </w:rPr>
        <w:t xml:space="preserve"> 2 </w:t>
      </w:r>
      <w:r>
        <w:rPr>
          <w:rFonts w:hint="eastAsia" w:ascii="仿宋_GB2312" w:hAnsi="仿宋" w:eastAsia="仿宋_GB2312"/>
          <w:bCs/>
          <w:sz w:val="28"/>
          <w:szCs w:val="28"/>
        </w:rPr>
        <w:t>种方式解决：</w:t>
      </w:r>
    </w:p>
    <w:p w14:paraId="38649976">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1</w:t>
      </w:r>
      <w:r>
        <w:rPr>
          <w:rFonts w:hint="eastAsia" w:ascii="仿宋_GB2312" w:hAnsi="仿宋" w:eastAsia="仿宋_GB2312"/>
          <w:bCs/>
          <w:sz w:val="28"/>
          <w:szCs w:val="28"/>
          <w:lang w:eastAsia="zh-CN"/>
        </w:rPr>
        <w:t>、</w:t>
      </w:r>
      <w:r>
        <w:rPr>
          <w:rFonts w:hint="eastAsia" w:ascii="仿宋_GB2312" w:hAnsi="仿宋" w:eastAsia="仿宋_GB2312"/>
          <w:bCs/>
          <w:sz w:val="28"/>
          <w:szCs w:val="28"/>
        </w:rPr>
        <w:t>提交西安市仲裁委员会仲裁；</w:t>
      </w:r>
    </w:p>
    <w:p w14:paraId="1F97A9AA">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2</w:t>
      </w:r>
      <w:r>
        <w:rPr>
          <w:rFonts w:hint="eastAsia" w:ascii="仿宋_GB2312" w:hAnsi="仿宋" w:eastAsia="仿宋_GB2312"/>
          <w:bCs/>
          <w:sz w:val="28"/>
          <w:szCs w:val="28"/>
          <w:lang w:eastAsia="zh-CN"/>
        </w:rPr>
        <w:t>、</w:t>
      </w:r>
      <w:r>
        <w:rPr>
          <w:rFonts w:hint="eastAsia" w:ascii="仿宋_GB2312" w:hAnsi="仿宋" w:eastAsia="仿宋_GB2312"/>
          <w:bCs/>
          <w:sz w:val="28"/>
          <w:szCs w:val="28"/>
        </w:rPr>
        <w:t>依法向甲方所在地人民法院起诉。</w:t>
      </w:r>
    </w:p>
    <w:p w14:paraId="7E006BDF">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（二）因质量问题发生的争议，由国家权威技术单位进行质量鉴定，该鉴定结论为最终结果，甲乙双方应当接受。</w:t>
      </w:r>
    </w:p>
    <w:p w14:paraId="1A3B496E">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rPr>
        <w:t>十</w:t>
      </w:r>
      <w:r>
        <w:rPr>
          <w:rFonts w:hint="eastAsia" w:ascii="仿宋_GB2312" w:hAnsi="仿宋" w:eastAsia="仿宋_GB2312"/>
          <w:b/>
          <w:bCs/>
          <w:sz w:val="28"/>
          <w:szCs w:val="28"/>
          <w:lang w:val="en-US" w:eastAsia="zh-CN"/>
        </w:rPr>
        <w:t>一</w:t>
      </w:r>
      <w:r>
        <w:rPr>
          <w:rFonts w:hint="eastAsia" w:ascii="仿宋_GB2312" w:hAnsi="仿宋" w:eastAsia="仿宋_GB2312"/>
          <w:b/>
          <w:bCs/>
          <w:sz w:val="28"/>
          <w:szCs w:val="28"/>
        </w:rPr>
        <w:t>、合同生效</w:t>
      </w:r>
    </w:p>
    <w:p w14:paraId="42251E8D">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（一）本合同须经甲、乙双方的法定代表人（授权代理人）在合同书上签字并加盖本单位公章后正式生效。</w:t>
      </w:r>
    </w:p>
    <w:p w14:paraId="214D828E">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（二）合同生效后，甲、乙双方须严格执行本合同条款的规定，全面履行合同，违者按《中华人民共和国民法典》的有关规定承担相应责任。</w:t>
      </w:r>
    </w:p>
    <w:p w14:paraId="13B3C894">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（三）本合同一式</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份，甲乙双方各执</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份。</w:t>
      </w:r>
    </w:p>
    <w:p w14:paraId="031EF79E">
      <w:pPr>
        <w:autoSpaceDE w:val="0"/>
        <w:autoSpaceDN w:val="0"/>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 w:eastAsia="仿宋_GB2312"/>
          <w:bCs/>
          <w:sz w:val="28"/>
          <w:szCs w:val="28"/>
        </w:rPr>
        <w:t>（四）本合同如有未尽事宜，甲、乙双方协商解决。</w:t>
      </w:r>
    </w:p>
    <w:p w14:paraId="5AC04E29">
      <w:pPr>
        <w:rPr>
          <w:rFonts w:hint="default"/>
          <w:lang w:val="en-US" w:eastAsia="zh-CN"/>
        </w:rPr>
      </w:pPr>
    </w:p>
    <w:p w14:paraId="325327C7">
      <w:pPr>
        <w:pStyle w:val="5"/>
        <w:rPr>
          <w:rFonts w:hint="default"/>
          <w:lang w:val="en-US" w:eastAsia="zh-CN"/>
        </w:rPr>
      </w:pPr>
    </w:p>
    <w:tbl>
      <w:tblPr>
        <w:tblStyle w:val="7"/>
        <w:tblW w:w="0" w:type="auto"/>
        <w:jc w:val="center"/>
        <w:tblLayout w:type="fixed"/>
        <w:tblCellMar>
          <w:top w:w="0" w:type="dxa"/>
          <w:left w:w="108" w:type="dxa"/>
          <w:bottom w:w="0" w:type="dxa"/>
          <w:right w:w="108" w:type="dxa"/>
        </w:tblCellMar>
      </w:tblPr>
      <w:tblGrid>
        <w:gridCol w:w="4201"/>
        <w:gridCol w:w="4202"/>
      </w:tblGrid>
      <w:tr w14:paraId="15B66534">
        <w:tblPrEx>
          <w:tblCellMar>
            <w:top w:w="0" w:type="dxa"/>
            <w:left w:w="108" w:type="dxa"/>
            <w:bottom w:w="0" w:type="dxa"/>
            <w:right w:w="108" w:type="dxa"/>
          </w:tblCellMar>
        </w:tblPrEx>
        <w:trPr>
          <w:trHeight w:val="564" w:hRule="exact"/>
          <w:jc w:val="center"/>
        </w:trPr>
        <w:tc>
          <w:tcPr>
            <w:tcW w:w="4201" w:type="dxa"/>
            <w:noWrap w:val="0"/>
            <w:vAlign w:val="center"/>
          </w:tcPr>
          <w:p w14:paraId="25EF276D">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甲  方</w:t>
            </w:r>
          </w:p>
        </w:tc>
        <w:tc>
          <w:tcPr>
            <w:tcW w:w="4202" w:type="dxa"/>
            <w:noWrap w:val="0"/>
            <w:vAlign w:val="center"/>
          </w:tcPr>
          <w:p w14:paraId="26E60690">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乙  方</w:t>
            </w:r>
          </w:p>
        </w:tc>
      </w:tr>
      <w:tr w14:paraId="0DB0EC94">
        <w:tblPrEx>
          <w:tblCellMar>
            <w:top w:w="0" w:type="dxa"/>
            <w:left w:w="108" w:type="dxa"/>
            <w:bottom w:w="0" w:type="dxa"/>
            <w:right w:w="108" w:type="dxa"/>
          </w:tblCellMar>
        </w:tblPrEx>
        <w:trPr>
          <w:trHeight w:val="550" w:hRule="exact"/>
          <w:jc w:val="center"/>
        </w:trPr>
        <w:tc>
          <w:tcPr>
            <w:tcW w:w="4201" w:type="dxa"/>
            <w:noWrap w:val="0"/>
            <w:vAlign w:val="center"/>
          </w:tcPr>
          <w:p w14:paraId="7B47EDBF">
            <w:pPr>
              <w:autoSpaceDE w:val="0"/>
              <w:autoSpaceDN w:val="0"/>
              <w:adjustRightInd w:val="0"/>
              <w:jc w:val="right"/>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c>
          <w:tcPr>
            <w:tcW w:w="4202" w:type="dxa"/>
            <w:noWrap w:val="0"/>
            <w:vAlign w:val="center"/>
          </w:tcPr>
          <w:p w14:paraId="6744793F">
            <w:pPr>
              <w:autoSpaceDE w:val="0"/>
              <w:autoSpaceDN w:val="0"/>
              <w:adjustRightInd w:val="0"/>
              <w:ind w:firstLine="960" w:firstLineChars="4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r>
      <w:tr w14:paraId="1B6B0DF1">
        <w:tblPrEx>
          <w:tblCellMar>
            <w:top w:w="0" w:type="dxa"/>
            <w:left w:w="108" w:type="dxa"/>
            <w:bottom w:w="0" w:type="dxa"/>
            <w:right w:w="108" w:type="dxa"/>
          </w:tblCellMar>
        </w:tblPrEx>
        <w:trPr>
          <w:trHeight w:val="550" w:hRule="exact"/>
          <w:jc w:val="center"/>
        </w:trPr>
        <w:tc>
          <w:tcPr>
            <w:tcW w:w="4201" w:type="dxa"/>
            <w:noWrap w:val="0"/>
            <w:vAlign w:val="center"/>
          </w:tcPr>
          <w:p w14:paraId="5262B3D2">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地址： </w:t>
            </w:r>
          </w:p>
        </w:tc>
        <w:tc>
          <w:tcPr>
            <w:tcW w:w="4202" w:type="dxa"/>
            <w:noWrap w:val="0"/>
            <w:vAlign w:val="center"/>
          </w:tcPr>
          <w:p w14:paraId="6D5DA718">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地址：</w:t>
            </w:r>
          </w:p>
        </w:tc>
      </w:tr>
      <w:tr w14:paraId="58E599A3">
        <w:tblPrEx>
          <w:tblCellMar>
            <w:top w:w="0" w:type="dxa"/>
            <w:left w:w="108" w:type="dxa"/>
            <w:bottom w:w="0" w:type="dxa"/>
            <w:right w:w="108" w:type="dxa"/>
          </w:tblCellMar>
        </w:tblPrEx>
        <w:trPr>
          <w:trHeight w:val="579" w:hRule="exact"/>
          <w:jc w:val="center"/>
        </w:trPr>
        <w:tc>
          <w:tcPr>
            <w:tcW w:w="4201" w:type="dxa"/>
            <w:noWrap w:val="0"/>
            <w:vAlign w:val="center"/>
          </w:tcPr>
          <w:p w14:paraId="3D5EEF5C">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邮编：</w:t>
            </w:r>
          </w:p>
        </w:tc>
        <w:tc>
          <w:tcPr>
            <w:tcW w:w="4202" w:type="dxa"/>
            <w:noWrap w:val="0"/>
            <w:vAlign w:val="center"/>
          </w:tcPr>
          <w:p w14:paraId="6AA5548C">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邮编：</w:t>
            </w:r>
          </w:p>
        </w:tc>
      </w:tr>
      <w:tr w14:paraId="43075008">
        <w:tblPrEx>
          <w:tblCellMar>
            <w:top w:w="0" w:type="dxa"/>
            <w:left w:w="108" w:type="dxa"/>
            <w:bottom w:w="0" w:type="dxa"/>
            <w:right w:w="108" w:type="dxa"/>
          </w:tblCellMar>
        </w:tblPrEx>
        <w:trPr>
          <w:trHeight w:val="622" w:hRule="exact"/>
          <w:jc w:val="center"/>
        </w:trPr>
        <w:tc>
          <w:tcPr>
            <w:tcW w:w="4201" w:type="dxa"/>
            <w:noWrap w:val="0"/>
            <w:vAlign w:val="center"/>
          </w:tcPr>
          <w:p w14:paraId="74E3E74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法定代表人： </w:t>
            </w:r>
          </w:p>
        </w:tc>
        <w:tc>
          <w:tcPr>
            <w:tcW w:w="4202" w:type="dxa"/>
            <w:noWrap w:val="0"/>
            <w:vAlign w:val="center"/>
          </w:tcPr>
          <w:p w14:paraId="06000618">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法定代表人：</w:t>
            </w:r>
          </w:p>
        </w:tc>
      </w:tr>
      <w:tr w14:paraId="38D8AB59">
        <w:tblPrEx>
          <w:tblCellMar>
            <w:top w:w="0" w:type="dxa"/>
            <w:left w:w="108" w:type="dxa"/>
            <w:bottom w:w="0" w:type="dxa"/>
            <w:right w:w="108" w:type="dxa"/>
          </w:tblCellMar>
        </w:tblPrEx>
        <w:trPr>
          <w:trHeight w:val="593" w:hRule="exact"/>
          <w:jc w:val="center"/>
        </w:trPr>
        <w:tc>
          <w:tcPr>
            <w:tcW w:w="4201" w:type="dxa"/>
            <w:noWrap w:val="0"/>
            <w:vAlign w:val="center"/>
          </w:tcPr>
          <w:p w14:paraId="1A610CD2">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被授权代表：</w:t>
            </w:r>
          </w:p>
        </w:tc>
        <w:tc>
          <w:tcPr>
            <w:tcW w:w="4202" w:type="dxa"/>
            <w:noWrap w:val="0"/>
            <w:vAlign w:val="center"/>
          </w:tcPr>
          <w:p w14:paraId="550229E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被授权代表：</w:t>
            </w:r>
          </w:p>
        </w:tc>
      </w:tr>
      <w:tr w14:paraId="48875FE1">
        <w:tblPrEx>
          <w:tblCellMar>
            <w:top w:w="0" w:type="dxa"/>
            <w:left w:w="108" w:type="dxa"/>
            <w:bottom w:w="0" w:type="dxa"/>
            <w:right w:w="108" w:type="dxa"/>
          </w:tblCellMar>
        </w:tblPrEx>
        <w:trPr>
          <w:trHeight w:val="578" w:hRule="exact"/>
          <w:jc w:val="center"/>
        </w:trPr>
        <w:tc>
          <w:tcPr>
            <w:tcW w:w="4201" w:type="dxa"/>
            <w:noWrap w:val="0"/>
            <w:vAlign w:val="center"/>
          </w:tcPr>
          <w:p w14:paraId="6EB4E4B0">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c>
          <w:tcPr>
            <w:tcW w:w="4202" w:type="dxa"/>
            <w:noWrap w:val="0"/>
            <w:vAlign w:val="center"/>
          </w:tcPr>
          <w:p w14:paraId="0651BE80">
            <w:pPr>
              <w:autoSpaceDE w:val="0"/>
              <w:autoSpaceDN w:val="0"/>
              <w:adjustRightInd w:val="0"/>
              <w:ind w:left="840" w:hanging="720" w:hangingChars="3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r>
      <w:tr w14:paraId="7B01C03A">
        <w:tblPrEx>
          <w:tblCellMar>
            <w:top w:w="0" w:type="dxa"/>
            <w:left w:w="108" w:type="dxa"/>
            <w:bottom w:w="0" w:type="dxa"/>
            <w:right w:w="108" w:type="dxa"/>
          </w:tblCellMar>
        </w:tblPrEx>
        <w:trPr>
          <w:trHeight w:val="578" w:hRule="exact"/>
          <w:jc w:val="center"/>
        </w:trPr>
        <w:tc>
          <w:tcPr>
            <w:tcW w:w="4201" w:type="dxa"/>
            <w:noWrap w:val="0"/>
            <w:vAlign w:val="center"/>
          </w:tcPr>
          <w:p w14:paraId="3B7F0D6A">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c>
          <w:tcPr>
            <w:tcW w:w="4202" w:type="dxa"/>
            <w:noWrap w:val="0"/>
            <w:vAlign w:val="center"/>
          </w:tcPr>
          <w:p w14:paraId="5F2AEC41">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r>
      <w:tr w14:paraId="75051210">
        <w:tblPrEx>
          <w:tblCellMar>
            <w:top w:w="0" w:type="dxa"/>
            <w:left w:w="108" w:type="dxa"/>
            <w:bottom w:w="0" w:type="dxa"/>
            <w:right w:w="108" w:type="dxa"/>
          </w:tblCellMar>
        </w:tblPrEx>
        <w:trPr>
          <w:trHeight w:val="607" w:hRule="exact"/>
          <w:jc w:val="center"/>
        </w:trPr>
        <w:tc>
          <w:tcPr>
            <w:tcW w:w="4201" w:type="dxa"/>
            <w:noWrap w:val="0"/>
            <w:vAlign w:val="center"/>
          </w:tcPr>
          <w:p w14:paraId="3CB454B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c>
          <w:tcPr>
            <w:tcW w:w="4202" w:type="dxa"/>
            <w:noWrap w:val="0"/>
            <w:vAlign w:val="center"/>
          </w:tcPr>
          <w:p w14:paraId="6EAE380B">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r>
      <w:tr w14:paraId="70FBB612">
        <w:tblPrEx>
          <w:tblCellMar>
            <w:top w:w="0" w:type="dxa"/>
            <w:left w:w="108" w:type="dxa"/>
            <w:bottom w:w="0" w:type="dxa"/>
            <w:right w:w="108" w:type="dxa"/>
          </w:tblCellMar>
        </w:tblPrEx>
        <w:trPr>
          <w:trHeight w:val="594" w:hRule="exact"/>
          <w:jc w:val="center"/>
        </w:trPr>
        <w:tc>
          <w:tcPr>
            <w:tcW w:w="4201" w:type="dxa"/>
            <w:noWrap w:val="0"/>
            <w:vAlign w:val="center"/>
          </w:tcPr>
          <w:p w14:paraId="5ECE346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c>
          <w:tcPr>
            <w:tcW w:w="4202" w:type="dxa"/>
            <w:noWrap w:val="0"/>
            <w:vAlign w:val="center"/>
          </w:tcPr>
          <w:p w14:paraId="66A9B5BD">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r>
    </w:tbl>
    <w:p w14:paraId="28DBB9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47E2BDC"/>
    <w:rsid w:val="2DB155D6"/>
    <w:rsid w:val="305425A9"/>
    <w:rsid w:val="4D6132AA"/>
    <w:rsid w:val="4E0B7D9B"/>
    <w:rsid w:val="59C3741A"/>
    <w:rsid w:val="7312139A"/>
    <w:rsid w:val="7B864284"/>
    <w:rsid w:val="7B987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9"/>
    <w:qFormat/>
    <w:uiPriority w:val="0"/>
    <w:pPr>
      <w:keepNext/>
      <w:widowControl w:val="0"/>
      <w:jc w:val="center"/>
      <w:outlineLvl w:val="0"/>
    </w:pPr>
    <w:rPr>
      <w:rFonts w:ascii="黑体" w:eastAsia="黑体"/>
      <w:sz w:val="28"/>
    </w:rPr>
  </w:style>
  <w:style w:type="paragraph" w:styleId="5">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line="360" w:lineRule="auto"/>
      <w:ind w:firstLine="420"/>
    </w:pPr>
    <w:rPr>
      <w:rFonts w:ascii="宋体" w:hAnsi="宋体" w:eastAsia="宋体" w:cs="Times New Roman"/>
      <w:sz w:val="24"/>
    </w:rPr>
  </w:style>
  <w:style w:type="paragraph" w:styleId="3">
    <w:name w:val="Body Text"/>
    <w:basedOn w:val="1"/>
    <w:next w:val="1"/>
    <w:qFormat/>
    <w:uiPriority w:val="0"/>
    <w:pPr>
      <w:jc w:val="center"/>
    </w:pPr>
  </w:style>
  <w:style w:type="character" w:customStyle="1" w:styleId="9">
    <w:name w:val="标题 1 Char"/>
    <w:link w:val="4"/>
    <w:qFormat/>
    <w:uiPriority w:val="0"/>
    <w:rPr>
      <w:rFonts w:ascii="黑体" w:eastAsia="黑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2315</Words>
  <Characters>2360</Characters>
  <Lines>0</Lines>
  <Paragraphs>0</Paragraphs>
  <TotalTime>0</TotalTime>
  <ScaleCrop>false</ScaleCrop>
  <LinksUpToDate>false</LinksUpToDate>
  <CharactersWithSpaces>2431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你很Nice</cp:lastModifiedBy>
  <dcterms:modified xsi:type="dcterms:W3CDTF">2025-12-18T07:20:31Z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CCA0DA9B6E544FC8925BC1D00647E8A9_12</vt:lpwstr>
  </property>
  <property fmtid="{D5CDD505-2E9C-101B-9397-08002B2CF9AE}" pid="4" name="KSOTemplateDocerSaveRecord">
    <vt:lpwstr>eyJoZGlkIjoiNDIyYWZkYjQ4ZjczMThkNjgzYjBiZGFjYWI0ZDQ3NmQiLCJ1c2VySWQiOiIyMDUzODMxNjAifQ==</vt:lpwstr>
  </property>
</Properties>
</file>