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版本号：JHBZ2025-1209--04820251218001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后勤服务外包采购项目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JHBZ2025-1209--048</w:t>
      </w:r>
      <w:r>
        <w:br/>
      </w:r>
      <w:r>
        <w:br/>
      </w:r>
      <w:r>
        <w:br/>
      </w:r>
    </w:p>
    <w:p>
      <w:pPr>
        <w:pStyle w:val="null3"/>
        <w:jc w:val="center"/>
        <w:outlineLvl w:val="2"/>
      </w:pPr>
      <w:r>
        <w:rPr>
          <w:rFonts w:ascii="仿宋_GB2312" w:hAnsi="仿宋_GB2312" w:cs="仿宋_GB2312" w:eastAsia="仿宋_GB2312"/>
          <w:sz w:val="28"/>
          <w:b/>
        </w:rPr>
        <w:t>西安高新区第二十二幼儿园</w:t>
      </w:r>
    </w:p>
    <w:p>
      <w:pPr>
        <w:pStyle w:val="null3"/>
        <w:jc w:val="center"/>
        <w:outlineLvl w:val="2"/>
      </w:pPr>
      <w:r>
        <w:rPr>
          <w:rFonts w:ascii="仿宋_GB2312" w:hAnsi="仿宋_GB2312" w:cs="仿宋_GB2312" w:eastAsia="仿宋_GB2312"/>
          <w:sz w:val="28"/>
          <w:b/>
        </w:rPr>
        <w:t>陕西建汇秉泽项目管理咨询有限公司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陕西建汇秉泽项目管理咨询有限公司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西安高新区第二十二幼儿园</w:t>
      </w:r>
      <w:r>
        <w:rPr>
          <w:rFonts w:ascii="仿宋_GB2312" w:hAnsi="仿宋_GB2312" w:cs="仿宋_GB2312" w:eastAsia="仿宋_GB2312"/>
        </w:rPr>
        <w:t>委托，拟对</w:t>
      </w:r>
      <w:r>
        <w:rPr>
          <w:rFonts w:ascii="仿宋_GB2312" w:hAnsi="仿宋_GB2312" w:cs="仿宋_GB2312" w:eastAsia="仿宋_GB2312"/>
        </w:rPr>
        <w:t>后勤服务外包采购项目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JHBZ2025-1209--048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后勤服务外包采购项目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西安高新区第二十二幼儿园后勤服务外包采购项目，需保障教学、科研及师生日常生活的后勤服务需求。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采购包1（西安高新区第二十二幼儿园后勤服务外包采购项目）：属于专门面向中小企业采购。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法定代表人直接参加磋商的，须出具法定代表人身份证明；法定代表人授权委托代理人参加磋商的，须出具法定代表人授权书（附法定代表人、被授权委托代理人身份证复印件或扫描件）及被授权委托代理人自响应文件提交截止日前六个月内任意一个月在本单位的社保缴纳证明。</w:t>
      </w:r>
    </w:p>
    <w:p>
      <w:pPr>
        <w:pStyle w:val="null3"/>
      </w:pPr>
      <w:r>
        <w:rPr>
          <w:rFonts w:ascii="仿宋_GB2312" w:hAnsi="仿宋_GB2312" w:cs="仿宋_GB2312" w:eastAsia="仿宋_GB2312"/>
        </w:rPr>
        <w:t>2、信用记录：供应商未被“信用中国”网站（www.creditchina.gov.cn）列入“失信被执行人”和“重大税收违法案件当事人名单”，未被“中国政府采购网”（www.ccgp.gov.cn）列入“政府采购严重违法失信行为记录名单”；（响应文件解密完成后查询相关信用记录，对列入失信被执行人、重大税收违法案件当事人名单、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西安高新区第二十二幼儿园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西安高新区纬二十六路与规划十三路西南角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西安高新区第二十二幼儿园经办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19522479596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陕西建汇秉泽项目管理咨询有限公司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陕西省西安市高新区都市之门C座1单元10层1001室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029-89526151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西安高新技术产业开发区财政金融局综合监督部</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1、成交供应商在领取成交通知书前，由成交人向采购代理机构一次性支付固定收费6000.00元采购代理服务费。 2、采购代理服务费以转账或现金形式缴纳至以下账户：开户名称：陕西建汇秉泽项目管理咨询有限公司 开户银行：中信银行股份有限公司西安锦都花园支行 账 号：8111701012500507641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西安高新区第二十二幼儿园</w:t>
      </w:r>
      <w:r>
        <w:rPr>
          <w:rFonts w:ascii="仿宋_GB2312" w:hAnsi="仿宋_GB2312" w:cs="仿宋_GB2312" w:eastAsia="仿宋_GB2312"/>
        </w:rPr>
        <w:t>和</w:t>
      </w:r>
      <w:r>
        <w:rPr>
          <w:rFonts w:ascii="仿宋_GB2312" w:hAnsi="仿宋_GB2312" w:cs="仿宋_GB2312" w:eastAsia="仿宋_GB2312"/>
        </w:rPr>
        <w:t>陕西建汇秉泽项目管理咨询有限公司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西安高新区第二十二幼儿园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陕西建汇秉泽项目管理咨询有限公司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西安高新区第二十二幼儿园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陕西建汇秉泽项目管理咨询有限公司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陕西建汇秉泽项目管理咨询有限公司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陕西建汇秉泽项目管理咨询有限公司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陕西建汇秉泽项目管理咨询有限公司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联系人：翁工</w:t>
      </w:r>
    </w:p>
    <w:p>
      <w:pPr>
        <w:pStyle w:val="null3"/>
      </w:pPr>
      <w:r>
        <w:rPr>
          <w:rFonts w:ascii="仿宋_GB2312" w:hAnsi="仿宋_GB2312" w:cs="仿宋_GB2312" w:eastAsia="仿宋_GB2312"/>
        </w:rPr>
        <w:t>联系电话：029-89526151</w:t>
      </w:r>
    </w:p>
    <w:p>
      <w:pPr>
        <w:pStyle w:val="null3"/>
      </w:pPr>
      <w:r>
        <w:rPr>
          <w:rFonts w:ascii="仿宋_GB2312" w:hAnsi="仿宋_GB2312" w:cs="仿宋_GB2312" w:eastAsia="仿宋_GB2312"/>
        </w:rPr>
        <w:t>地址：陕西省西安市高新区都市之门C座1单元10层1001室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0"/>
          <w:color w:val="0000FF"/>
          <w:shd w:fill="FFFFFF" w:val="clear"/>
        </w:rPr>
        <w:t>项目规模及内容：幼儿园位于西安高新区纬二十六路与规划十三路西南角，幼儿园占地</w:t>
      </w:r>
      <w:r>
        <w:rPr>
          <w:rFonts w:ascii="仿宋_GB2312" w:hAnsi="仿宋_GB2312" w:cs="仿宋_GB2312" w:eastAsia="仿宋_GB2312"/>
          <w:sz w:val="20"/>
          <w:color w:val="0000FF"/>
          <w:shd w:fill="FFFFFF" w:val="clear"/>
        </w:rPr>
        <w:t>11377平方米，建筑面积14530平方米，现在园师幼550余人</w:t>
      </w:r>
      <w:r>
        <w:rPr>
          <w:rFonts w:ascii="仿宋_GB2312" w:hAnsi="仿宋_GB2312" w:cs="仿宋_GB2312" w:eastAsia="仿宋_GB2312"/>
          <w:sz w:val="20"/>
          <w:color w:val="0000FF"/>
          <w:shd w:fill="FFFFFF" w:val="clear"/>
        </w:rPr>
        <w:t>。西安高新区第二十二幼儿园后勤服务外包采购项目</w:t>
      </w:r>
      <w:r>
        <w:rPr>
          <w:rFonts w:ascii="仿宋_GB2312" w:hAnsi="仿宋_GB2312" w:cs="仿宋_GB2312" w:eastAsia="仿宋_GB2312"/>
          <w:sz w:val="20"/>
          <w:color w:val="0000FF"/>
          <w:shd w:fill="FFFFFF" w:val="clear"/>
        </w:rPr>
        <w:t>，需保障教学、科研及师生日常生活的后勤服务需求。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546,000.00</w:t>
      </w:r>
    </w:p>
    <w:p>
      <w:pPr>
        <w:pStyle w:val="null3"/>
      </w:pPr>
      <w:r>
        <w:rPr>
          <w:rFonts w:ascii="仿宋_GB2312" w:hAnsi="仿宋_GB2312" w:cs="仿宋_GB2312" w:eastAsia="仿宋_GB2312"/>
        </w:rPr>
        <w:t>采购包最高限价（元）: 546,000.00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西安高新区第二十二幼儿园后勤服务外包采购项目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标的名称：西安高新区第二十二幼儿园后勤服务外包采购项目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color w:val="0000FF"/>
              </w:rPr>
              <w:t>一、项目概况</w:t>
            </w:r>
          </w:p>
          <w:p>
            <w:pPr>
              <w:pStyle w:val="null3"/>
            </w:pPr>
            <w:r>
              <w:rPr>
                <w:rFonts w:ascii="仿宋_GB2312" w:hAnsi="仿宋_GB2312" w:cs="仿宋_GB2312" w:eastAsia="仿宋_GB2312"/>
                <w:sz w:val="20"/>
                <w:color w:val="0000FF"/>
              </w:rPr>
              <w:t>西安高新区第二十二幼儿园</w:t>
            </w:r>
            <w:r>
              <w:rPr>
                <w:rFonts w:ascii="仿宋_GB2312" w:hAnsi="仿宋_GB2312" w:cs="仿宋_GB2312" w:eastAsia="仿宋_GB2312"/>
                <w:sz w:val="20"/>
                <w:color w:val="0000FF"/>
              </w:rPr>
              <w:t>位于西安高新区纬二十六路与规划十三路西南角，幼儿园占地</w:t>
            </w:r>
            <w:r>
              <w:rPr>
                <w:rFonts w:ascii="仿宋_GB2312" w:hAnsi="仿宋_GB2312" w:cs="仿宋_GB2312" w:eastAsia="仿宋_GB2312"/>
                <w:sz w:val="20"/>
                <w:color w:val="0000FF"/>
              </w:rPr>
              <w:t>11377平方米，建筑面积14530平方米，现在园师幼550余人</w:t>
            </w:r>
            <w:r>
              <w:rPr>
                <w:rFonts w:ascii="仿宋_GB2312" w:hAnsi="仿宋_GB2312" w:cs="仿宋_GB2312" w:eastAsia="仿宋_GB2312"/>
                <w:sz w:val="20"/>
                <w:color w:val="0000FF"/>
              </w:rPr>
              <w:t>。需保障教学、科研及师生日常生活的后勤服务需求。</w:t>
            </w:r>
          </w:p>
          <w:p>
            <w:pPr>
              <w:pStyle w:val="null3"/>
            </w:pPr>
            <w:r>
              <w:rPr>
                <w:rFonts w:ascii="仿宋_GB2312" w:hAnsi="仿宋_GB2312" w:cs="仿宋_GB2312" w:eastAsia="仿宋_GB2312"/>
                <w:sz w:val="21"/>
                <w:b/>
                <w:color w:val="0000FF"/>
              </w:rPr>
              <w:t>二、</w:t>
            </w:r>
            <w:r>
              <w:rPr>
                <w:rFonts w:ascii="仿宋_GB2312" w:hAnsi="仿宋_GB2312" w:cs="仿宋_GB2312" w:eastAsia="仿宋_GB2312"/>
                <w:sz w:val="21"/>
                <w:b/>
                <w:color w:val="0000FF"/>
              </w:rPr>
              <w:t>服务内容及标准</w:t>
            </w:r>
          </w:p>
          <w:p>
            <w:pPr>
              <w:pStyle w:val="null3"/>
              <w:jc w:val="both"/>
            </w:pPr>
            <w:r>
              <w:rPr>
                <w:rFonts w:ascii="仿宋_GB2312" w:hAnsi="仿宋_GB2312" w:cs="仿宋_GB2312" w:eastAsia="仿宋_GB2312"/>
                <w:color w:val="0000FF"/>
              </w:rPr>
              <w:t>服务范围：保洁服务，安保服务，水电维修。</w:t>
            </w:r>
          </w:p>
          <w:p>
            <w:pPr>
              <w:pStyle w:val="null3"/>
              <w:jc w:val="both"/>
            </w:pPr>
            <w:r>
              <w:rPr>
                <w:rFonts w:ascii="仿宋_GB2312" w:hAnsi="仿宋_GB2312" w:cs="仿宋_GB2312" w:eastAsia="仿宋_GB2312"/>
                <w:color w:val="0000FF"/>
              </w:rPr>
              <w:t>服务人数：</w:t>
            </w:r>
            <w:r>
              <w:rPr>
                <w:rFonts w:ascii="仿宋_GB2312" w:hAnsi="仿宋_GB2312" w:cs="仿宋_GB2312" w:eastAsia="仿宋_GB2312"/>
                <w:color w:val="0000FF"/>
              </w:rPr>
              <w:t>13人。</w:t>
            </w:r>
          </w:p>
          <w:p>
            <w:pPr>
              <w:pStyle w:val="null3"/>
              <w:jc w:val="both"/>
            </w:pPr>
            <w:r>
              <w:rPr>
                <w:rFonts w:ascii="仿宋_GB2312" w:hAnsi="仿宋_GB2312" w:cs="仿宋_GB2312" w:eastAsia="仿宋_GB2312"/>
                <w:color w:val="0000FF"/>
              </w:rPr>
              <w:t>（一）</w:t>
            </w:r>
            <w:r>
              <w:rPr>
                <w:rFonts w:ascii="仿宋_GB2312" w:hAnsi="仿宋_GB2312" w:cs="仿宋_GB2312" w:eastAsia="仿宋_GB2312"/>
                <w:color w:val="0000FF"/>
              </w:rPr>
              <w:t>保洁服务</w:t>
            </w:r>
          </w:p>
          <w:p>
            <w:pPr>
              <w:pStyle w:val="null3"/>
              <w:jc w:val="both"/>
            </w:pPr>
            <w:r>
              <w:rPr>
                <w:rFonts w:ascii="仿宋_GB2312" w:hAnsi="仿宋_GB2312" w:cs="仿宋_GB2312" w:eastAsia="仿宋_GB2312"/>
                <w:color w:val="0000FF"/>
              </w:rPr>
              <w:t>1.</w:t>
            </w:r>
            <w:r>
              <w:rPr>
                <w:rFonts w:ascii="仿宋_GB2312" w:hAnsi="仿宋_GB2312" w:cs="仿宋_GB2312" w:eastAsia="仿宋_GB2312"/>
                <w:color w:val="0000FF"/>
              </w:rPr>
              <w:t>服务区域</w:t>
            </w:r>
          </w:p>
          <w:p>
            <w:pPr>
              <w:pStyle w:val="null3"/>
              <w:jc w:val="both"/>
            </w:pPr>
            <w:r>
              <w:rPr>
                <w:rFonts w:ascii="仿宋_GB2312" w:hAnsi="仿宋_GB2312" w:cs="仿宋_GB2312" w:eastAsia="仿宋_GB2312"/>
                <w:color w:val="0000FF"/>
              </w:rPr>
              <w:t>室外</w:t>
            </w:r>
            <w:r>
              <w:rPr>
                <w:rFonts w:ascii="仿宋_GB2312" w:hAnsi="仿宋_GB2312" w:cs="仿宋_GB2312" w:eastAsia="仿宋_GB2312"/>
                <w:color w:val="0000FF"/>
              </w:rPr>
              <w:t>:</w:t>
            </w:r>
            <w:r>
              <w:rPr>
                <w:rFonts w:ascii="仿宋_GB2312" w:hAnsi="仿宋_GB2312" w:cs="仿宋_GB2312" w:eastAsia="仿宋_GB2312"/>
                <w:color w:val="0000FF"/>
              </w:rPr>
              <w:t>校园</w:t>
            </w:r>
            <w:r>
              <w:rPr>
                <w:rFonts w:ascii="仿宋_GB2312" w:hAnsi="仿宋_GB2312" w:cs="仿宋_GB2312" w:eastAsia="仿宋_GB2312"/>
                <w:color w:val="0000FF"/>
              </w:rPr>
              <w:t>环境、操场、公共区域、各种辅助设施的清洁及日常保洁。</w:t>
            </w:r>
          </w:p>
          <w:p>
            <w:pPr>
              <w:pStyle w:val="null3"/>
              <w:jc w:val="both"/>
            </w:pPr>
            <w:r>
              <w:rPr>
                <w:rFonts w:ascii="仿宋_GB2312" w:hAnsi="仿宋_GB2312" w:cs="仿宋_GB2312" w:eastAsia="仿宋_GB2312"/>
                <w:color w:val="0000FF"/>
              </w:rPr>
              <w:t>室内</w:t>
            </w:r>
            <w:r>
              <w:rPr>
                <w:rFonts w:ascii="仿宋_GB2312" w:hAnsi="仿宋_GB2312" w:cs="仿宋_GB2312" w:eastAsia="仿宋_GB2312"/>
                <w:color w:val="0000FF"/>
              </w:rPr>
              <w:t>:教学楼及</w:t>
            </w:r>
            <w:r>
              <w:rPr>
                <w:rFonts w:ascii="仿宋_GB2312" w:hAnsi="仿宋_GB2312" w:cs="仿宋_GB2312" w:eastAsia="仿宋_GB2312"/>
                <w:color w:val="0000FF"/>
              </w:rPr>
              <w:t>园</w:t>
            </w:r>
            <w:r>
              <w:rPr>
                <w:rFonts w:ascii="仿宋_GB2312" w:hAnsi="仿宋_GB2312" w:cs="仿宋_GB2312" w:eastAsia="仿宋_GB2312"/>
                <w:color w:val="0000FF"/>
              </w:rPr>
              <w:t>内公共区域的保洁工作。</w:t>
            </w:r>
          </w:p>
          <w:p>
            <w:pPr>
              <w:pStyle w:val="null3"/>
              <w:jc w:val="both"/>
            </w:pPr>
            <w:r>
              <w:rPr>
                <w:rFonts w:ascii="仿宋_GB2312" w:hAnsi="仿宋_GB2312" w:cs="仿宋_GB2312" w:eastAsia="仿宋_GB2312"/>
                <w:color w:val="0000FF"/>
              </w:rPr>
              <w:t>其他</w:t>
            </w:r>
            <w:r>
              <w:rPr>
                <w:rFonts w:ascii="仿宋_GB2312" w:hAnsi="仿宋_GB2312" w:cs="仿宋_GB2312" w:eastAsia="仿宋_GB2312"/>
                <w:color w:val="0000FF"/>
              </w:rPr>
              <w:t>:办公区垃圾、卫生间垃圾转运至垃圾</w:t>
            </w:r>
            <w:r>
              <w:rPr>
                <w:rFonts w:ascii="仿宋_GB2312" w:hAnsi="仿宋_GB2312" w:cs="仿宋_GB2312" w:eastAsia="仿宋_GB2312"/>
                <w:color w:val="0000FF"/>
              </w:rPr>
              <w:t>房</w:t>
            </w:r>
            <w:r>
              <w:rPr>
                <w:rFonts w:ascii="仿宋_GB2312" w:hAnsi="仿宋_GB2312" w:cs="仿宋_GB2312" w:eastAsia="仿宋_GB2312"/>
                <w:color w:val="0000FF"/>
              </w:rPr>
              <w:t>，</w:t>
            </w:r>
            <w:r>
              <w:rPr>
                <w:rFonts w:ascii="仿宋_GB2312" w:hAnsi="仿宋_GB2312" w:cs="仿宋_GB2312" w:eastAsia="仿宋_GB2312"/>
                <w:color w:val="0000FF"/>
              </w:rPr>
              <w:t>清洁垃圾桶及垃圾房卫生</w:t>
            </w:r>
            <w:r>
              <w:rPr>
                <w:rFonts w:ascii="仿宋_GB2312" w:hAnsi="仿宋_GB2312" w:cs="仿宋_GB2312" w:eastAsia="仿宋_GB2312"/>
                <w:color w:val="0000FF"/>
              </w:rPr>
              <w:t>。</w:t>
            </w:r>
          </w:p>
          <w:p>
            <w:pPr>
              <w:pStyle w:val="null3"/>
              <w:jc w:val="both"/>
            </w:pPr>
            <w:r>
              <w:rPr>
                <w:rFonts w:ascii="仿宋_GB2312" w:hAnsi="仿宋_GB2312" w:cs="仿宋_GB2312" w:eastAsia="仿宋_GB2312"/>
                <w:color w:val="0000FF"/>
              </w:rPr>
              <w:t>2.</w:t>
            </w:r>
            <w:r>
              <w:rPr>
                <w:rFonts w:ascii="仿宋_GB2312" w:hAnsi="仿宋_GB2312" w:cs="仿宋_GB2312" w:eastAsia="仿宋_GB2312"/>
                <w:color w:val="0000FF"/>
              </w:rPr>
              <w:t>服务标准</w:t>
            </w:r>
            <w:r>
              <w:rPr>
                <w:rFonts w:ascii="仿宋_GB2312" w:hAnsi="仿宋_GB2312" w:cs="仿宋_GB2312" w:eastAsia="仿宋_GB2312"/>
                <w:color w:val="0000FF"/>
              </w:rPr>
              <w:t>:</w:t>
            </w:r>
          </w:p>
          <w:p>
            <w:pPr>
              <w:pStyle w:val="null3"/>
              <w:jc w:val="both"/>
            </w:pPr>
            <w:r>
              <w:rPr>
                <w:rFonts w:ascii="仿宋_GB2312" w:hAnsi="仿宋_GB2312" w:cs="仿宋_GB2312" w:eastAsia="仿宋_GB2312"/>
                <w:color w:val="0000FF"/>
              </w:rPr>
              <w:t>教学楼内</w:t>
            </w:r>
            <w:r>
              <w:rPr>
                <w:rFonts w:ascii="仿宋_GB2312" w:hAnsi="仿宋_GB2312" w:cs="仿宋_GB2312" w:eastAsia="仿宋_GB2312"/>
                <w:color w:val="0000FF"/>
              </w:rPr>
              <w:t>每天清洁地面、擦拭楼梯扶手、栏杆、瓷砖墙面、垃圾桶，每周擦拭门窗，保持地面清洁无垃圾污渍，墙壁无浮灰、蜘蛛网、污迹</w:t>
            </w:r>
            <w:r>
              <w:rPr>
                <w:rFonts w:ascii="仿宋_GB2312" w:hAnsi="仿宋_GB2312" w:cs="仿宋_GB2312" w:eastAsia="仿宋_GB2312"/>
                <w:color w:val="0000FF"/>
              </w:rPr>
              <w:t>;办公</w:t>
            </w:r>
            <w:r>
              <w:rPr>
                <w:rFonts w:ascii="仿宋_GB2312" w:hAnsi="仿宋_GB2312" w:cs="仿宋_GB2312" w:eastAsia="仿宋_GB2312"/>
                <w:color w:val="0000FF"/>
              </w:rPr>
              <w:t>室、</w:t>
            </w:r>
            <w:r>
              <w:rPr>
                <w:rFonts w:ascii="仿宋_GB2312" w:hAnsi="仿宋_GB2312" w:cs="仿宋_GB2312" w:eastAsia="仿宋_GB2312"/>
                <w:color w:val="0000FF"/>
              </w:rPr>
              <w:t>会议室、</w:t>
            </w:r>
            <w:r>
              <w:rPr>
                <w:rFonts w:ascii="仿宋_GB2312" w:hAnsi="仿宋_GB2312" w:cs="仿宋_GB2312" w:eastAsia="仿宋_GB2312"/>
                <w:color w:val="0000FF"/>
              </w:rPr>
              <w:t>厨房、各个部室</w:t>
            </w:r>
            <w:r>
              <w:rPr>
                <w:rFonts w:ascii="仿宋_GB2312" w:hAnsi="仿宋_GB2312" w:cs="仿宋_GB2312" w:eastAsia="仿宋_GB2312"/>
                <w:color w:val="0000FF"/>
              </w:rPr>
              <w:t>每天清扫，保证随时使用。</w:t>
            </w:r>
          </w:p>
          <w:p>
            <w:pPr>
              <w:pStyle w:val="null3"/>
              <w:jc w:val="both"/>
            </w:pPr>
            <w:r>
              <w:rPr>
                <w:rFonts w:ascii="仿宋_GB2312" w:hAnsi="仿宋_GB2312" w:cs="仿宋_GB2312" w:eastAsia="仿宋_GB2312"/>
                <w:color w:val="0000FF"/>
              </w:rPr>
              <w:t>卫生间每天清扫，保证卫生间及水房地面无明显水渍，其余时间巡回清扫，保持厕所卫生清洁无异味，便池水池地面管道无积水、无堵塞，无垃圾存放现象。保洁用品摆放整齐有序。</w:t>
            </w:r>
          </w:p>
          <w:p>
            <w:pPr>
              <w:pStyle w:val="null3"/>
              <w:jc w:val="both"/>
            </w:pPr>
            <w:r>
              <w:rPr>
                <w:rFonts w:ascii="仿宋_GB2312" w:hAnsi="仿宋_GB2312" w:cs="仿宋_GB2312" w:eastAsia="仿宋_GB2312"/>
                <w:color w:val="0000FF"/>
              </w:rPr>
              <w:t>需在保洁区域巡视，及时清扫捡拾杂物，确保路面场地绿化区无垃圾、杂物，无卫生死角。展板，宣传栏、</w:t>
            </w:r>
            <w:r>
              <w:rPr>
                <w:rFonts w:ascii="仿宋_GB2312" w:hAnsi="仿宋_GB2312" w:cs="仿宋_GB2312" w:eastAsia="仿宋_GB2312"/>
                <w:color w:val="0000FF"/>
              </w:rPr>
              <w:t>绿植</w:t>
            </w:r>
            <w:r>
              <w:rPr>
                <w:rFonts w:ascii="仿宋_GB2312" w:hAnsi="仿宋_GB2312" w:cs="仿宋_GB2312" w:eastAsia="仿宋_GB2312"/>
                <w:color w:val="0000FF"/>
              </w:rPr>
              <w:t>等设定期擦拭，达到无明显灰尘。墙面等及时清理、保持洁净无污渍。</w:t>
            </w:r>
          </w:p>
          <w:p>
            <w:pPr>
              <w:pStyle w:val="null3"/>
              <w:jc w:val="both"/>
            </w:pPr>
            <w:r>
              <w:rPr>
                <w:rFonts w:ascii="仿宋_GB2312" w:hAnsi="仿宋_GB2312" w:cs="仿宋_GB2312" w:eastAsia="仿宋_GB2312"/>
                <w:color w:val="0000FF"/>
              </w:rPr>
              <w:t>根据防疫规定及幼儿园要求，定期对园内进行消毒，并保存相关记录。</w:t>
            </w:r>
          </w:p>
          <w:p>
            <w:pPr>
              <w:pStyle w:val="null3"/>
              <w:jc w:val="both"/>
            </w:pPr>
            <w:r>
              <w:rPr>
                <w:rFonts w:ascii="仿宋_GB2312" w:hAnsi="仿宋_GB2312" w:cs="仿宋_GB2312" w:eastAsia="仿宋_GB2312"/>
                <w:color w:val="0000FF"/>
              </w:rPr>
              <w:t>（二）</w:t>
            </w:r>
            <w:r>
              <w:rPr>
                <w:rFonts w:ascii="仿宋_GB2312" w:hAnsi="仿宋_GB2312" w:cs="仿宋_GB2312" w:eastAsia="仿宋_GB2312"/>
                <w:color w:val="0000FF"/>
              </w:rPr>
              <w:t>水电</w:t>
            </w:r>
            <w:r>
              <w:rPr>
                <w:rFonts w:ascii="仿宋_GB2312" w:hAnsi="仿宋_GB2312" w:cs="仿宋_GB2312" w:eastAsia="仿宋_GB2312"/>
                <w:color w:val="0000FF"/>
              </w:rPr>
              <w:t>维修</w:t>
            </w:r>
          </w:p>
          <w:p>
            <w:pPr>
              <w:pStyle w:val="null3"/>
              <w:jc w:val="both"/>
            </w:pPr>
            <w:r>
              <w:rPr>
                <w:rFonts w:ascii="仿宋_GB2312" w:hAnsi="仿宋_GB2312" w:cs="仿宋_GB2312" w:eastAsia="仿宋_GB2312"/>
                <w:color w:val="0000FF"/>
              </w:rPr>
              <w:t>1.</w:t>
            </w:r>
            <w:r>
              <w:rPr>
                <w:rFonts w:ascii="仿宋_GB2312" w:hAnsi="仿宋_GB2312" w:cs="仿宋_GB2312" w:eastAsia="仿宋_GB2312"/>
                <w:color w:val="0000FF"/>
              </w:rPr>
              <w:t>服务内容</w:t>
            </w:r>
            <w:r>
              <w:rPr>
                <w:rFonts w:ascii="仿宋_GB2312" w:hAnsi="仿宋_GB2312" w:cs="仿宋_GB2312" w:eastAsia="仿宋_GB2312"/>
                <w:color w:val="0000FF"/>
              </w:rPr>
              <w:t>:</w:t>
            </w:r>
          </w:p>
          <w:p>
            <w:pPr>
              <w:pStyle w:val="null3"/>
              <w:jc w:val="both"/>
            </w:pPr>
            <w:r>
              <w:rPr>
                <w:rFonts w:ascii="仿宋_GB2312" w:hAnsi="仿宋_GB2312" w:cs="仿宋_GB2312" w:eastAsia="仿宋_GB2312"/>
                <w:color w:val="0000FF"/>
              </w:rPr>
              <w:t>负责</w:t>
            </w:r>
            <w:r>
              <w:rPr>
                <w:rFonts w:ascii="仿宋_GB2312" w:hAnsi="仿宋_GB2312" w:cs="仿宋_GB2312" w:eastAsia="仿宋_GB2312"/>
                <w:color w:val="0000FF"/>
              </w:rPr>
              <w:t>园</w:t>
            </w:r>
            <w:r>
              <w:rPr>
                <w:rFonts w:ascii="仿宋_GB2312" w:hAnsi="仿宋_GB2312" w:cs="仿宋_GB2312" w:eastAsia="仿宋_GB2312"/>
                <w:color w:val="0000FF"/>
              </w:rPr>
              <w:t>内基础水电正常运行和日常维护。</w:t>
            </w:r>
          </w:p>
          <w:p>
            <w:pPr>
              <w:pStyle w:val="null3"/>
              <w:jc w:val="both"/>
            </w:pPr>
            <w:r>
              <w:rPr>
                <w:rFonts w:ascii="仿宋_GB2312" w:hAnsi="仿宋_GB2312" w:cs="仿宋_GB2312" w:eastAsia="仿宋_GB2312"/>
                <w:color w:val="0000FF"/>
              </w:rPr>
              <w:t>负责幼儿园灯具、家具、门窗锁具、上下水管路等的小型维修工作。</w:t>
            </w:r>
          </w:p>
          <w:p>
            <w:pPr>
              <w:pStyle w:val="null3"/>
              <w:jc w:val="both"/>
            </w:pPr>
            <w:r>
              <w:rPr>
                <w:rFonts w:ascii="仿宋_GB2312" w:hAnsi="仿宋_GB2312" w:cs="仿宋_GB2312" w:eastAsia="仿宋_GB2312"/>
                <w:color w:val="0000FF"/>
              </w:rPr>
              <w:t>日常水电系统及设施的巡查，发现问题及时上报，协助维保人员对专业设施设备进行维护保养工作</w:t>
            </w:r>
            <w:r>
              <w:rPr>
                <w:rFonts w:ascii="仿宋_GB2312" w:hAnsi="仿宋_GB2312" w:cs="仿宋_GB2312" w:eastAsia="仿宋_GB2312"/>
                <w:color w:val="0000FF"/>
              </w:rPr>
              <w:t>;</w:t>
            </w:r>
          </w:p>
          <w:p>
            <w:pPr>
              <w:pStyle w:val="null3"/>
              <w:jc w:val="both"/>
            </w:pPr>
            <w:r>
              <w:rPr>
                <w:rFonts w:ascii="仿宋_GB2312" w:hAnsi="仿宋_GB2312" w:cs="仿宋_GB2312" w:eastAsia="仿宋_GB2312"/>
                <w:color w:val="0000FF"/>
              </w:rPr>
              <w:t>处理包括停电、水浸等突发事件的应急处置急处置</w:t>
            </w:r>
            <w:r>
              <w:rPr>
                <w:rFonts w:ascii="仿宋_GB2312" w:hAnsi="仿宋_GB2312" w:cs="仿宋_GB2312" w:eastAsia="仿宋_GB2312"/>
                <w:color w:val="0000FF"/>
              </w:rPr>
              <w:t>;</w:t>
            </w:r>
          </w:p>
          <w:p>
            <w:pPr>
              <w:pStyle w:val="null3"/>
              <w:jc w:val="both"/>
            </w:pPr>
            <w:r>
              <w:rPr>
                <w:rFonts w:ascii="仿宋_GB2312" w:hAnsi="仿宋_GB2312" w:cs="仿宋_GB2312" w:eastAsia="仿宋_GB2312"/>
                <w:color w:val="0000FF"/>
              </w:rPr>
              <w:t>配合幼儿园工程施工方临电的接送</w:t>
            </w:r>
            <w:r>
              <w:rPr>
                <w:rFonts w:ascii="仿宋_GB2312" w:hAnsi="仿宋_GB2312" w:cs="仿宋_GB2312" w:eastAsia="仿宋_GB2312"/>
                <w:color w:val="0000FF"/>
              </w:rPr>
              <w:t>;</w:t>
            </w:r>
          </w:p>
          <w:p>
            <w:pPr>
              <w:pStyle w:val="null3"/>
              <w:jc w:val="both"/>
            </w:pPr>
            <w:r>
              <w:rPr>
                <w:rFonts w:ascii="仿宋_GB2312" w:hAnsi="仿宋_GB2312" w:cs="仿宋_GB2312" w:eastAsia="仿宋_GB2312"/>
                <w:color w:val="0000FF"/>
              </w:rPr>
              <w:t>配合幼儿园水电设施设备质保期外的维修，产生的施工维修成本及设备更换费用由乙方上报维修方案。</w:t>
            </w:r>
          </w:p>
          <w:p>
            <w:pPr>
              <w:pStyle w:val="null3"/>
              <w:jc w:val="both"/>
            </w:pPr>
            <w:r>
              <w:rPr>
                <w:rFonts w:ascii="仿宋_GB2312" w:hAnsi="仿宋_GB2312" w:cs="仿宋_GB2312" w:eastAsia="仿宋_GB2312"/>
                <w:color w:val="0000FF"/>
              </w:rPr>
              <w:t>2.</w:t>
            </w:r>
            <w:r>
              <w:rPr>
                <w:rFonts w:ascii="仿宋_GB2312" w:hAnsi="仿宋_GB2312" w:cs="仿宋_GB2312" w:eastAsia="仿宋_GB2312"/>
                <w:color w:val="0000FF"/>
              </w:rPr>
              <w:t>服务标准</w:t>
            </w:r>
            <w:r>
              <w:rPr>
                <w:rFonts w:ascii="仿宋_GB2312" w:hAnsi="仿宋_GB2312" w:cs="仿宋_GB2312" w:eastAsia="仿宋_GB2312"/>
                <w:color w:val="0000FF"/>
              </w:rPr>
              <w:t>:</w:t>
            </w:r>
          </w:p>
          <w:p>
            <w:pPr>
              <w:pStyle w:val="null3"/>
              <w:jc w:val="both"/>
            </w:pPr>
            <w:r>
              <w:rPr>
                <w:rFonts w:ascii="仿宋_GB2312" w:hAnsi="仿宋_GB2312" w:cs="仿宋_GB2312" w:eastAsia="仿宋_GB2312"/>
                <w:color w:val="0000FF"/>
              </w:rPr>
              <w:t>按作业指导标准进行设施设备的维护保养，水电暖等运行正常，接到急修呼唤，十五分钟内到达。日常水电维修值班，接到维修处理派单</w:t>
            </w:r>
            <w:r>
              <w:rPr>
                <w:rFonts w:ascii="仿宋_GB2312" w:hAnsi="仿宋_GB2312" w:cs="仿宋_GB2312" w:eastAsia="仿宋_GB2312"/>
                <w:color w:val="0000FF"/>
              </w:rPr>
              <w:t>24小时之内完成维修:小范围维修及时率达到 100%。</w:t>
            </w:r>
          </w:p>
          <w:p>
            <w:pPr>
              <w:pStyle w:val="null3"/>
              <w:jc w:val="both"/>
            </w:pPr>
            <w:r>
              <w:rPr>
                <w:rFonts w:ascii="仿宋_GB2312" w:hAnsi="仿宋_GB2312" w:cs="仿宋_GB2312" w:eastAsia="仿宋_GB2312"/>
                <w:color w:val="0000FF"/>
              </w:rPr>
              <w:t>（三）</w:t>
            </w:r>
            <w:r>
              <w:rPr>
                <w:rFonts w:ascii="仿宋_GB2312" w:hAnsi="仿宋_GB2312" w:cs="仿宋_GB2312" w:eastAsia="仿宋_GB2312"/>
                <w:color w:val="0000FF"/>
              </w:rPr>
              <w:t>安保服务</w:t>
            </w:r>
          </w:p>
          <w:p>
            <w:pPr>
              <w:pStyle w:val="null3"/>
              <w:jc w:val="both"/>
            </w:pPr>
            <w:r>
              <w:rPr>
                <w:rFonts w:ascii="仿宋_GB2312" w:hAnsi="仿宋_GB2312" w:cs="仿宋_GB2312" w:eastAsia="仿宋_GB2312"/>
                <w:color w:val="0000FF"/>
              </w:rPr>
              <w:t>1.</w:t>
            </w:r>
            <w:r>
              <w:rPr>
                <w:rFonts w:ascii="仿宋_GB2312" w:hAnsi="仿宋_GB2312" w:cs="仿宋_GB2312" w:eastAsia="仿宋_GB2312"/>
                <w:color w:val="0000FF"/>
              </w:rPr>
              <w:t>服务内容</w:t>
            </w:r>
            <w:r>
              <w:rPr>
                <w:rFonts w:ascii="仿宋_GB2312" w:hAnsi="仿宋_GB2312" w:cs="仿宋_GB2312" w:eastAsia="仿宋_GB2312"/>
                <w:color w:val="0000FF"/>
              </w:rPr>
              <w:t>:</w:t>
            </w:r>
          </w:p>
          <w:p>
            <w:pPr>
              <w:pStyle w:val="null3"/>
              <w:jc w:val="both"/>
            </w:pPr>
            <w:r>
              <w:rPr>
                <w:rFonts w:ascii="仿宋_GB2312" w:hAnsi="仿宋_GB2312" w:cs="仿宋_GB2312" w:eastAsia="仿宋_GB2312"/>
                <w:color w:val="0000FF"/>
              </w:rPr>
              <w:t>保证幼儿园内安全和正常工作、生活秩序，做好协防保卫，做好车辆、车库、道路及安全秩序管理等</w:t>
            </w:r>
            <w:r>
              <w:rPr>
                <w:rFonts w:ascii="仿宋_GB2312" w:hAnsi="仿宋_GB2312" w:cs="仿宋_GB2312" w:eastAsia="仿宋_GB2312"/>
                <w:color w:val="0000FF"/>
              </w:rPr>
              <w:t>;</w:t>
            </w:r>
          </w:p>
          <w:p>
            <w:pPr>
              <w:pStyle w:val="null3"/>
              <w:jc w:val="both"/>
            </w:pPr>
            <w:r>
              <w:rPr>
                <w:rFonts w:ascii="仿宋_GB2312" w:hAnsi="仿宋_GB2312" w:cs="仿宋_GB2312" w:eastAsia="仿宋_GB2312"/>
                <w:color w:val="0000FF"/>
              </w:rPr>
              <w:t>保安年龄需不超过</w:t>
            </w:r>
            <w:r>
              <w:rPr>
                <w:rFonts w:ascii="仿宋_GB2312" w:hAnsi="仿宋_GB2312" w:cs="仿宋_GB2312" w:eastAsia="仿宋_GB2312"/>
                <w:color w:val="0000FF"/>
              </w:rPr>
              <w:t>50岁，并</w:t>
            </w:r>
            <w:r>
              <w:rPr>
                <w:rFonts w:ascii="仿宋_GB2312" w:hAnsi="仿宋_GB2312" w:cs="仿宋_GB2312" w:eastAsia="仿宋_GB2312"/>
                <w:color w:val="0000FF"/>
              </w:rPr>
              <w:t>实行全天候</w:t>
            </w:r>
            <w:r>
              <w:rPr>
                <w:rFonts w:ascii="仿宋_GB2312" w:hAnsi="仿宋_GB2312" w:cs="仿宋_GB2312" w:eastAsia="仿宋_GB2312"/>
                <w:color w:val="0000FF"/>
              </w:rPr>
              <w:t>24小时值班制度;</w:t>
            </w:r>
          </w:p>
          <w:p>
            <w:pPr>
              <w:pStyle w:val="null3"/>
              <w:jc w:val="both"/>
            </w:pPr>
            <w:r>
              <w:rPr>
                <w:rFonts w:ascii="仿宋_GB2312" w:hAnsi="仿宋_GB2312" w:cs="仿宋_GB2312" w:eastAsia="仿宋_GB2312"/>
                <w:color w:val="0000FF"/>
              </w:rPr>
              <w:t>协防设置门岗和巡逻岗，对外来人员，建立询问登记制度，礼貌用语、文明用语、热情服务，按照采购人要求进行出入管理服务</w:t>
            </w:r>
            <w:r>
              <w:rPr>
                <w:rFonts w:ascii="仿宋_GB2312" w:hAnsi="仿宋_GB2312" w:cs="仿宋_GB2312" w:eastAsia="仿宋_GB2312"/>
                <w:color w:val="0000FF"/>
              </w:rPr>
              <w:t>;</w:t>
            </w:r>
          </w:p>
          <w:p>
            <w:pPr>
              <w:pStyle w:val="null3"/>
              <w:jc w:val="both"/>
            </w:pPr>
            <w:r>
              <w:rPr>
                <w:rFonts w:ascii="仿宋_GB2312" w:hAnsi="仿宋_GB2312" w:cs="仿宋_GB2312" w:eastAsia="仿宋_GB2312"/>
                <w:color w:val="0000FF"/>
              </w:rPr>
              <w:t>保证区域内安全秩序良好，道路通畅，引导指挥车辆停放有序；</w:t>
            </w:r>
          </w:p>
          <w:p>
            <w:pPr>
              <w:pStyle w:val="null3"/>
              <w:jc w:val="both"/>
            </w:pPr>
            <w:r>
              <w:rPr>
                <w:rFonts w:ascii="仿宋_GB2312" w:hAnsi="仿宋_GB2312" w:cs="仿宋_GB2312" w:eastAsia="仿宋_GB2312"/>
                <w:color w:val="0000FF"/>
              </w:rPr>
              <w:t>根据采购人要求，服从工作人员调配，做好各项活动的秩序维护工作。</w:t>
            </w:r>
          </w:p>
          <w:p>
            <w:pPr>
              <w:pStyle w:val="null3"/>
              <w:jc w:val="both"/>
            </w:pPr>
            <w:r>
              <w:rPr>
                <w:rFonts w:ascii="仿宋_GB2312" w:hAnsi="仿宋_GB2312" w:cs="仿宋_GB2312" w:eastAsia="仿宋_GB2312"/>
                <w:color w:val="0000FF"/>
              </w:rPr>
              <w:t>制定安全管理服务预案，完善责任制，遇突发事件能应急处理；</w:t>
            </w:r>
          </w:p>
          <w:p>
            <w:pPr>
              <w:pStyle w:val="null3"/>
              <w:jc w:val="both"/>
            </w:pPr>
            <w:r>
              <w:rPr>
                <w:rFonts w:ascii="仿宋_GB2312" w:hAnsi="仿宋_GB2312" w:cs="仿宋_GB2312" w:eastAsia="仿宋_GB2312"/>
                <w:color w:val="0000FF"/>
              </w:rPr>
              <w:t>能及时发现和处理各种事故隐患，确保不发生安全方面的问题，能迅速有效处置突发事件；</w:t>
            </w:r>
          </w:p>
          <w:p>
            <w:pPr>
              <w:pStyle w:val="null3"/>
              <w:jc w:val="both"/>
            </w:pPr>
            <w:r>
              <w:rPr>
                <w:rFonts w:ascii="仿宋_GB2312" w:hAnsi="仿宋_GB2312" w:cs="仿宋_GB2312" w:eastAsia="仿宋_GB2312"/>
                <w:color w:val="0000FF"/>
              </w:rPr>
              <w:t>对针对本区域的盗抢破坏等违法行为，能够积极应对，及时报警协助制止。</w:t>
            </w:r>
          </w:p>
          <w:p>
            <w:pPr>
              <w:pStyle w:val="null3"/>
              <w:jc w:val="both"/>
            </w:pPr>
            <w:r>
              <w:rPr>
                <w:rFonts w:ascii="仿宋_GB2312" w:hAnsi="仿宋_GB2312" w:cs="仿宋_GB2312" w:eastAsia="仿宋_GB2312"/>
                <w:color w:val="0000FF"/>
              </w:rPr>
              <w:t>遇有重要活动承担礼宾工作，精神饱满，举止得体。</w:t>
            </w:r>
          </w:p>
          <w:p>
            <w:pPr>
              <w:pStyle w:val="null3"/>
            </w:pPr>
            <w:r>
              <w:rPr>
                <w:rFonts w:ascii="仿宋_GB2312" w:hAnsi="仿宋_GB2312" w:cs="仿宋_GB2312" w:eastAsia="仿宋_GB2312"/>
                <w:b/>
                <w:color w:val="0000FF"/>
              </w:rPr>
              <w:t>三、服务期限</w:t>
            </w:r>
          </w:p>
          <w:p>
            <w:pPr>
              <w:pStyle w:val="null3"/>
            </w:pPr>
            <w:r>
              <w:rPr>
                <w:rFonts w:ascii="仿宋_GB2312" w:hAnsi="仿宋_GB2312" w:cs="仿宋_GB2312" w:eastAsia="仿宋_GB2312"/>
                <w:color w:val="0000FF"/>
              </w:rPr>
              <w:t>自合同签订之日起一年。（ 本次采购预算为第一年预算，采购人根据第二年资金落实情况、对供应商考核情况等因素决定是否续签，续签不超过两次）。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符合磋商文件及项目要求，供应商根据单位自身及项目实际情况自主配置。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符合磋商文件及项目要求，供应商根据单位自身及项目实际情况自主配置。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 本次采购预算为第一年预算，采购人根据第二年资金落实情况、对供应商考核情况等因素决定是否续签，续签不超过两次）。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西安高新区第二十二幼儿园</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1.学校每月对上月服务质量进行考核，考核指标包括保洁达标率、维修及时率、安保到位率、师生满意度等，考核结果与服务费用挂钩。 2.考核评分采用百分制，90分及以上为合格，服务费按100%支付，80-90分为基本合格，服务费按90%支付，需限期整改；低于80分，为不合格，服务费按80%支付，连续2次考核不合格，学校有权单方面解除合同并追究违约责任。 3.服务期满后，进行全面验收，验收合格方可办理费用结算；若存在服务未达标情况，供应商需承担整改费用并扣除相应服务款项。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服务费当月月底结算。服务费每月结算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服务费当月月底结算。服务费每月结算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服务费当月月底结算。服务费每月结算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服务费当月月底结算。服务费每月结算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服务费当月月底结算。服务费每月结算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服务费当月月底结算。服务费每月结算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服务费当月月底结算。服务费每月结算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服务费当月月底结算。服务费每月结算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服务费当月月底结算。服务费每月结算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服务费当月月底结算。服务费每月结算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服务费当月月底结算。服务费每月结算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服务费当月月底结算。服务费每月结算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合同在履行期间，双方发生一切争议时：在不影响工程进度的前提下，双方协商解决或请有关部门进行调解。协商、调解不成时。双方同意到高新区人民法院起诉。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物业管理。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供应商需在项目电子化交易系统中按竞争性磋商文件附件要求填写《基本资格条件承诺函》并进行电子签章。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磋商的，须出具法定代表人身份证明；法定代表人授权委托代理人参加磋商的，须出具法定代表人授权书（附法定代表人、被授权委托代理人身份证复印件或扫描件）及被授权委托代理人自响应文件提交截止日前六个月内任意一个月在本单位的社保缴纳证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案件当事人名单”，未被“中国政府采购网”（www.ccgp.gov.cn）列入“政府采购严重违法失信行为记录名单”；（响应文件解密完成后查询相关信用记录，对列入失信被执行人、重大税收违法案件当事人名单、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竞争性磋商响应文件是否按竞争性磋商文件要求签署、盖章的</w:t>
            </w:r>
          </w:p>
        </w:tc>
        <w:tc>
          <w:tcPr>
            <w:tcW w:type="dxa" w:w="3322"/>
          </w:tcPr>
          <w:p>
            <w:pPr>
              <w:pStyle w:val="null3"/>
            </w:pPr>
            <w:r>
              <w:rPr>
                <w:rFonts w:ascii="仿宋_GB2312" w:hAnsi="仿宋_GB2312" w:cs="仿宋_GB2312" w:eastAsia="仿宋_GB2312"/>
              </w:rPr>
              <w:t>按竞争性磋商响应文件要求签署、盖章的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报价是否超过竞争性磋商文件中规定的最高限价的</w:t>
            </w:r>
          </w:p>
        </w:tc>
        <w:tc>
          <w:tcPr>
            <w:tcW w:type="dxa" w:w="3322"/>
          </w:tcPr>
          <w:p>
            <w:pPr>
              <w:pStyle w:val="null3"/>
            </w:pPr>
            <w:r>
              <w:rPr>
                <w:rFonts w:ascii="仿宋_GB2312" w:hAnsi="仿宋_GB2312" w:cs="仿宋_GB2312" w:eastAsia="仿宋_GB2312"/>
              </w:rPr>
              <w:t>报价未超过竞争性磋商文件中规定的最高限价的</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报价表 响应函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竞争性磋商文件是否含有采购人不能接受的附加条件的或其他情形</w:t>
            </w:r>
          </w:p>
        </w:tc>
        <w:tc>
          <w:tcPr>
            <w:tcW w:type="dxa" w:w="3322"/>
          </w:tcPr>
          <w:p>
            <w:pPr>
              <w:pStyle w:val="null3"/>
            </w:pPr>
            <w:r>
              <w:rPr>
                <w:rFonts w:ascii="仿宋_GB2312" w:hAnsi="仿宋_GB2312" w:cs="仿宋_GB2312" w:eastAsia="仿宋_GB2312"/>
              </w:rPr>
              <w:t>竞争性磋商文件未含有采购人不能接受的附加条件的或其他情形</w:t>
            </w:r>
          </w:p>
        </w:tc>
        <w:tc>
          <w:tcPr>
            <w:tcW w:type="dxa" w:w="1661"/>
          </w:tcPr>
          <w:p>
            <w:pPr>
              <w:pStyle w:val="null3"/>
            </w:pPr>
            <w:r>
              <w:rPr>
                <w:rFonts w:ascii="仿宋_GB2312" w:hAnsi="仿宋_GB2312" w:cs="仿宋_GB2312" w:eastAsia="仿宋_GB2312"/>
              </w:rPr>
              <w:t>报价表 技术和商务偏离表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未发现法律、法规和竞争性磋商文件规定的其他无效情形</w:t>
            </w:r>
          </w:p>
        </w:tc>
        <w:tc>
          <w:tcPr>
            <w:tcW w:type="dxa" w:w="1661"/>
          </w:tcPr>
          <w:p>
            <w:pPr>
              <w:pStyle w:val="null3"/>
            </w:pPr>
            <w:r>
              <w:rPr>
                <w:rFonts w:ascii="仿宋_GB2312" w:hAnsi="仿宋_GB2312" w:cs="仿宋_GB2312" w:eastAsia="仿宋_GB2312"/>
              </w:rPr>
              <w:t>陕西省政府采购供应商拒绝政府采购领域商业贿赂承诺书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评审内容：①服务理念及特色；②服务目标；③服务计划；④公司内控管理制度（规章制度、组织架构及管理理念）；⑤日常档案资料管理制度；⑥进场方案、工作交接方案等。 评审标准：服务方案内容全面详细、阐述条理清晰详尽、符合本项目采购需求得12分，每缺一项内容扣2分，评审内容有瑕疵的，出现瑕疵的评审项扣1分，评审项内容有严重瑕疵，出现严重瑕疵的评审项扣2分。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保洁服务方案</w:t>
            </w:r>
          </w:p>
        </w:tc>
        <w:tc>
          <w:tcPr>
            <w:tcW w:type="dxa" w:w="2492"/>
          </w:tcPr>
          <w:p>
            <w:pPr>
              <w:pStyle w:val="null3"/>
            </w:pPr>
            <w:r>
              <w:rPr>
                <w:rFonts w:ascii="仿宋_GB2312" w:hAnsi="仿宋_GB2312" w:cs="仿宋_GB2312" w:eastAsia="仿宋_GB2312"/>
              </w:rPr>
              <w:t>评审内容：①服务内容及标准②工作流程及工作计划。 以上内容全面详细、目标明确、科学合理且完全符合本项目采购要求得6分。评审内容缺每一项扣3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安保服务方案</w:t>
            </w:r>
          </w:p>
        </w:tc>
        <w:tc>
          <w:tcPr>
            <w:tcW w:type="dxa" w:w="2492"/>
          </w:tcPr>
          <w:p>
            <w:pPr>
              <w:pStyle w:val="null3"/>
            </w:pPr>
            <w:r>
              <w:rPr>
                <w:rFonts w:ascii="仿宋_GB2312" w:hAnsi="仿宋_GB2312" w:cs="仿宋_GB2312" w:eastAsia="仿宋_GB2312"/>
              </w:rPr>
              <w:t>评审内容：①服务内容及标准②工作流程及计划③校园安全管理制度。 以上内容全面详细、目标明确、科学合理且完全符合本项目采购要求得6分。评审内容缺每一项扣2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其他后勤保障服务方案</w:t>
            </w:r>
          </w:p>
        </w:tc>
        <w:tc>
          <w:tcPr>
            <w:tcW w:type="dxa" w:w="2492"/>
          </w:tcPr>
          <w:p>
            <w:pPr>
              <w:pStyle w:val="null3"/>
            </w:pPr>
            <w:r>
              <w:rPr>
                <w:rFonts w:ascii="仿宋_GB2312" w:hAnsi="仿宋_GB2312" w:cs="仿宋_GB2312" w:eastAsia="仿宋_GB2312"/>
              </w:rPr>
              <w:t>评审内容：①服务内容及标准②工作流程及计划。 以上内容全面详细、目标明确、科学合理且完全符合本项目采购要求得6分。评审内容缺每一项扣3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评审内容：①团队人员配备清单及相关从业证书；②配备人员具体岗位职责；③人员管理制度（如：仪容仪表、请销假、奖惩措施、激励机制等）；④人员日常考核及培训方案（考核标准、培训内容及进度计划）等。 评审标准：人员配备方案各部分内容全面详细、阐述条理清晰详尽、符合本项目采购需求得12分，每缺一项内容扣3分，评审内容有瑕疵的，出现瑕疵的评审项扣1分，评审项内容有严重瑕疵，出现严重瑕疵的评审项扣3分。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评审内容：①内控和人员管理制度②考核制度③奖惩激励制度。 以上内容全面详细、阐述条理清晰详尽，符合本项目需求得6分。评审内容每缺一项扣2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评审内容：①服务质量保证措施②服务质量承诺。 评审标准：以上内容全面详细、阐述条理清晰详尽，符合本项目采购需求得4分。评审内容每缺一项扣2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安全保障管理方案</w:t>
            </w:r>
          </w:p>
        </w:tc>
        <w:tc>
          <w:tcPr>
            <w:tcW w:type="dxa" w:w="2492"/>
          </w:tcPr>
          <w:p>
            <w:pPr>
              <w:pStyle w:val="null3"/>
            </w:pPr>
            <w:r>
              <w:rPr>
                <w:rFonts w:ascii="仿宋_GB2312" w:hAnsi="仿宋_GB2312" w:cs="仿宋_GB2312" w:eastAsia="仿宋_GB2312"/>
              </w:rPr>
              <w:t>评审内容：①传染性疾病预防、重大卫生防控方案③重大事故预防方案。 评审标准：以上内容全面详细、阐述条理清晰详尽，可行性强、有切合实际的防控预案，符合本项目需求得4分。评审内容每缺一项扣2分,评审内容有缺陷（缺陷是指：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应急管理预案</w:t>
            </w:r>
          </w:p>
        </w:tc>
        <w:tc>
          <w:tcPr>
            <w:tcW w:type="dxa" w:w="2492"/>
          </w:tcPr>
          <w:p>
            <w:pPr>
              <w:pStyle w:val="null3"/>
            </w:pPr>
            <w:r>
              <w:rPr>
                <w:rFonts w:ascii="仿宋_GB2312" w:hAnsi="仿宋_GB2312" w:cs="仿宋_GB2312" w:eastAsia="仿宋_GB2312"/>
              </w:rPr>
              <w:t>评审内容：①恶劣天气、停水停电、火灾、水浸、防火等②重大活动、紧急事件及临时性任务③违法事件（防盗、打架斗殴、寻衅滋事等）④重大人事变动。以上内容全面详细、阐述条理清晰详尽，符合本项目需求得8分。评审内容每缺一项扣2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安防承诺②环境维护承诺③其他后勤保障服务承诺④确保上岗人员身体健康无重大疾病承诺。以上内容全面详细、阐述条理清晰详尽，符合本项目需求得16分。评审内容每缺一项扣4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供应商具有2022年12月01日至今（以合同签订时间为准）的类似项目业绩，投标文件中提供合同复印件加盖公章，每提供一个计2分，满分10分。 注：以合同为准，证明材料为合同首页、双方签字盖章页以及能够反映合同内容的部分。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取有效磋商总报价的最低价为评审基准价；磋商报价得分=（评审基准价／最终磋商报价） ×价格权值×100。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