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版本号：THXZB2025-108920251219001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THXZB2025-1089</w:t>
      </w:r>
      <w:r>
        <w:br/>
      </w:r>
      <w:r>
        <w:br/>
      </w:r>
      <w:r>
        <w:br/>
      </w:r>
    </w:p>
    <w:p>
      <w:pPr>
        <w:pStyle w:val="null3"/>
        <w:jc w:val="center"/>
        <w:outlineLvl w:val="2"/>
      </w:pPr>
      <w:r>
        <w:rPr>
          <w:rFonts w:ascii="仿宋_GB2312" w:hAnsi="仿宋_GB2312" w:cs="仿宋_GB2312" w:eastAsia="仿宋_GB2312"/>
          <w:sz w:val="28"/>
          <w:b/>
        </w:rPr>
        <w:t>西安高新区第十七小学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西安高新区第十七小学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西安高新区第十七小学后勤服务外包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1、具有独立承担民事责任能力：具有独立承担民事责任能力的法人、其他组织或自然人，提供合法有效的统一社会信用代码的营业执照（事业单位提供事业单位法人证书，自然人应提供身份证）。</w:t>
      </w:r>
    </w:p>
    <w:p>
      <w:pPr>
        <w:pStyle w:val="null3"/>
      </w:pPr>
      <w:r>
        <w:rPr>
          <w:rFonts w:ascii="仿宋_GB2312" w:hAnsi="仿宋_GB2312" w:cs="仿宋_GB2312" w:eastAsia="仿宋_GB2312"/>
        </w:rPr>
        <w:t>2、法定代表人身份证明或法定代表人授权书：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p>
      <w:pPr>
        <w:pStyle w:val="null3"/>
      </w:pPr>
      <w:r>
        <w:rPr>
          <w:rFonts w:ascii="仿宋_GB2312" w:hAnsi="仿宋_GB2312" w:cs="仿宋_GB2312" w:eastAsia="仿宋_GB2312"/>
        </w:rPr>
        <w:t>3、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4、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西安市雁塔区科技六路南鱼化三路3117号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029-89183363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计取，以中标金额作为基数，差额累进法进行计算，不足陆仟按陆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西安高新区第十七小学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西安高新区第十七小学后勤服务外包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504,000.00</w:t>
      </w:r>
    </w:p>
    <w:p>
      <w:pPr>
        <w:pStyle w:val="null3"/>
      </w:pPr>
      <w:r>
        <w:rPr>
          <w:rFonts w:ascii="仿宋_GB2312" w:hAnsi="仿宋_GB2312" w:cs="仿宋_GB2312" w:eastAsia="仿宋_GB2312"/>
        </w:rPr>
        <w:t>采购包最高限价（元）: 504,000.00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640"/>
              <w:jc w:val="both"/>
            </w:pPr>
            <w:r>
              <w:rPr>
                <w:rFonts w:ascii="仿宋_GB2312" w:hAnsi="仿宋_GB2312" w:cs="仿宋_GB2312" w:eastAsia="仿宋_GB2312"/>
                <w:sz w:val="24"/>
                <w:b/>
              </w:rPr>
              <w:t>1.项目概况：</w:t>
            </w:r>
          </w:p>
          <w:p>
            <w:pPr>
              <w:pStyle w:val="null3"/>
              <w:spacing w:after="195"/>
              <w:ind w:firstLine="640"/>
              <w:jc w:val="both"/>
            </w:pPr>
            <w:r>
              <w:rPr>
                <w:rFonts w:ascii="仿宋_GB2312" w:hAnsi="仿宋_GB2312" w:cs="仿宋_GB2312" w:eastAsia="仿宋_GB2312"/>
                <w:sz w:val="24"/>
              </w:rPr>
              <w:t>西安高新区第十七小学</w:t>
            </w:r>
            <w:r>
              <w:rPr>
                <w:rFonts w:ascii="仿宋_GB2312" w:hAnsi="仿宋_GB2312" w:cs="仿宋_GB2312" w:eastAsia="仿宋_GB2312"/>
                <w:sz w:val="24"/>
              </w:rPr>
              <w:t>位于高新区的核心区域，学校占地面积约</w:t>
            </w:r>
            <w:r>
              <w:rPr>
                <w:rFonts w:ascii="仿宋_GB2312" w:hAnsi="仿宋_GB2312" w:cs="仿宋_GB2312" w:eastAsia="仿宋_GB2312"/>
                <w:sz w:val="24"/>
              </w:rPr>
              <w:t>19.2</w:t>
            </w:r>
            <w:r>
              <w:rPr>
                <w:rFonts w:ascii="仿宋_GB2312" w:hAnsi="仿宋_GB2312" w:cs="仿宋_GB2312" w:eastAsia="仿宋_GB2312"/>
                <w:sz w:val="24"/>
              </w:rPr>
              <w:t xml:space="preserve"> </w:t>
            </w:r>
            <w:r>
              <w:rPr>
                <w:rFonts w:ascii="仿宋_GB2312" w:hAnsi="仿宋_GB2312" w:cs="仿宋_GB2312" w:eastAsia="仿宋_GB2312"/>
                <w:sz w:val="24"/>
              </w:rPr>
              <w:t>亩，拥有现代化的教学楼、实验楼、图书馆、体育馆等教学设施。学校现有教职工</w:t>
            </w:r>
            <w:r>
              <w:rPr>
                <w:rFonts w:ascii="仿宋_GB2312" w:hAnsi="仿宋_GB2312" w:cs="仿宋_GB2312" w:eastAsia="仿宋_GB2312"/>
                <w:sz w:val="24"/>
              </w:rPr>
              <w:t>70</w:t>
            </w:r>
            <w:r>
              <w:rPr>
                <w:rFonts w:ascii="仿宋_GB2312" w:hAnsi="仿宋_GB2312" w:cs="仿宋_GB2312" w:eastAsia="仿宋_GB2312"/>
                <w:sz w:val="24"/>
              </w:rPr>
              <w:t>余人</w:t>
            </w:r>
            <w:r>
              <w:rPr>
                <w:rFonts w:ascii="仿宋_GB2312" w:hAnsi="仿宋_GB2312" w:cs="仿宋_GB2312" w:eastAsia="仿宋_GB2312"/>
                <w:sz w:val="24"/>
              </w:rPr>
              <w:t>，</w:t>
            </w:r>
            <w:r>
              <w:rPr>
                <w:rFonts w:ascii="仿宋_GB2312" w:hAnsi="仿宋_GB2312" w:cs="仿宋_GB2312" w:eastAsia="仿宋_GB2312"/>
                <w:sz w:val="24"/>
              </w:rPr>
              <w:t>教学楼共有</w:t>
            </w:r>
            <w:r>
              <w:rPr>
                <w:rFonts w:ascii="仿宋_GB2312" w:hAnsi="仿宋_GB2312" w:cs="仿宋_GB2312" w:eastAsia="仿宋_GB2312"/>
                <w:sz w:val="24"/>
              </w:rPr>
              <w:t>1</w:t>
            </w:r>
            <w:r>
              <w:rPr>
                <w:rFonts w:ascii="仿宋_GB2312" w:hAnsi="仿宋_GB2312" w:cs="仿宋_GB2312" w:eastAsia="仿宋_GB2312"/>
                <w:sz w:val="24"/>
              </w:rPr>
              <w:t>栋，可容纳</w:t>
            </w:r>
            <w:r>
              <w:rPr>
                <w:rFonts w:ascii="仿宋_GB2312" w:hAnsi="仿宋_GB2312" w:cs="仿宋_GB2312" w:eastAsia="仿宋_GB2312"/>
                <w:sz w:val="24"/>
              </w:rPr>
              <w:t>1080</w:t>
            </w:r>
            <w:r>
              <w:rPr>
                <w:rFonts w:ascii="仿宋_GB2312" w:hAnsi="仿宋_GB2312" w:cs="仿宋_GB2312" w:eastAsia="仿宋_GB2312"/>
                <w:sz w:val="24"/>
              </w:rPr>
              <w:t>余名学生同时上课。</w:t>
            </w:r>
          </w:p>
          <w:p>
            <w:pPr>
              <w:pStyle w:val="null3"/>
              <w:spacing w:after="195"/>
              <w:ind w:firstLine="640"/>
              <w:jc w:val="both"/>
            </w:pPr>
            <w:r>
              <w:rPr>
                <w:rFonts w:ascii="仿宋_GB2312" w:hAnsi="仿宋_GB2312" w:cs="仿宋_GB2312" w:eastAsia="仿宋_GB2312"/>
                <w:sz w:val="24"/>
                <w:b/>
              </w:rPr>
              <w:t>2.服务范围：</w:t>
            </w:r>
            <w:r>
              <w:rPr>
                <w:rFonts w:ascii="仿宋_GB2312" w:hAnsi="仿宋_GB2312" w:cs="仿宋_GB2312" w:eastAsia="仿宋_GB2312"/>
                <w:sz w:val="24"/>
              </w:rPr>
              <w:t>保洁服务、安防服务等。</w:t>
            </w:r>
          </w:p>
          <w:p>
            <w:pPr>
              <w:pStyle w:val="null3"/>
              <w:spacing w:after="195"/>
              <w:ind w:firstLine="640"/>
              <w:jc w:val="both"/>
            </w:pPr>
            <w:r>
              <w:rPr>
                <w:rFonts w:ascii="仿宋_GB2312" w:hAnsi="仿宋_GB2312" w:cs="仿宋_GB2312" w:eastAsia="仿宋_GB2312"/>
                <w:sz w:val="24"/>
                <w:b/>
              </w:rPr>
              <w:t>3.服务内容及要求：</w:t>
            </w:r>
          </w:p>
          <w:p>
            <w:pPr>
              <w:pStyle w:val="null3"/>
              <w:spacing w:after="195"/>
              <w:ind w:firstLine="640"/>
              <w:jc w:val="both"/>
            </w:pPr>
            <w:r>
              <w:rPr>
                <w:rFonts w:ascii="仿宋_GB2312" w:hAnsi="仿宋_GB2312" w:cs="仿宋_GB2312" w:eastAsia="仿宋_GB2312"/>
                <w:sz w:val="24"/>
              </w:rPr>
              <w:t>（一）保洁服务</w:t>
            </w:r>
          </w:p>
          <w:p>
            <w:pPr>
              <w:pStyle w:val="null3"/>
              <w:spacing w:after="195"/>
              <w:ind w:firstLine="640"/>
              <w:jc w:val="both"/>
            </w:pPr>
            <w:r>
              <w:rPr>
                <w:rFonts w:ascii="仿宋_GB2312" w:hAnsi="仿宋_GB2312" w:cs="仿宋_GB2312" w:eastAsia="仿宋_GB2312"/>
                <w:sz w:val="24"/>
              </w:rPr>
              <w:t>1.服务区域：</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1）室外：校园环境、操场、公共区域座椅及各种辅助设施的清洁及日常保洁。</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2）室内：学校教学楼、办公楼、体育馆、报告厅、公共区域、卫生间的保洁工作。</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3）其他：办公区垃圾、卫生间垃圾转运至校园垃圾台，做到垃圾“四分类”，对校园垃圾站垃圾必须保证每天装车、清运。学校重大活动及时响应，做好卫生工作。</w:t>
            </w:r>
          </w:p>
          <w:p>
            <w:pPr>
              <w:pStyle w:val="null3"/>
              <w:spacing w:after="195"/>
              <w:ind w:firstLine="640"/>
              <w:jc w:val="both"/>
            </w:pPr>
            <w:r>
              <w:rPr>
                <w:rFonts w:ascii="仿宋_GB2312" w:hAnsi="仿宋_GB2312" w:cs="仿宋_GB2312" w:eastAsia="仿宋_GB2312"/>
                <w:sz w:val="24"/>
              </w:rPr>
              <w:t>2.服务要求：</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1）执行“5段2遍6清洁”标准化流程（即分5个时段、每日2次全面保洁、重点完成6类清洁任务）。</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2）每月至少进行1次以上全面消杀（含蚊蝇防治），特定时期按校方要求增加频次。</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3）室内服务区域每天清洁地面、擦拭楼梯扶手、栏杆、瓷砖墙面、垃圾桶，每周擦拭门窗，保持地面清洁无垃圾污渍，墙壁无浮灰、蜘蛛网、污迹。</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4）卫生间每天清扫冲洗两次，上午、下午上课前各一次，其余时间巡回清扫，保持厕所卫生清洁无异味，便池水池地面管道无积水、无堵塞，无垃圾存放现象。</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5）服务期间需在保洁区域巡视，及时清扫捡拾杂物，确保路面场地绿化区无垃圾、杂物，无卫生死角。室外展板、宣传栏等设施定期擦拭，达到无明显灰尘。</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6）每周负责操场、体育馆、报告厅等卫生整理一次。</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7）遇有重要活动承担礼宾工作，精神饱满，举止得体。</w:t>
            </w:r>
          </w:p>
          <w:p>
            <w:pPr>
              <w:pStyle w:val="null3"/>
              <w:spacing w:after="195"/>
              <w:ind w:firstLine="640"/>
              <w:jc w:val="both"/>
            </w:pPr>
            <w:r>
              <w:rPr>
                <w:rFonts w:ascii="仿宋_GB2312" w:hAnsi="仿宋_GB2312" w:cs="仿宋_GB2312" w:eastAsia="仿宋_GB2312"/>
                <w:sz w:val="24"/>
              </w:rPr>
              <w:t>3.人员配置：</w:t>
            </w:r>
          </w:p>
          <w:p>
            <w:pPr>
              <w:pStyle w:val="null3"/>
              <w:spacing w:after="195"/>
              <w:ind w:firstLine="640"/>
              <w:jc w:val="both"/>
            </w:pPr>
            <w:r>
              <w:rPr>
                <w:rFonts w:ascii="仿宋_GB2312" w:hAnsi="仿宋_GB2312" w:cs="仿宋_GB2312" w:eastAsia="仿宋_GB2312"/>
                <w:sz w:val="24"/>
              </w:rPr>
              <w:t>配备不少于</w:t>
            </w:r>
            <w:r>
              <w:rPr>
                <w:rFonts w:ascii="仿宋_GB2312" w:hAnsi="仿宋_GB2312" w:cs="仿宋_GB2312" w:eastAsia="仿宋_GB2312"/>
                <w:sz w:val="24"/>
              </w:rPr>
              <w:t>5名专职保洁人员，</w:t>
            </w:r>
            <w:r>
              <w:rPr>
                <w:rFonts w:ascii="仿宋_GB2312" w:hAnsi="仿宋_GB2312" w:cs="仿宋_GB2312" w:eastAsia="仿宋_GB2312"/>
                <w:sz w:val="24"/>
              </w:rPr>
              <w:t>年龄</w:t>
            </w:r>
            <w:r>
              <w:rPr>
                <w:rFonts w:ascii="仿宋_GB2312" w:hAnsi="仿宋_GB2312" w:cs="仿宋_GB2312" w:eastAsia="仿宋_GB2312"/>
                <w:sz w:val="24"/>
              </w:rPr>
              <w:t>≤50岁。</w:t>
            </w:r>
            <w:r>
              <w:rPr>
                <w:rFonts w:ascii="仿宋_GB2312" w:hAnsi="仿宋_GB2312" w:cs="仿宋_GB2312" w:eastAsia="仿宋_GB2312"/>
                <w:sz w:val="24"/>
              </w:rPr>
              <w:t>须持有效健康证，统一着装，言行规范，身体健康，无不良嗜好</w:t>
            </w:r>
            <w:r>
              <w:rPr>
                <w:rFonts w:ascii="仿宋_GB2312" w:hAnsi="仿宋_GB2312" w:cs="仿宋_GB2312" w:eastAsia="仿宋_GB2312"/>
                <w:sz w:val="24"/>
              </w:rPr>
              <w:t>，须提供统一制服及岗位</w:t>
            </w:r>
            <w:r>
              <w:rPr>
                <w:rFonts w:ascii="仿宋_GB2312" w:hAnsi="仿宋_GB2312" w:cs="仿宋_GB2312" w:eastAsia="仿宋_GB2312"/>
                <w:sz w:val="24"/>
              </w:rPr>
              <w:t>使用工具。</w:t>
            </w:r>
          </w:p>
          <w:p>
            <w:pPr>
              <w:pStyle w:val="null3"/>
              <w:spacing w:after="195"/>
              <w:ind w:firstLine="640"/>
              <w:jc w:val="both"/>
            </w:pPr>
            <w:r>
              <w:rPr>
                <w:rFonts w:ascii="仿宋_GB2312" w:hAnsi="仿宋_GB2312" w:cs="仿宋_GB2312" w:eastAsia="仿宋_GB2312"/>
                <w:sz w:val="24"/>
              </w:rPr>
              <w:t>（二）安防服务</w:t>
            </w:r>
          </w:p>
          <w:p>
            <w:pPr>
              <w:pStyle w:val="null3"/>
              <w:spacing w:after="195"/>
              <w:ind w:firstLine="640"/>
              <w:jc w:val="both"/>
            </w:pPr>
            <w:r>
              <w:rPr>
                <w:rFonts w:ascii="仿宋_GB2312" w:hAnsi="仿宋_GB2312" w:cs="仿宋_GB2312" w:eastAsia="仿宋_GB2312"/>
                <w:sz w:val="24"/>
              </w:rPr>
              <w:t>1.服务区域：校门岗、校园巡逻、监控室值守及突发事件先期处置，配合学校做好其它相关工作。</w:t>
            </w:r>
          </w:p>
          <w:p>
            <w:pPr>
              <w:pStyle w:val="null3"/>
              <w:spacing w:after="195"/>
              <w:ind w:firstLine="640"/>
              <w:jc w:val="both"/>
            </w:pPr>
            <w:r>
              <w:rPr>
                <w:rFonts w:ascii="仿宋_GB2312" w:hAnsi="仿宋_GB2312" w:cs="仿宋_GB2312" w:eastAsia="仿宋_GB2312"/>
                <w:sz w:val="24"/>
              </w:rPr>
              <w:t>2.服务要求：</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1）保证校园内安全和正常工作、生活秩序，做好协防保卫，做好车辆、车库、道路及安全秩序管理等。</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2）实行全天候24小时值班制度，严格执行外来人员/车辆登记、查验制度。</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3）协防设置门岗和巡逻岗，对外来人员，建立询问登记制度，礼貌用语、文明用语、热情服务，按照采购人要求进行出入管理服务，每日安全巡逻不少于6次，并做好电子及纸质记录。</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4）保证区域内安全秩序良好，道路通畅，引导指挥车辆停放有序，上下学高峰时段，协助维持校门口秩序，构成“护学岗”一部分。</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5）根据采购人要求，服从总务处工作人员调配，做好各项活动的秩序维护工作。</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6）制定安全管理服务预案，完善责任制，遇突发事件能应急处理，积极主动协调处理校内治安等方面的突发事件，迅速排除各种险情，及时制止违法犯罪行为，及时向总务处报告各类案件、事故及其他重大问题和重要情况，做好110接警工作。</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7）能及时发现和处理各种事故隐患，确保不发生安全方面的问题，能迅速有效处置突发事件，熟练操作一键报警系统、视频系统及消防器材，具备应急处置能力。</w:t>
            </w:r>
          </w:p>
          <w:p>
            <w:pPr>
              <w:pStyle w:val="null3"/>
              <w:spacing w:after="195"/>
              <w:ind w:firstLine="640"/>
              <w:jc w:val="both"/>
            </w:pPr>
            <w:r>
              <w:rPr>
                <w:rFonts w:ascii="仿宋_GB2312" w:hAnsi="仿宋_GB2312" w:cs="仿宋_GB2312" w:eastAsia="仿宋_GB2312"/>
                <w:sz w:val="24"/>
              </w:rPr>
              <w:t>（</w:t>
            </w:r>
            <w:r>
              <w:rPr>
                <w:rFonts w:ascii="仿宋_GB2312" w:hAnsi="仿宋_GB2312" w:cs="仿宋_GB2312" w:eastAsia="仿宋_GB2312"/>
                <w:sz w:val="24"/>
              </w:rPr>
              <w:t>8）学校遇有重大活动、会议、招聘活动等需要增配、抽调人员协助时，应无偿按照校方要求执行，工作时应着统一服装及标志，精神饱满，举止得体。</w:t>
            </w:r>
          </w:p>
          <w:p>
            <w:pPr>
              <w:pStyle w:val="null3"/>
              <w:spacing w:after="195"/>
              <w:ind w:firstLine="640"/>
              <w:jc w:val="both"/>
            </w:pPr>
            <w:r>
              <w:rPr>
                <w:rFonts w:ascii="仿宋_GB2312" w:hAnsi="仿宋_GB2312" w:cs="仿宋_GB2312" w:eastAsia="仿宋_GB2312"/>
                <w:sz w:val="24"/>
              </w:rPr>
              <w:t>3.人员配置：</w:t>
            </w:r>
          </w:p>
          <w:p>
            <w:pPr>
              <w:pStyle w:val="null3"/>
              <w:spacing w:after="195"/>
              <w:ind w:firstLine="640"/>
              <w:jc w:val="both"/>
            </w:pPr>
            <w:r>
              <w:rPr>
                <w:rFonts w:ascii="仿宋_GB2312" w:hAnsi="仿宋_GB2312" w:cs="仿宋_GB2312" w:eastAsia="仿宋_GB2312"/>
                <w:sz w:val="24"/>
              </w:rPr>
              <w:t>配备不少于</w:t>
            </w:r>
            <w:r>
              <w:rPr>
                <w:rFonts w:ascii="仿宋_GB2312" w:hAnsi="仿宋_GB2312" w:cs="仿宋_GB2312" w:eastAsia="仿宋_GB2312"/>
                <w:sz w:val="24"/>
              </w:rPr>
              <w:t>6名专职保安人员，</w:t>
            </w:r>
            <w:r>
              <w:rPr>
                <w:rFonts w:ascii="仿宋_GB2312" w:hAnsi="仿宋_GB2312" w:cs="仿宋_GB2312" w:eastAsia="仿宋_GB2312"/>
                <w:sz w:val="24"/>
              </w:rPr>
              <w:t>年龄</w:t>
            </w:r>
            <w:r>
              <w:rPr>
                <w:rFonts w:ascii="仿宋_GB2312" w:hAnsi="仿宋_GB2312" w:cs="仿宋_GB2312" w:eastAsia="仿宋_GB2312"/>
                <w:sz w:val="24"/>
              </w:rPr>
              <w:t>≤50岁。</w:t>
            </w:r>
            <w:r>
              <w:rPr>
                <w:rFonts w:ascii="仿宋_GB2312" w:hAnsi="仿宋_GB2312" w:cs="仿宋_GB2312" w:eastAsia="仿宋_GB2312"/>
                <w:sz w:val="24"/>
              </w:rPr>
              <w:t>持有</w:t>
            </w:r>
            <w:r>
              <w:rPr>
                <w:rFonts w:ascii="仿宋_GB2312" w:hAnsi="仿宋_GB2312" w:cs="仿宋_GB2312" w:eastAsia="仿宋_GB2312"/>
                <w:sz w:val="24"/>
              </w:rPr>
              <w:t>保安员证，</w:t>
            </w:r>
            <w:r>
              <w:rPr>
                <w:rFonts w:ascii="仿宋_GB2312" w:hAnsi="仿宋_GB2312" w:cs="仿宋_GB2312" w:eastAsia="仿宋_GB2312"/>
                <w:sz w:val="24"/>
              </w:rPr>
              <w:t>政审合格，统一着装，言行规范，身体健康，无不良嗜好</w:t>
            </w:r>
            <w:r>
              <w:rPr>
                <w:rFonts w:ascii="仿宋_GB2312" w:hAnsi="仿宋_GB2312" w:cs="仿宋_GB2312" w:eastAsia="仿宋_GB2312"/>
                <w:sz w:val="24"/>
              </w:rPr>
              <w:t>，须提供统一制服及</w:t>
            </w:r>
            <w:r>
              <w:rPr>
                <w:rFonts w:ascii="仿宋_GB2312" w:hAnsi="仿宋_GB2312" w:cs="仿宋_GB2312" w:eastAsia="仿宋_GB2312"/>
                <w:sz w:val="24"/>
              </w:rPr>
              <w:t>岗位使用设备，定期进行军事化队列及应急演练。</w:t>
            </w:r>
          </w:p>
          <w:p>
            <w:pPr>
              <w:pStyle w:val="null3"/>
              <w:spacing w:after="195"/>
              <w:ind w:firstLine="640"/>
              <w:jc w:val="both"/>
            </w:pPr>
            <w:r>
              <w:rPr>
                <w:rFonts w:ascii="仿宋_GB2312" w:hAnsi="仿宋_GB2312" w:cs="仿宋_GB2312" w:eastAsia="仿宋_GB2312"/>
                <w:sz w:val="24"/>
              </w:rPr>
              <w:t>（三）项目</w:t>
            </w:r>
            <w:r>
              <w:rPr>
                <w:rFonts w:ascii="仿宋_GB2312" w:hAnsi="仿宋_GB2312" w:cs="仿宋_GB2312" w:eastAsia="仿宋_GB2312"/>
                <w:sz w:val="24"/>
              </w:rPr>
              <w:t>经理</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1.服务要求：供应商需为本项目配备1名项目</w:t>
            </w:r>
            <w:r>
              <w:rPr>
                <w:rFonts w:ascii="仿宋_GB2312" w:hAnsi="仿宋_GB2312" w:cs="仿宋_GB2312" w:eastAsia="仿宋_GB2312"/>
                <w:sz w:val="24"/>
              </w:rPr>
              <w:t>经理</w:t>
            </w:r>
            <w:r>
              <w:rPr>
                <w:rFonts w:ascii="仿宋_GB2312" w:hAnsi="仿宋_GB2312" w:cs="仿宋_GB2312" w:eastAsia="仿宋_GB2312"/>
                <w:sz w:val="24"/>
              </w:rPr>
              <w:t>，言行规范，身体健康，无不良嗜好。日常须根据学校要求协调好物业各部门工作，管理到位，相关档案资料须保证齐全。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甲乙双方因履行本协议发生争议，可友好协商解决。双方不愿协商或者协商未果的，也可选择向甲方住所地有管辖权的人民法院提起诉讼。 2.本协议如与国家法律法规和规章以及地方有关规定不一致的，从其规定。其他未尽事宜，凡国家法律法规和规章以及地方有规定的，遵照其规定执行。未有规定的，甲乙双方可协商具体解决办法。</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1.本项目所属行业为：物业管理。从业人员1000人以下或营业收入5000万元以下的为中小微型企业。其中，从业人员300人及以上，且营业收入1000万元及以上的为中型企业。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具有独立承担民事责任能力的法人、其他组织或自然人，提供合法有效的统一社会信用代码的营业执照（事业单位提供事业单位法人证书，自然人应提供身份证）。</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tc>
        <w:tc>
          <w:tcPr>
            <w:tcW w:type="dxa" w:w="1661"/>
          </w:tcPr>
          <w:p>
            <w:pPr>
              <w:pStyle w:val="null3"/>
            </w:pPr>
            <w:r>
              <w:rPr>
                <w:rFonts w:ascii="仿宋_GB2312" w:hAnsi="仿宋_GB2312" w:cs="仿宋_GB2312" w:eastAsia="仿宋_GB2312"/>
              </w:rPr>
              <w:t>供应商特殊资格证明文件.docx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供应商特殊资格证明文件.docx 服务响应偏差表.docx 供应商承诺书.docx 商务响应表.docx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供应商需要说明的其他内容.docx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供应商针对本项目提供保洁服务方案，包含①服务内容及标准、②工作流程及工作计划、③人员配备管理制度等。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②工作流程及工作计划：每完全满足一个评审标准得1分，满分3分； ③人员配备管理制度：每完全满足一个评审标准得1分，满分3分。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磋商响应方案--保洁服务方案.docx</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一、评审内容： 供应商针对本项目提供安防服务方案，包含①服务内容及标准、②工作流程及计划、③人员配备及校园安全管理制度等。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②工作流程及计划：每完全满足一个评审标准得1分，满分3分； ③人员配备及校园安全管理制度：每完全满足一个评审标准得1分，满分3分。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磋商响应方案--安防服务方案.docx</w:t>
            </w:r>
          </w:p>
        </w:tc>
      </w:tr>
      <w:tr>
        <w:tc>
          <w:tcPr>
            <w:tcW w:type="dxa" w:w="831"/>
            <w:vMerge/>
          </w:tcPr>
          <w:p/>
        </w:tc>
        <w:tc>
          <w:tcPr>
            <w:tcW w:type="dxa" w:w="1661"/>
          </w:tcPr>
          <w:p>
            <w:pPr>
              <w:pStyle w:val="null3"/>
            </w:pPr>
            <w:r>
              <w:rPr>
                <w:rFonts w:ascii="仿宋_GB2312" w:hAnsi="仿宋_GB2312" w:cs="仿宋_GB2312" w:eastAsia="仿宋_GB2312"/>
              </w:rPr>
              <w:t>综合维修服务方案</w:t>
            </w:r>
          </w:p>
        </w:tc>
        <w:tc>
          <w:tcPr>
            <w:tcW w:type="dxa" w:w="2492"/>
          </w:tcPr>
          <w:p>
            <w:pPr>
              <w:pStyle w:val="null3"/>
            </w:pPr>
            <w:r>
              <w:rPr>
                <w:rFonts w:ascii="仿宋_GB2312" w:hAnsi="仿宋_GB2312" w:cs="仿宋_GB2312" w:eastAsia="仿宋_GB2312"/>
              </w:rPr>
              <w:t>一、评审内容： 供应商针对本项目提供综合维修服务方案，包含①维修内容及标准、②维修进度及维修计划、③人员配置管理方案、④维修安全及应急措施等。 二、评审标准： 1、完整性：方案须全面，对评审内容中的各项要求有详细描述及说明； 2、可实施性及针对性：方案能够紧扣项目实际情况，实施步骤清晰、合理，内容科学合理。 三、赋分标准（满分8分）： ①维修内容及标准：每完全满足一个评审标准得1分，满分2分； ②维修进度及维修计划：每完全满足一个评审标准得1分，满分2分； ③人员配置管理方案：每完全满足一个评审标准得1分，满分2分； ④维修安全及应急措施：每完全满足一个评审标准得1分，满分2分。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磋商响应方案--综合维修服务方案.docx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供应商针对本项目提供管理制度，包含①内控和人员管理制度、②考核制度、③奖惩激励制度等。 二、评审标准： 1、完整性：方案须全面，对评审内容中的各项要求有详细描述及说明； 2、可实施性：切合本项目实际情况，实施步骤清晰、合理； 3、针对性：方案能够紧扣项目实际情况，内容科学合理。 三、赋分标准（满分9分）： ①内控和人员管理制度：每完全满足一个评审标准得1分，满分3分； ②考核制度：每完全满足一个评审标准得1分，满分3分； ③奖惩激励制度：每完全满足一个评审标准得1分，满分3分。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磋商响应方案--管理制度.docx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供应商针对本项目提供人员配备方案，包含①项目组织架构、②岗位职责、③岗位人员配置清单、④工装服饰管理及形象管理等。 二、评审标准： 1、完整性：方案须全面，对评审内容中的各项要求有详细描述及说明； 2、可实施性及针对性：方案能够紧扣项目实际情况，实施步骤清晰、合理，内容科学合理。 三、赋分标准（满分8分）： ①项目组织架构：每完全满足一个评审标准得1分，满分2分； ②岗位职责：每完全满足一个评审标准得1分，满分2分； ③岗位人员配置清单：每完全满足一个评审标准得1分，满分2分； ④工装服饰管理及形象管理：每完全满足一个评审标准得1分，满分2分。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磋商响应方案--人员配备方案.docx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供应商针对本项目提供服务质量保证措施，包含①服务质量保证措施、②服务协调措施、③质量保证承诺等。 二、评审标准： 1、完整性：方案须全面，对评审内容中的各项要求有详细描述及说明； 2、可实施性：切合本项目实际情况，实施步骤清晰、合理； 3、针对性：方案能够紧扣项目实际情况，内容科学合理。 三、赋分标准（满分9分）： ①服务质量保证措施：每完全满足一个评审标准得1分，满分3分； ②服务协调措施：每完全满足一个评审标准得1分，满分3分； ③质量保证承诺：每完全满足一个评审标准得1分，满分3分。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磋商响应方案--服务质量保证措施.docx</w:t>
            </w:r>
          </w:p>
        </w:tc>
      </w:tr>
      <w:tr>
        <w:tc>
          <w:tcPr>
            <w:tcW w:type="dxa" w:w="831"/>
            <w:vMerge/>
          </w:tcPr>
          <w:p/>
        </w:tc>
        <w:tc>
          <w:tcPr>
            <w:tcW w:type="dxa" w:w="1661"/>
          </w:tcPr>
          <w:p>
            <w:pPr>
              <w:pStyle w:val="null3"/>
            </w:pPr>
            <w:r>
              <w:rPr>
                <w:rFonts w:ascii="仿宋_GB2312" w:hAnsi="仿宋_GB2312" w:cs="仿宋_GB2312" w:eastAsia="仿宋_GB2312"/>
              </w:rPr>
              <w:t>安全预防管理</w:t>
            </w:r>
          </w:p>
        </w:tc>
        <w:tc>
          <w:tcPr>
            <w:tcW w:type="dxa" w:w="2492"/>
          </w:tcPr>
          <w:p>
            <w:pPr>
              <w:pStyle w:val="null3"/>
            </w:pPr>
            <w:r>
              <w:rPr>
                <w:rFonts w:ascii="仿宋_GB2312" w:hAnsi="仿宋_GB2312" w:cs="仿宋_GB2312" w:eastAsia="仿宋_GB2312"/>
              </w:rPr>
              <w:t>一、评审内容： 供应商针对本项目提供安全预防管理方案，包含①传染性疾病预防、②重大卫生防控方案、③重大事故预防方案等。 二、评审标准： 1、完整性：方案须全面，对评审内容中的各项要求有详细描述及说明； 2、可实施性及针对性：方案能够紧扣项目实际情况，实施步骤清晰、合理，内容科学合理。 三、赋分标准（满分6分）： ①传染性疾病预防：每完全满足一个评审标准得1分，满分2分； ②重大卫生防控方案：每完全满足一个评审标准得1分，满分2分； ③重大事故预防方案：每完全满足一个评审标准得1分，满分2分。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磋商响应方案--安全预防管理.docx</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一、评审内容： 供应商针对本项目提供设施设备管理方案，包含①作业工具的说明、②物料的存放、发放、更换制度等。 二、评审标准： 1、完整性：方案须全面，对评审内容中的各项要求有详细描述及说明； 2、可实施性及针对性：方案能够紧扣项目实际情况，实施步骤清晰、合理，内容科学合理。 三、赋分标准（满分4分）： ①作业工具的说明：每完全满足一个评审标准得1分，满分2分； ②物料的存放、发放、更换制度：每完全满足一个评审标准得1分，满分2分。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磋商响应方案--设施设备管理.docx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供应商针对本项目提供培训方案，包含①培训内容及方式、②培训计划及考核方式等。 二、评审标准： 1、完整性：方案须全面，对评审内容中的各项要求有详细描述及说明； 2、可实施性及针对性：方案能够紧扣项目实际情况，实施步骤清晰、合理，内容科学合理。 三、赋分标准（满分4分）： ①培训内容及方式：每完全满足一个评审标准得1分，满分2分； ②培训计划及考核方式：每完全满足一个评审标准得1分，满分2分。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包含①恶劣天气、停水停电、火灾、水浸、防火等应急预案、②重大活动、紧急事件及临时性任务应急预案、③违法事件（防盗、打架斗殴、寻衅滋事等）应急预案、④重大人事变动应急预案等。 二、评审标准： 1、完整性：方案须全面，对评审内容中的各项要求有详细描述及说明； 2、可实施性及针对性：方案能够紧扣项目实际情况，实施步骤清晰、合理，内容科学合理。 三、赋分标准（满分8分）： ①恶劣天气、停水停电、火灾、水浸、防火等应急预案：每完全满足一个评审标准得1分，满分2分； ②重大活动、紧急事件及临时性任务应急预案：每完全满足一个评审标准得1分，满分2分； ③违法事件（防盗、打架斗殴、寻衅滋事等）应急预案：每完全满足一个评审标准得1分，满分2分； ④重大人事变动应急预案：每完全满足一个评审标准得1分，满分2分。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供应商针对本项目提供服务承诺，包含：①卫生保洁承诺、②安防承诺、③整体服务质量承诺等。 二、评审标准： 1、完整性：方案须全面，对评审内容中的各项要求有详细描述及说明； 2、可实施性及针对性：方案能够紧扣项目实际情况，实施步骤清晰、合理，内容科学合理。 三、赋分标准（满分6分）： ①卫生保洁承诺：每完全满足一个评审标准得1分，满分2分； ②安防承诺：每完全满足一个评审标准得1分，满分2分； ③整体服务质量承诺：每完全满足一个评审标准得1分，满分2分。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供应商提供2022年10月1日至响应文件递交截止日类似项目业绩（以合同签订时间为准，须提供完整合同复印件），每提供一份有效业绩得2分，最高得10分。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采用低价优先法计算，即满足磋商文件要求且磋商报价最低的报价为基准价，其价格分为满分。 磋商报价得分=（评标基准价/磋商报价）×10 备注：当磋商小组认为某个供应商的报价明显低于其他通过符合性审查供应商的报价，有可能影响服务质量和不能诚信履约的，应要求该供应商在评审现场合理的时间内提供书面说明，必要时提交相关证明材料；供应商不能证明其报价合理的，磋商小组会将其作为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详见附件：供应商特殊资格证明文件.docx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详见附件：磋商响应方案--保洁服务方案.docx</w:t>
      </w:r>
    </w:p>
    <w:p>
      <w:pPr>
        <w:pStyle w:val="null3"/>
        <w:ind w:firstLine="960"/>
      </w:pPr>
      <w:r>
        <w:rPr>
          <w:rFonts w:ascii="仿宋_GB2312" w:hAnsi="仿宋_GB2312" w:cs="仿宋_GB2312" w:eastAsia="仿宋_GB2312"/>
        </w:rPr>
        <w:t>详见附件：磋商响应方案--安防服务方案.docx</w:t>
      </w:r>
    </w:p>
    <w:p>
      <w:pPr>
        <w:pStyle w:val="null3"/>
        <w:ind w:firstLine="960"/>
      </w:pPr>
      <w:r>
        <w:rPr>
          <w:rFonts w:ascii="仿宋_GB2312" w:hAnsi="仿宋_GB2312" w:cs="仿宋_GB2312" w:eastAsia="仿宋_GB2312"/>
        </w:rPr>
        <w:t>详见附件：磋商响应方案--综合维修服务方案.docx</w:t>
      </w:r>
    </w:p>
    <w:p>
      <w:pPr>
        <w:pStyle w:val="null3"/>
        <w:ind w:firstLine="960"/>
      </w:pPr>
      <w:r>
        <w:rPr>
          <w:rFonts w:ascii="仿宋_GB2312" w:hAnsi="仿宋_GB2312" w:cs="仿宋_GB2312" w:eastAsia="仿宋_GB2312"/>
        </w:rPr>
        <w:t>详见附件：磋商响应方案--管理制度.docx</w:t>
      </w:r>
    </w:p>
    <w:p>
      <w:pPr>
        <w:pStyle w:val="null3"/>
        <w:ind w:firstLine="960"/>
      </w:pPr>
      <w:r>
        <w:rPr>
          <w:rFonts w:ascii="仿宋_GB2312" w:hAnsi="仿宋_GB2312" w:cs="仿宋_GB2312" w:eastAsia="仿宋_GB2312"/>
        </w:rPr>
        <w:t>详见附件：磋商响应方案--人员配备方案.docx</w:t>
      </w:r>
    </w:p>
    <w:p>
      <w:pPr>
        <w:pStyle w:val="null3"/>
        <w:ind w:firstLine="960"/>
      </w:pPr>
      <w:r>
        <w:rPr>
          <w:rFonts w:ascii="仿宋_GB2312" w:hAnsi="仿宋_GB2312" w:cs="仿宋_GB2312" w:eastAsia="仿宋_GB2312"/>
        </w:rPr>
        <w:t>详见附件：磋商响应方案--服务质量保证措施.docx</w:t>
      </w:r>
    </w:p>
    <w:p>
      <w:pPr>
        <w:pStyle w:val="null3"/>
        <w:ind w:firstLine="960"/>
      </w:pPr>
      <w:r>
        <w:rPr>
          <w:rFonts w:ascii="仿宋_GB2312" w:hAnsi="仿宋_GB2312" w:cs="仿宋_GB2312" w:eastAsia="仿宋_GB2312"/>
        </w:rPr>
        <w:t>详见附件：磋商响应方案--安全预防管理.docx</w:t>
      </w:r>
    </w:p>
    <w:p>
      <w:pPr>
        <w:pStyle w:val="null3"/>
        <w:ind w:firstLine="960"/>
      </w:pPr>
      <w:r>
        <w:rPr>
          <w:rFonts w:ascii="仿宋_GB2312" w:hAnsi="仿宋_GB2312" w:cs="仿宋_GB2312" w:eastAsia="仿宋_GB2312"/>
        </w:rPr>
        <w:t>详见附件：磋商响应方案--设施设备管理.docx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