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版本号：【KRDL】K5-251115020251211001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【KRDL】K5-2511150</w:t>
      </w:r>
      <w:r>
        <w:br/>
      </w:r>
      <w:r>
        <w:br/>
      </w:r>
      <w:r>
        <w:br/>
      </w:r>
    </w:p>
    <w:p>
      <w:pPr>
        <w:pStyle w:val="null3"/>
        <w:jc w:val="center"/>
        <w:outlineLvl w:val="2"/>
      </w:pPr>
      <w:r>
        <w:rPr>
          <w:rFonts w:ascii="仿宋_GB2312" w:hAnsi="仿宋_GB2312" w:cs="仿宋_GB2312" w:eastAsia="仿宋_GB2312"/>
          <w:sz w:val="28"/>
          <w:b/>
        </w:rPr>
        <w:t>西安高新第一小学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西安高新第一小学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【KRDL】K5-2511150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为提升校园后勤服务的专业化、标准化水平，保障教育教学工作的高效运行，西安高新第一小学拟采购一家后勤服务外包公司提供一体化的校园后勤服务。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2、财务状况证明：供应商提供经会计师事务所审计的2024年度财务审计报告；或在开标日期前六个月内其基本开户银行出具的资信证明；</w:t>
      </w:r>
    </w:p>
    <w:p>
      <w:pPr>
        <w:pStyle w:val="null3"/>
      </w:pPr>
      <w:r>
        <w:rPr>
          <w:rFonts w:ascii="仿宋_GB2312" w:hAnsi="仿宋_GB2312" w:cs="仿宋_GB2312" w:eastAsia="仿宋_GB2312"/>
        </w:rPr>
        <w:t>3、税收缴纳证明：供应商提供本单位2024年11月至今已缴纳的至少一个月纳税证明或完税证明，依法免税的单位应提供相关证明材料；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11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6、授权委托书：供应商应授权合法的人员参加本项目磋商全过程；</w:t>
      </w:r>
    </w:p>
    <w:p>
      <w:pPr>
        <w:pStyle w:val="null3"/>
      </w:pPr>
      <w:r>
        <w:rPr>
          <w:rFonts w:ascii="仿宋_GB2312" w:hAnsi="仿宋_GB2312" w:cs="仿宋_GB2312" w:eastAsia="仿宋_GB2312"/>
        </w:rPr>
        <w:t>7、是否面向中小企业采购：本项目为专门面向中小企业项目。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西安市高新区科技三路10号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芦耀辉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029-89589983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代理服务费收费标准：成交供应商参照国家计委颁发的《招标代理服务收费管理暂行办法》（计价格[2002]1980号）规定标准向采购代理机构一次付清代理服务费。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西安高新第一小学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w:t>
      </w:r>
    </w:p>
    <w:p>
      <w:pPr>
        <w:pStyle w:val="null3"/>
      </w:pPr>
      <w:r>
        <w:rPr>
          <w:rFonts w:ascii="仿宋_GB2312" w:hAnsi="仿宋_GB2312" w:cs="仿宋_GB2312" w:eastAsia="仿宋_GB2312"/>
        </w:rPr>
        <w:t>联系电话：029-81870236、17602924160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为提升校园后勤服务的专业化、标准化水平，保障教育教学工作的高效运行，西安高新第一小学拟采购一家后勤服务外包公司提供一体化的校园后勤服务。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B0F0"/>
              </w:rPr>
              <w:t>一、项目概况</w:t>
            </w:r>
          </w:p>
          <w:p>
            <w:pPr>
              <w:pStyle w:val="null3"/>
              <w:ind w:firstLine="400"/>
            </w:pPr>
            <w:r>
              <w:rPr>
                <w:rFonts w:ascii="仿宋_GB2312" w:hAnsi="仿宋_GB2312" w:cs="仿宋_GB2312" w:eastAsia="仿宋_GB2312"/>
                <w:sz w:val="20"/>
                <w:color w:val="00B0F0"/>
              </w:rPr>
              <w:t>西安高新第一小学用地总面积</w:t>
            </w:r>
            <w:r>
              <w:rPr>
                <w:rFonts w:ascii="仿宋_GB2312" w:hAnsi="仿宋_GB2312" w:cs="仿宋_GB2312" w:eastAsia="仿宋_GB2312"/>
                <w:sz w:val="20"/>
                <w:color w:val="00B0F0"/>
              </w:rPr>
              <w:t>44796.72㎡，建筑面积75738.37㎡。学校2025至2026学年有94个班，学生4322人。根据教育局核定标准，学校需配备安全管理人员11名，保洁人员17人，工程维修人员2人。</w:t>
            </w:r>
          </w:p>
          <w:p>
            <w:pPr>
              <w:pStyle w:val="null3"/>
              <w:ind w:firstLine="400"/>
            </w:pPr>
            <w:r>
              <w:rPr>
                <w:rFonts w:ascii="仿宋_GB2312" w:hAnsi="仿宋_GB2312" w:cs="仿宋_GB2312" w:eastAsia="仿宋_GB2312"/>
                <w:sz w:val="20"/>
                <w:color w:val="00B0F0"/>
              </w:rPr>
              <w:t>本项目包括安全管理人员、保洁、工程维修等服务，包括但不限于员工工资等费用，即按规定的服务范围、服务内容、服务方式、服务标准实施服务的全过程服务范围内的人工等全部费用。</w:t>
            </w:r>
          </w:p>
          <w:p>
            <w:pPr>
              <w:pStyle w:val="null3"/>
              <w:jc w:val="both"/>
            </w:pPr>
            <w:r>
              <w:rPr>
                <w:rFonts w:ascii="仿宋_GB2312" w:hAnsi="仿宋_GB2312" w:cs="仿宋_GB2312" w:eastAsia="仿宋_GB2312"/>
                <w:sz w:val="20"/>
                <w:color w:val="00B0F0"/>
              </w:rPr>
              <w:t>二、服务内容及要求</w:t>
            </w:r>
          </w:p>
          <w:p>
            <w:pPr>
              <w:pStyle w:val="null3"/>
            </w:pPr>
            <w:r>
              <w:rPr>
                <w:rFonts w:ascii="仿宋_GB2312" w:hAnsi="仿宋_GB2312" w:cs="仿宋_GB2312" w:eastAsia="仿宋_GB2312"/>
                <w:sz w:val="20"/>
                <w:color w:val="00B0F0"/>
              </w:rPr>
              <w:t>（一）后勤服务内容及要求</w:t>
            </w:r>
          </w:p>
          <w:p>
            <w:pPr>
              <w:pStyle w:val="null3"/>
            </w:pPr>
            <w:r>
              <w:rPr>
                <w:rFonts w:ascii="仿宋_GB2312" w:hAnsi="仿宋_GB2312" w:cs="仿宋_GB2312" w:eastAsia="仿宋_GB2312"/>
                <w:sz w:val="20"/>
                <w:b/>
                <w:color w:val="00B0F0"/>
              </w:rPr>
              <w:t>1.整体服务要求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1）在学校后勤服务过程中，物业公司应严格依照国家各项标准开展工作。一年内深化管理服务，提高后勤服务水平，为广大师生提供舒适、安全、宁静的学习、生活环境。</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2）安全防范：管理范围内治安案件发率为零，无任何管理责任性事故发生。</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3）环境卫生实行动态保洁、确保环境卫生满意率在95%以上。</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4）房屋及公共配套设施报修及时率100%以上。</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5）除因基建质量、设备质量在保养期内等特殊原因外，楼内及配套设施、机电设施设备完好率95%以上。</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6）管理服务人员持有相应的上岗证、资格，专业培训合格率达 100%。</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7）管理服务工作服从学校的管理监督和指导，积极配合学校各部门开展各项工作。</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8）学校对后勤服务满意率在 95%以上。</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9）严格遵守国家的法律、法规、条例以及政府部门的各项管理规定。科学、规范管理，全面推行质量管理体系，服务热情、周到，建立现代化、人性化管理服务体系。</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10）建立服务人员与学校师生的沟通机制，推行亲情服务。进一步规范和完善 24 小时值班制度。</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11）提高优质环境保障，加大清洁管理力度。确保卫生状况良好，做好与分类垃圾收运单位的收运衔接工作，确保分类垃圾规范、有序收运，做到日产日清。定期进行消毒，使校园保持洁净、舒适。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12）制定完善系统的培训计划，切实提高员工队伍的整体素质，确保持证上岗率达 100%。</w:t>
            </w:r>
          </w:p>
          <w:p>
            <w:pPr>
              <w:pStyle w:val="null3"/>
            </w:pPr>
            <w:r>
              <w:rPr>
                <w:rFonts w:ascii="仿宋_GB2312" w:hAnsi="仿宋_GB2312" w:cs="仿宋_GB2312" w:eastAsia="仿宋_GB2312"/>
                <w:sz w:val="20"/>
                <w:b/>
                <w:color w:val="00B0F0"/>
              </w:rPr>
              <w:t>2.卫生保洁管理要求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1）建筑物、玻璃门、窗、柱、走廊等洁净无污迹。室外景观、活动场地、主干道等干净整洁。</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2）公共座椅、消防设备与其他设备每天用毛巾擦拭一次。做到无污迹、无积灰。</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3）雨雪天要加强排水、排污疏通，及时清理污垢和地面积水。</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4）阴井、雨污水沟每月清理一次，及时排除沟内泥沙、污物等垃圾。</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5）广告牌及校门区域每天巡回清扫，保持地面清洁无垃圾和烟蒂，墙柱面无海报等纸片清除；广告牌每周清擦一次。</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6）楼宇内保洁要求：走廊、楼梯、停车库（场）、公共区域的地面、墙面、门窗和固定设备等每天打扫、清洁两次，并循环保洁，定人定点巡回清扫、清除杂物。</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7）厕所的保洁要求：厕所设备设施完好无损，厕所内外做到无纸屑、无果皮（核）、无污水或积水、无粪便、无垃圾及其它废弃物等。</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8）垃圾分类投放及清运工作：做到垃圾“四分类”，对校内垃圾站垃圾必须保证每天装车、清运。学校重大活动及时响应，做好卫生工作。</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9）服务标准：执行“5段2遍6清洁”标准化流程（即分5个时段、每日2次全面保洁、重点完成6类清洁任务）。</w:t>
            </w:r>
          </w:p>
          <w:p>
            <w:pPr>
              <w:pStyle w:val="null3"/>
            </w:pPr>
            <w:r>
              <w:rPr>
                <w:rFonts w:ascii="仿宋_GB2312" w:hAnsi="仿宋_GB2312" w:cs="仿宋_GB2312" w:eastAsia="仿宋_GB2312"/>
                <w:sz w:val="20"/>
                <w:color w:val="00B0F0"/>
              </w:rPr>
              <w:t>每日课前完成主要区域清扫，课间进行动态保洁，垃圾</w:t>
            </w:r>
            <w:r>
              <w:rPr>
                <w:rFonts w:ascii="仿宋_GB2312" w:hAnsi="仿宋_GB2312" w:cs="仿宋_GB2312" w:eastAsia="仿宋_GB2312"/>
                <w:sz w:val="20"/>
                <w:color w:val="00B0F0"/>
              </w:rPr>
              <w:t>“日产日清”。</w:t>
            </w:r>
          </w:p>
          <w:p>
            <w:pPr>
              <w:pStyle w:val="null3"/>
            </w:pPr>
            <w:r>
              <w:rPr>
                <w:rFonts w:ascii="仿宋_GB2312" w:hAnsi="仿宋_GB2312" w:cs="仿宋_GB2312" w:eastAsia="仿宋_GB2312"/>
                <w:sz w:val="20"/>
                <w:color w:val="00B0F0"/>
              </w:rPr>
              <w:t>每月至少进行</w:t>
            </w:r>
            <w:r>
              <w:rPr>
                <w:rFonts w:ascii="仿宋_GB2312" w:hAnsi="仿宋_GB2312" w:cs="仿宋_GB2312" w:eastAsia="仿宋_GB2312"/>
                <w:sz w:val="20"/>
                <w:color w:val="00B0F0"/>
              </w:rPr>
              <w:t>1次全面消杀（含蚊蝇防治），特定时期按校方要求增加频次。</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10）人员配置：配备17名专职保洁人员，持有效健康证，统一着装，言行规范。</w:t>
            </w:r>
          </w:p>
          <w:p>
            <w:pPr>
              <w:pStyle w:val="null3"/>
            </w:pPr>
            <w:r>
              <w:rPr>
                <w:rFonts w:ascii="仿宋_GB2312" w:hAnsi="仿宋_GB2312" w:cs="仿宋_GB2312" w:eastAsia="仿宋_GB2312"/>
                <w:sz w:val="20"/>
                <w:b/>
                <w:color w:val="00B0F0"/>
              </w:rPr>
              <w:t>3.工程设备维修维护的管理要求</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1）负责物业范围内所有土建、机电设备、给排水、外装饰、教室设备、办公电器设备的管理与维护；关键区域的设施设备管理与维护在学校指定专业技术人员的指导下实施。</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2）变配电设施、设备的日常管理、使用和一般性维修。按照变压器、配电柜管理规范和标准进行巡查，并做好记录。</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3）建筑主体及内外装饰的日常管理以及配套设施的日常管理、养护和一般性维修。</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4）教学楼所有水、电设备设施，全部机电设备设施的日常管理和一般性维修工作。</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5）服务标准：</w:t>
            </w:r>
          </w:p>
          <w:p>
            <w:pPr>
              <w:pStyle w:val="null3"/>
            </w:pPr>
            <w:r>
              <w:rPr>
                <w:rFonts w:ascii="仿宋_GB2312" w:hAnsi="仿宋_GB2312" w:cs="仿宋_GB2312" w:eastAsia="仿宋_GB2312"/>
                <w:sz w:val="20"/>
                <w:color w:val="00B0F0"/>
              </w:rPr>
              <w:t>建立</w:t>
            </w:r>
            <w:r>
              <w:rPr>
                <w:rFonts w:ascii="仿宋_GB2312" w:hAnsi="仿宋_GB2312" w:cs="仿宋_GB2312" w:eastAsia="仿宋_GB2312"/>
                <w:sz w:val="20"/>
                <w:color w:val="00B0F0"/>
              </w:rPr>
              <w:t>“1分钟响应，5分钟到场，急事即办”的快速响应机制。</w:t>
            </w:r>
          </w:p>
          <w:p>
            <w:pPr>
              <w:pStyle w:val="null3"/>
            </w:pPr>
            <w:r>
              <w:rPr>
                <w:rFonts w:ascii="仿宋_GB2312" w:hAnsi="仿宋_GB2312" w:cs="仿宋_GB2312" w:eastAsia="仿宋_GB2312"/>
                <w:sz w:val="20"/>
                <w:color w:val="00B0F0"/>
              </w:rPr>
              <w:t>提供</w:t>
            </w:r>
            <w:r>
              <w:rPr>
                <w:rFonts w:ascii="仿宋_GB2312" w:hAnsi="仿宋_GB2312" w:cs="仿宋_GB2312" w:eastAsia="仿宋_GB2312"/>
                <w:sz w:val="20"/>
                <w:color w:val="00B0F0"/>
              </w:rPr>
              <w:t>24小时紧急维修热线，普通维修任务完成率100%。</w:t>
            </w:r>
          </w:p>
          <w:p>
            <w:pPr>
              <w:pStyle w:val="null3"/>
            </w:pPr>
            <w:r>
              <w:rPr>
                <w:rFonts w:ascii="仿宋_GB2312" w:hAnsi="仿宋_GB2312" w:cs="仿宋_GB2312" w:eastAsia="仿宋_GB2312"/>
                <w:sz w:val="20"/>
                <w:color w:val="00B0F0"/>
              </w:rPr>
              <w:t>（</w:t>
            </w:r>
            <w:r>
              <w:rPr>
                <w:rFonts w:ascii="仿宋_GB2312" w:hAnsi="仿宋_GB2312" w:cs="仿宋_GB2312" w:eastAsia="仿宋_GB2312"/>
                <w:sz w:val="20"/>
                <w:color w:val="00B0F0"/>
              </w:rPr>
              <w:t>6）配备2名工程维修人员，上岗确保操作规范安全。</w:t>
            </w:r>
          </w:p>
          <w:p>
            <w:pPr>
              <w:pStyle w:val="null3"/>
            </w:pPr>
            <w:r>
              <w:rPr>
                <w:rFonts w:ascii="仿宋_GB2312" w:hAnsi="仿宋_GB2312" w:cs="仿宋_GB2312" w:eastAsia="仿宋_GB2312"/>
                <w:sz w:val="20"/>
                <w:color w:val="00B0F0"/>
              </w:rPr>
              <w:t>（二）安全管理服务内容及要求</w:t>
            </w:r>
          </w:p>
          <w:p>
            <w:pPr>
              <w:pStyle w:val="null3"/>
              <w:ind w:firstLine="400"/>
            </w:pPr>
            <w:r>
              <w:rPr>
                <w:rFonts w:ascii="仿宋_GB2312" w:hAnsi="仿宋_GB2312" w:cs="仿宋_GB2312" w:eastAsia="仿宋_GB2312"/>
                <w:sz w:val="20"/>
                <w:color w:val="00B0F0"/>
              </w:rPr>
              <w:t>1.派驻学校的安全管理人员应持有相关技能证书，年龄不超过50岁。按治安管理要求，派驻学校的安全管理人员应持身份证到学校指定部门填写“外来人员登记表”，如有人员变动应及时到学校登记备案。值班、巡逻人员值班表每月提前报送学校。</w:t>
            </w:r>
          </w:p>
          <w:p>
            <w:pPr>
              <w:pStyle w:val="null3"/>
              <w:ind w:firstLine="400"/>
            </w:pPr>
            <w:r>
              <w:rPr>
                <w:rFonts w:ascii="仿宋_GB2312" w:hAnsi="仿宋_GB2312" w:cs="仿宋_GB2312" w:eastAsia="仿宋_GB2312"/>
                <w:sz w:val="20"/>
                <w:color w:val="00B0F0"/>
              </w:rPr>
              <w:t>2.负责校园的门卫工作，按照学校管理规章制度及其他有关规定，认真管理好进出园的人员和物资等。</w:t>
            </w:r>
          </w:p>
          <w:p>
            <w:pPr>
              <w:pStyle w:val="null3"/>
              <w:ind w:firstLine="400"/>
            </w:pPr>
            <w:r>
              <w:rPr>
                <w:rFonts w:ascii="仿宋_GB2312" w:hAnsi="仿宋_GB2312" w:cs="仿宋_GB2312" w:eastAsia="仿宋_GB2312"/>
                <w:sz w:val="20"/>
                <w:color w:val="00B0F0"/>
              </w:rPr>
              <w:t>3.学校遇有重大活动、会议、招聘活动等需要增配、抽调人员协助时，应无偿按照校方要求执行，工作时应着统一服装及标志。</w:t>
            </w:r>
          </w:p>
          <w:p>
            <w:pPr>
              <w:pStyle w:val="null3"/>
              <w:ind w:firstLine="400"/>
            </w:pPr>
            <w:r>
              <w:rPr>
                <w:rFonts w:ascii="仿宋_GB2312" w:hAnsi="仿宋_GB2312" w:cs="仿宋_GB2312" w:eastAsia="仿宋_GB2312"/>
                <w:sz w:val="20"/>
                <w:color w:val="00B0F0"/>
              </w:rPr>
              <w:t>4.坚持文明执勤、文明上岗。上岗人员要仪表整洁卫生，站岗姿势要端正规范，指挥车辆动作要准确、标准，执勤语言要文明。</w:t>
            </w:r>
          </w:p>
          <w:p>
            <w:pPr>
              <w:pStyle w:val="null3"/>
              <w:ind w:firstLine="400"/>
            </w:pPr>
            <w:r>
              <w:rPr>
                <w:rFonts w:ascii="仿宋_GB2312" w:hAnsi="仿宋_GB2312" w:cs="仿宋_GB2312" w:eastAsia="仿宋_GB2312"/>
                <w:sz w:val="20"/>
                <w:color w:val="00B0F0"/>
              </w:rPr>
              <w:t>5.积极主动协调处理校内治安等方面的突发事件，迅速排除各种险情，及时制止违法犯罪行为，及时向总务处报告各类案件、事故及其他重大问题和重要情况，做好 110 接警工作。</w:t>
            </w:r>
          </w:p>
          <w:p>
            <w:pPr>
              <w:pStyle w:val="null3"/>
              <w:ind w:firstLine="400"/>
            </w:pPr>
            <w:r>
              <w:rPr>
                <w:rFonts w:ascii="仿宋_GB2312" w:hAnsi="仿宋_GB2312" w:cs="仿宋_GB2312" w:eastAsia="仿宋_GB2312"/>
                <w:sz w:val="20"/>
                <w:color w:val="00B0F0"/>
              </w:rPr>
              <w:t>6.要加强值班，建立文明值班室。值班场所做到整洁、卫生、有序，负责门前三包：“包安全、包卫生、包秩序”；上岗人员做到“六不”：不擅离岗位，不打瞌睡，不闲聊嬉闹，不玩手机，不聚众喝酒，不干私活会客。</w:t>
            </w:r>
          </w:p>
          <w:p>
            <w:pPr>
              <w:pStyle w:val="null3"/>
              <w:ind w:firstLine="400"/>
            </w:pPr>
            <w:r>
              <w:rPr>
                <w:rFonts w:ascii="仿宋_GB2312" w:hAnsi="仿宋_GB2312" w:cs="仿宋_GB2312" w:eastAsia="仿宋_GB2312"/>
                <w:sz w:val="20"/>
                <w:color w:val="00B0F0"/>
              </w:rPr>
              <w:t>7.安全管理人员应当及时制止发生在服务区域内的违法犯罪行为，对制止无效的违法犯罪行为应当立即报警，同时采取措施保护现场。</w:t>
            </w:r>
          </w:p>
          <w:p>
            <w:pPr>
              <w:pStyle w:val="null3"/>
              <w:ind w:firstLine="400"/>
            </w:pPr>
            <w:r>
              <w:rPr>
                <w:rFonts w:ascii="仿宋_GB2312" w:hAnsi="仿宋_GB2312" w:cs="仿宋_GB2312" w:eastAsia="仿宋_GB2312"/>
                <w:sz w:val="20"/>
                <w:color w:val="00B0F0"/>
              </w:rPr>
              <w:t>8.服务标准：</w:t>
            </w:r>
          </w:p>
          <w:p>
            <w:pPr>
              <w:pStyle w:val="null3"/>
              <w:ind w:left="405"/>
            </w:pPr>
            <w:r>
              <w:rPr>
                <w:rFonts w:ascii="仿宋_GB2312" w:hAnsi="仿宋_GB2312" w:cs="仿宋_GB2312" w:eastAsia="仿宋_GB2312"/>
                <w:sz w:val="20"/>
                <w:color w:val="00B0F0"/>
              </w:rPr>
              <w:t>（</w:t>
            </w:r>
            <w:r>
              <w:rPr>
                <w:rFonts w:ascii="仿宋_GB2312" w:hAnsi="仿宋_GB2312" w:cs="仿宋_GB2312" w:eastAsia="仿宋_GB2312"/>
                <w:sz w:val="20"/>
                <w:color w:val="00B0F0"/>
              </w:rPr>
              <w:t>1）实行24小时双岗制，严格执行外来人员/车辆登记、查验制度。（2）每日安全巡逻不少于10次，并做好电子及纸质记录。</w:t>
            </w:r>
          </w:p>
          <w:p>
            <w:pPr>
              <w:pStyle w:val="null3"/>
              <w:ind w:firstLine="400"/>
            </w:pPr>
            <w:r>
              <w:rPr>
                <w:rFonts w:ascii="仿宋_GB2312" w:hAnsi="仿宋_GB2312" w:cs="仿宋_GB2312" w:eastAsia="仿宋_GB2312"/>
                <w:sz w:val="20"/>
                <w:color w:val="00B0F0"/>
              </w:rPr>
              <w:t>（</w:t>
            </w:r>
            <w:r>
              <w:rPr>
                <w:rFonts w:ascii="仿宋_GB2312" w:hAnsi="仿宋_GB2312" w:cs="仿宋_GB2312" w:eastAsia="仿宋_GB2312"/>
                <w:sz w:val="20"/>
                <w:color w:val="00B0F0"/>
              </w:rPr>
              <w:t>3）熟练操作一键报警系统、监视控制系统及消防器材，具备应急处置能力。</w:t>
            </w:r>
          </w:p>
          <w:p>
            <w:pPr>
              <w:pStyle w:val="null3"/>
              <w:ind w:firstLine="400"/>
            </w:pPr>
            <w:r>
              <w:rPr>
                <w:rFonts w:ascii="仿宋_GB2312" w:hAnsi="仿宋_GB2312" w:cs="仿宋_GB2312" w:eastAsia="仿宋_GB2312"/>
                <w:sz w:val="20"/>
                <w:color w:val="00B0F0"/>
              </w:rPr>
              <w:t>（</w:t>
            </w:r>
            <w:r>
              <w:rPr>
                <w:rFonts w:ascii="仿宋_GB2312" w:hAnsi="仿宋_GB2312" w:cs="仿宋_GB2312" w:eastAsia="仿宋_GB2312"/>
                <w:sz w:val="20"/>
                <w:color w:val="00B0F0"/>
              </w:rPr>
              <w:t>4）上下学高峰时段，协助维持校门口秩序，构成“护学岗”一部分。</w:t>
            </w:r>
          </w:p>
          <w:p>
            <w:pPr>
              <w:pStyle w:val="null3"/>
              <w:ind w:firstLine="400"/>
            </w:pPr>
            <w:r>
              <w:rPr>
                <w:rFonts w:ascii="仿宋_GB2312" w:hAnsi="仿宋_GB2312" w:cs="仿宋_GB2312" w:eastAsia="仿宋_GB2312"/>
                <w:sz w:val="20"/>
                <w:color w:val="00B0F0"/>
              </w:rPr>
              <w:t>9.配备11名专职安全管理人员，持有相关技能证书，定期进行军事化队列及应急演练。</w:t>
            </w:r>
          </w:p>
          <w:p>
            <w:pPr>
              <w:pStyle w:val="null3"/>
            </w:pPr>
            <w:r>
              <w:rPr>
                <w:rFonts w:ascii="仿宋_GB2312" w:hAnsi="仿宋_GB2312" w:cs="仿宋_GB2312" w:eastAsia="仿宋_GB2312"/>
                <w:sz w:val="20"/>
                <w:color w:val="00B0F0"/>
              </w:rPr>
              <w:t>三、保险</w:t>
            </w:r>
          </w:p>
          <w:p>
            <w:pPr>
              <w:pStyle w:val="null3"/>
              <w:ind w:firstLine="400"/>
            </w:pPr>
            <w:r>
              <w:rPr>
                <w:rFonts w:ascii="仿宋_GB2312" w:hAnsi="仿宋_GB2312" w:cs="仿宋_GB2312" w:eastAsia="仿宋_GB2312"/>
                <w:sz w:val="20"/>
                <w:color w:val="00B0F0"/>
              </w:rPr>
              <w:t>供应商须为所有服务人员购买工伤保险和意外伤害险，并为服务行为购买公众责任险。</w:t>
            </w:r>
          </w:p>
          <w:p>
            <w:pPr>
              <w:pStyle w:val="null3"/>
              <w:numPr>
                <w:ilvl w:val="0"/>
                <w:numId w:val="1"/>
              </w:numPr>
            </w:pPr>
            <w:r>
              <w:rPr>
                <w:rFonts w:ascii="仿宋_GB2312" w:hAnsi="仿宋_GB2312" w:cs="仿宋_GB2312" w:eastAsia="仿宋_GB2312"/>
                <w:sz w:val="20"/>
                <w:color w:val="00B0F0"/>
              </w:rPr>
              <w:t>考核与退出</w:t>
            </w:r>
          </w:p>
          <w:p>
            <w:pPr>
              <w:pStyle w:val="null3"/>
              <w:ind w:firstLine="400"/>
            </w:pPr>
            <w:r>
              <w:rPr>
                <w:rFonts w:ascii="仿宋_GB2312" w:hAnsi="仿宋_GB2312" w:cs="仿宋_GB2312" w:eastAsia="仿宋_GB2312"/>
                <w:sz w:val="20"/>
                <w:color w:val="00B0F0"/>
              </w:rPr>
              <w:t>本项目合同执行</w:t>
            </w:r>
            <w:r>
              <w:rPr>
                <w:rFonts w:ascii="仿宋_GB2312" w:hAnsi="仿宋_GB2312" w:cs="仿宋_GB2312" w:eastAsia="仿宋_GB2312"/>
                <w:sz w:val="20"/>
                <w:color w:val="00B0F0"/>
              </w:rPr>
              <w:t>“一招三签”，即合同一年一签，合同总服务期不超过3年。成交供应商的最终成交金额作为每年度服务期结算价格，校方将依据《服务标准考核细则》每月进行考核，连续两次或累计三次考核不合格，校方有权单方面解除合同。</w:t>
            </w:r>
          </w:p>
          <w:p>
            <w:pPr>
              <w:pStyle w:val="null3"/>
            </w:pPr>
            <w:r>
              <w:rPr>
                <w:rFonts w:ascii="仿宋_GB2312" w:hAnsi="仿宋_GB2312" w:cs="仿宋_GB2312" w:eastAsia="仿宋_GB2312"/>
                <w:sz w:val="20"/>
                <w:color w:val="00B0F0"/>
              </w:rPr>
              <w:t>如达到满意标准，经双方协商，可在当年合同期满一个月办理下年度合同续签手续。如因故须终止合同，提出终止的一方应在合同期满前二个月告知对方。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自合同签订之日起一年，本项目合同执行“一招三签”，即合同一年一签，合同总服务期不超过3年。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西安高新第一小学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校方将依据《服务标准考核细则》每月进行考核，连续两次或累计三次考核不合格，校方有权单方面解除合同。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按月考核支付，服务期每满一个月，考核合格后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报价方式：自主填报响应报价，但不得超出本项目的最高限价。如超出，将按照无效磋商处理。供应商所填报的响应报价应是完成本次采购范围内所需服务的相应全部费用，包括：人员工资、社保、劳保、保险、交通、住宿、加班、餐补、其他福利、管理费、招聘服务费、利润和税金等与之相关的一切直接费、间接费。要求的其他相关费用以本竞争性磋商采购文件的内容和要求作为采购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(3)财政部、国家发展和改革委员会《关于印发〈节能产品政府采购实施意见〉的通知》 (财库〔2004〕185号)、财政部、国家环保总局联合印发《关于环境标志产品政府采购实施的意见》(财库(2006〕90号)、国务院办公厅《关于建立政府强制采购节能产品制度的通知》(国办发〔2007〕51号)、财政部、国家发展改革委、生态环境部、市场监管总局联合印发《关于调整优化节能产品、环境标志产品政府采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供应商提供本单位2024年11月至今已缴纳的至少一个月纳税证明或完税证明，依法免税的单位应提供相关证明材料；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11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供应商应授权合法的人员参加本项目磋商全过程；</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供应商应提交的相关资格证明文件.docx 响应函 项目服务实施方案.docx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供应商应提交的相关资格证明文件.docx 响应函 项目服务实施方案.docx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供应商应提交的相关资格证明文件.docx 响应函 项目服务实施方案.docx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项目整体服务方案1</w:t>
            </w:r>
          </w:p>
        </w:tc>
        <w:tc>
          <w:tcPr>
            <w:tcW w:type="dxa" w:w="2492"/>
          </w:tcPr>
          <w:p>
            <w:pPr>
              <w:pStyle w:val="null3"/>
            </w:pPr>
            <w:r>
              <w:rPr>
                <w:rFonts w:ascii="仿宋_GB2312" w:hAnsi="仿宋_GB2312" w:cs="仿宋_GB2312" w:eastAsia="仿宋_GB2312"/>
              </w:rPr>
              <w:t>1.根据供应商提供的总体服务实施方案进行评审，内容包括：（1）服务内容及要求理解程度；（2）服务过程中严格依照国家各项标准开展工作且深化管理服务；（3）整体服务实施任务分解计划。 （1）服务内容及要求理解程度： 供应商对本项目服务内容及要求理解清晰明确，能够合理把控需求目标的范围与方向得0.1-1分； 未提供的得0分。 （2）服务过程中严格依照国家各项标准开展工作且深化管理服务： 供应商能够根据服务需求在服务过程严格执行国家各项标准并能够深化管理服务的得0.1-1分； 未提供的得0分。 （3）整体服务实施任务分解计划： 项目整体实施进度计划安排妥善，任务分解契合项目采购人实际需求的得0.1-1分；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项目整体服务方案2</w:t>
            </w:r>
          </w:p>
        </w:tc>
        <w:tc>
          <w:tcPr>
            <w:tcW w:type="dxa" w:w="2492"/>
          </w:tcPr>
          <w:p>
            <w:pPr>
              <w:pStyle w:val="null3"/>
            </w:pPr>
            <w:r>
              <w:rPr>
                <w:rFonts w:ascii="仿宋_GB2312" w:hAnsi="仿宋_GB2312" w:cs="仿宋_GB2312" w:eastAsia="仿宋_GB2312"/>
              </w:rPr>
              <w:t>2.根据供应商提供的总体服务承诺进行评审，其中： （1）供应商承诺服务过程中“管理范围内治安案件发生率为零，无任何管理责任性事故发生”的得1分。 未提供的得0分。 （2）供应商承诺服务过程中“管理服务工作服从学校的管理监督和指导，积极配合学校各部门开展各项工作”的得1分。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卫生保洁服务方案1</w:t>
            </w:r>
          </w:p>
        </w:tc>
        <w:tc>
          <w:tcPr>
            <w:tcW w:type="dxa" w:w="2492"/>
          </w:tcPr>
          <w:p>
            <w:pPr>
              <w:pStyle w:val="null3"/>
            </w:pPr>
            <w:r>
              <w:rPr>
                <w:rFonts w:ascii="仿宋_GB2312" w:hAnsi="仿宋_GB2312" w:cs="仿宋_GB2312" w:eastAsia="仿宋_GB2312"/>
              </w:rPr>
              <w:t>根据供应商提供的校园卫生保洁服务方案进行评审，内容包括：（1）室外保洁（包含室外景观、活动场地、主干道、公共座椅、消防设备与其他设备、阴井、雨污水沟、广告牌及校门区域等）（2）楼宇内部保洁（3）厕所保洁及其它垃圾管理、消杀管理及公共卫生防控。 （1）室外保洁： 供应商提供的室外保洁服务方案科学合理、紧密契合采购人要求的得1.1-2分； 供应商提供的室外保洁服务方案合理，基本满足采购人要求，有一定针对性的得0.1-1分；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卫生保洁服务方案2</w:t>
            </w:r>
          </w:p>
        </w:tc>
        <w:tc>
          <w:tcPr>
            <w:tcW w:type="dxa" w:w="2492"/>
          </w:tcPr>
          <w:p>
            <w:pPr>
              <w:pStyle w:val="null3"/>
            </w:pPr>
            <w:r>
              <w:rPr>
                <w:rFonts w:ascii="仿宋_GB2312" w:hAnsi="仿宋_GB2312" w:cs="仿宋_GB2312" w:eastAsia="仿宋_GB2312"/>
              </w:rPr>
              <w:t>（2）楼宇内部保洁： 供应商提供的楼宇内部保洁服务方案科学合理、紧密契合采购人要求的得1.1-2分； 供应商提供的楼宇内部保洁服务方案合理，基本满足采购人要求，有一定针对性的得0.1-1分；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卫生保洁服务方案3</w:t>
            </w:r>
          </w:p>
        </w:tc>
        <w:tc>
          <w:tcPr>
            <w:tcW w:type="dxa" w:w="2492"/>
          </w:tcPr>
          <w:p>
            <w:pPr>
              <w:pStyle w:val="null3"/>
            </w:pPr>
            <w:r>
              <w:rPr>
                <w:rFonts w:ascii="仿宋_GB2312" w:hAnsi="仿宋_GB2312" w:cs="仿宋_GB2312" w:eastAsia="仿宋_GB2312"/>
              </w:rPr>
              <w:t>（3）厕所保洁及其它垃圾管理、消杀管理及公共卫生防控： 供应商提供的厕所保洁及其它垃圾管理、消杀管理及公共卫生防控服务方案科学合理、紧密契合采购人要求的得1.1-2分； 供应商提供的厕所保洁及其它垃圾管理、消杀管理及公共卫生防控方案合理，基本满足采购人要求，有一定针对性的得0.1-1分；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维修维护服务方案1</w:t>
            </w:r>
          </w:p>
        </w:tc>
        <w:tc>
          <w:tcPr>
            <w:tcW w:type="dxa" w:w="2492"/>
          </w:tcPr>
          <w:p>
            <w:pPr>
              <w:pStyle w:val="null3"/>
            </w:pPr>
            <w:r>
              <w:rPr>
                <w:rFonts w:ascii="仿宋_GB2312" w:hAnsi="仿宋_GB2312" w:cs="仿宋_GB2312" w:eastAsia="仿宋_GB2312"/>
              </w:rPr>
              <w:t>根据供应商提供的维修服务方案进行评审，内容包括：（1）物业范围内所有土建、机电设备、给排水、外装饰、教室设备、办公电器设备的管理与维护；（2）变配电设施、设备的日常管理；（3）建筑主体及内外装饰的日常管理以及配套设施的日常管理、养护和一般性维修；（4）教学楼所有水、电设备设施 （1）物业范围内所有土建、机电设备、给排水、外装饰、教室设备、办公电器设备的管理与维护方案： 供应商提供的物业范围内所有土建、机电设备、给排水、外装饰、教室设备、办公电器设备的管理与维护方案内容完整且符合现行行业规范、科学合理内容详细、可操作性强的得1.1-2分； 供应商提供的物业范围内所有土建、机电设备、给排水、外装饰、教室设备、办公电器设备的管理与维护方案内容充实，基本能够保证服务质量，有一定操作性的得0.1-1分；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维修维护服务方案2</w:t>
            </w:r>
          </w:p>
        </w:tc>
        <w:tc>
          <w:tcPr>
            <w:tcW w:type="dxa" w:w="2492"/>
          </w:tcPr>
          <w:p>
            <w:pPr>
              <w:pStyle w:val="null3"/>
            </w:pPr>
            <w:r>
              <w:rPr>
                <w:rFonts w:ascii="仿宋_GB2312" w:hAnsi="仿宋_GB2312" w:cs="仿宋_GB2312" w:eastAsia="仿宋_GB2312"/>
              </w:rPr>
              <w:t>（2）变配电设施、设备的日常管理： 供应商提供的变配电设施、设备的日常管理方案内容完整且符合现行行业规范、科学合理内容详细、可操作性强的得1.1-2分； 供应商提供的变配电设施、设备的日常管理方案内容充实，基本能够保证服务质量，有一定操作性的得0.1-1分；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维修维护服务方案3</w:t>
            </w:r>
          </w:p>
        </w:tc>
        <w:tc>
          <w:tcPr>
            <w:tcW w:type="dxa" w:w="2492"/>
          </w:tcPr>
          <w:p>
            <w:pPr>
              <w:pStyle w:val="null3"/>
            </w:pPr>
            <w:r>
              <w:rPr>
                <w:rFonts w:ascii="仿宋_GB2312" w:hAnsi="仿宋_GB2312" w:cs="仿宋_GB2312" w:eastAsia="仿宋_GB2312"/>
              </w:rPr>
              <w:t>（3）建筑主体及内外装饰的日常管理以及配套设施的日常管理、养护和一般性维修： 供应商提供的建筑主体及内外装饰的日常管理以及配套设施的日常管理、养护和一般性维修方案内容完整且符合现行行业规范、科学合理内容详细、可操作性强的得1.1-2分； 供应商提供的建筑主体及内外装饰的日常管理以及配套设施的日常管理、养护和一般性维修方案内容充实，基本能够保证服务质量，有一定操作性的得0.1-1分；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维修维护服务方案4</w:t>
            </w:r>
          </w:p>
        </w:tc>
        <w:tc>
          <w:tcPr>
            <w:tcW w:type="dxa" w:w="2492"/>
          </w:tcPr>
          <w:p>
            <w:pPr>
              <w:pStyle w:val="null3"/>
            </w:pPr>
            <w:r>
              <w:rPr>
                <w:rFonts w:ascii="仿宋_GB2312" w:hAnsi="仿宋_GB2312" w:cs="仿宋_GB2312" w:eastAsia="仿宋_GB2312"/>
              </w:rPr>
              <w:t>（4）教学楼所有水、电设备设施： 供应商提供的教学楼所有水、电设备设施方案内容完整且符合现行行业规范、科学合理内容详细、可操作性强的得1.1-2分； 供应商提供的教学楼所有水、电设备设施方案内容充实，基本能够保证服务质量，有一定操作性的得0.1-1分；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校园安全管理服务方案1</w:t>
            </w:r>
          </w:p>
        </w:tc>
        <w:tc>
          <w:tcPr>
            <w:tcW w:type="dxa" w:w="2492"/>
          </w:tcPr>
          <w:p>
            <w:pPr>
              <w:pStyle w:val="null3"/>
            </w:pPr>
            <w:r>
              <w:rPr>
                <w:rFonts w:ascii="仿宋_GB2312" w:hAnsi="仿宋_GB2312" w:cs="仿宋_GB2312" w:eastAsia="仿宋_GB2312"/>
              </w:rPr>
              <w:t>根据供应商提供的校园安全管理服务方案进行评审，内容包括：（1）门卫安全管理日常服务方案；（2）文明执勤、文明上岗服务方案；（3）协调处理校内治安等方面的突发事件，及时制止违法犯罪行为； （1）门卫安全管理日常服务方案： 供应商提供的门卫安全管理日常服务方案内容完整清晰、内控得当、制度明确条理清晰且契合采购人管理制度的得1.1-2分； 供应商提供的门卫安全管理日常服务方案内容完善，科学合理、基本能够满足采购人要求的得0.1-1分；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校园安全管理服务方案2</w:t>
            </w:r>
          </w:p>
        </w:tc>
        <w:tc>
          <w:tcPr>
            <w:tcW w:type="dxa" w:w="2492"/>
          </w:tcPr>
          <w:p>
            <w:pPr>
              <w:pStyle w:val="null3"/>
            </w:pPr>
            <w:r>
              <w:rPr>
                <w:rFonts w:ascii="仿宋_GB2312" w:hAnsi="仿宋_GB2312" w:cs="仿宋_GB2312" w:eastAsia="仿宋_GB2312"/>
              </w:rPr>
              <w:t>（2）文明执勤、文明上岗服务方案： 供应商提供的文明执勤、文明上岗服务方案内容完整清晰、内控得当、制度明确条理清晰且契合采购人管理制度的得1.1-2分； 供应商提供的文明执勤、文明上岗服务方案内容完善，科学合理、基本能够满足采购人要求的得0.1-1分；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校园安全管理服务方案3</w:t>
            </w:r>
          </w:p>
        </w:tc>
        <w:tc>
          <w:tcPr>
            <w:tcW w:type="dxa" w:w="2492"/>
          </w:tcPr>
          <w:p>
            <w:pPr>
              <w:pStyle w:val="null3"/>
            </w:pPr>
            <w:r>
              <w:rPr>
                <w:rFonts w:ascii="仿宋_GB2312" w:hAnsi="仿宋_GB2312" w:cs="仿宋_GB2312" w:eastAsia="仿宋_GB2312"/>
              </w:rPr>
              <w:t>（3）协调处理校内治安等方面的突发事件，及时制止违法犯罪行为： 供应商提供的协调处理校内治安等方面的突发事件，及时制止违法犯罪行为服务方案内容完整清晰、内控得当、制度明确条理清晰且契合采购人管理制度的得1.1-2分； 供应商提供的协调处理校内治安等方面的突发事件，及时制止违法犯罪行为服务方案内容完善，科学合理、基本能够满足采购人要求的得0.1-1分；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1.拟派项目经理学历 拟派项目经理具备本科（含）以上学历的得3分，专科（含）以下学历的得1分，否则不得分。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拟派项目经理年龄</w:t>
            </w:r>
          </w:p>
        </w:tc>
        <w:tc>
          <w:tcPr>
            <w:tcW w:type="dxa" w:w="2492"/>
          </w:tcPr>
          <w:p>
            <w:pPr>
              <w:pStyle w:val="null3"/>
            </w:pPr>
            <w:r>
              <w:rPr>
                <w:rFonts w:ascii="仿宋_GB2312" w:hAnsi="仿宋_GB2312" w:cs="仿宋_GB2312" w:eastAsia="仿宋_GB2312"/>
              </w:rPr>
              <w:t>拟派项目经理年龄在35（含）-55（含）岁之间的得2分，其它情况的得1分。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其它项目部人员1</w:t>
            </w:r>
          </w:p>
        </w:tc>
        <w:tc>
          <w:tcPr>
            <w:tcW w:type="dxa" w:w="2492"/>
          </w:tcPr>
          <w:p>
            <w:pPr>
              <w:pStyle w:val="null3"/>
            </w:pPr>
            <w:r>
              <w:rPr>
                <w:rFonts w:ascii="仿宋_GB2312" w:hAnsi="仿宋_GB2312" w:cs="仿宋_GB2312" w:eastAsia="仿宋_GB2312"/>
              </w:rPr>
              <w:t>对于拟派本项目其它项目部人员管理方案进行评审，包括但不限于：（1）日常管理与服务管控方案；（2）人员替换机制；（3）用工风险防控与合规管理方案。 （1）日常管理与服务管控方案： 供应商提供的其它项目部人员日常管理与服务管控方案科学合理、日常管理严格的得1.1-2分； 供应商提供的其它项目部人员日常管理与服务管控方案基本完善、基本能够符合采购人要求的得0.1-1分； 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其它项目部人员2</w:t>
            </w:r>
          </w:p>
        </w:tc>
        <w:tc>
          <w:tcPr>
            <w:tcW w:type="dxa" w:w="2492"/>
          </w:tcPr>
          <w:p>
            <w:pPr>
              <w:pStyle w:val="null3"/>
            </w:pPr>
            <w:r>
              <w:rPr>
                <w:rFonts w:ascii="仿宋_GB2312" w:hAnsi="仿宋_GB2312" w:cs="仿宋_GB2312" w:eastAsia="仿宋_GB2312"/>
              </w:rPr>
              <w:t>（2）人员替换机制： 供应商提供的人员替换机制科学合理、机制完善且能够保障人员替换后服务质量的得1.1-2分； 供应商提供的人员替换机制具有一定可行性，日常管理有基本框架但存在一定缺陷的得0.1-1分； 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其它项目部人员3</w:t>
            </w:r>
          </w:p>
        </w:tc>
        <w:tc>
          <w:tcPr>
            <w:tcW w:type="dxa" w:w="2492"/>
          </w:tcPr>
          <w:p>
            <w:pPr>
              <w:pStyle w:val="null3"/>
            </w:pPr>
            <w:r>
              <w:rPr>
                <w:rFonts w:ascii="仿宋_GB2312" w:hAnsi="仿宋_GB2312" w:cs="仿宋_GB2312" w:eastAsia="仿宋_GB2312"/>
              </w:rPr>
              <w:t>（3）用工风险防控与合规管理方案： 供应商提供的用工风险防控与合规管理方案科学合理、风险管控严格的得1.1-2分； 供应商提供的用工风险防控与合规管理方案基本完整、风险管控合理的得0.1-1分； 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企业内控管理制度</w:t>
            </w:r>
          </w:p>
        </w:tc>
        <w:tc>
          <w:tcPr>
            <w:tcW w:type="dxa" w:w="2492"/>
          </w:tcPr>
          <w:p>
            <w:pPr>
              <w:pStyle w:val="null3"/>
            </w:pPr>
            <w:r>
              <w:rPr>
                <w:rFonts w:ascii="仿宋_GB2312" w:hAnsi="仿宋_GB2312" w:cs="仿宋_GB2312" w:eastAsia="仿宋_GB2312"/>
              </w:rPr>
              <w:t>供应商提供企业内部管理制度，包含①公司管理规章制度；②质量控制管理制度；③人员招聘管理制度；④安全管理制度；⑤保洁清洁管理制度；⑥财务管理制度；⑦物资管理制度；⑧应急预案管理制度；⑨员工仪容仪表管理制度；⑩员工培训管理制度。提供齐全的得5分，每缺少一项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应急事件处理预案1</w:t>
            </w:r>
          </w:p>
        </w:tc>
        <w:tc>
          <w:tcPr>
            <w:tcW w:type="dxa" w:w="2492"/>
          </w:tcPr>
          <w:p>
            <w:pPr>
              <w:pStyle w:val="null3"/>
            </w:pPr>
            <w:r>
              <w:rPr>
                <w:rFonts w:ascii="仿宋_GB2312" w:hAnsi="仿宋_GB2312" w:cs="仿宋_GB2312" w:eastAsia="仿宋_GB2312"/>
              </w:rPr>
              <w:t>根据供应商针对本项目制定的应急预案进行评审，内容包括：（1）自然灾害及突发紧急事件：地震、水灾、消防、停水、停电、燃气泄漏、电梯困人、踩踏、突发疾病、意外伤亡、突发公共卫生事件、车辆碰撞及交通堵塞的应急预案；（2）违法事件：防盗、打架斗殴、寻衅滋事的应急预案；（3）重要活动：开学、军训、毕业、重要接待、重大活动、考务的应急预案。 （1）自然灾害及突发紧急事件：地震、水灾、消防、停水、停电、燃气泄漏、电梯困人、踩踏、突发疾病、意外伤亡、突发公共卫生事件、车辆碰撞及交通堵塞的应急预案： 供应商提供的自然灾害及突发紧急事件：地震、水灾、消防、停水、停电、燃气泄漏、电梯困人、踩踏、突发疾病、意外伤亡、突发公共卫生事件、车辆碰撞及交通堵塞的应急预案内容完整、考虑得当、有针对性、可操作性强的得1.1-2分； 供应商提供的自然灾害及突发紧急事件：地震、水灾、消防、停水、停电、燃气泄漏、电梯困人、踩踏、突发疾病、意外伤亡、突发公共卫生事件、车辆碰撞及交通堵塞的应急预案内容充实，基本能够保证应急事件的处置，有一定经验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应急事件处理预案2</w:t>
            </w:r>
          </w:p>
        </w:tc>
        <w:tc>
          <w:tcPr>
            <w:tcW w:type="dxa" w:w="2492"/>
          </w:tcPr>
          <w:p>
            <w:pPr>
              <w:pStyle w:val="null3"/>
            </w:pPr>
            <w:r>
              <w:rPr>
                <w:rFonts w:ascii="仿宋_GB2312" w:hAnsi="仿宋_GB2312" w:cs="仿宋_GB2312" w:eastAsia="仿宋_GB2312"/>
              </w:rPr>
              <w:t>（2）违法事件：防盗、打架斗殴、寻衅滋事的应急预案： 供应商提供的违法事件：防盗、打架斗殴、寻衅滋事的应急预案内容完整、考虑得当、有针对性、可操作性强的得1.1-2分； 供应商提供的违法事件：防盗、打架斗殴、寻衅滋事的应急预案内容充实，基本能够保证应急事件的处置，有一定经验的得0.1-1分；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应急事件处理预案3</w:t>
            </w:r>
          </w:p>
        </w:tc>
        <w:tc>
          <w:tcPr>
            <w:tcW w:type="dxa" w:w="2492"/>
          </w:tcPr>
          <w:p>
            <w:pPr>
              <w:pStyle w:val="null3"/>
            </w:pPr>
            <w:r>
              <w:rPr>
                <w:rFonts w:ascii="仿宋_GB2312" w:hAnsi="仿宋_GB2312" w:cs="仿宋_GB2312" w:eastAsia="仿宋_GB2312"/>
              </w:rPr>
              <w:t>（3）重要活动：开学、军训、毕业、重要接待、重大活动、考务的应急预案： 供应商提供的重要活动：开学、军训、毕业、重要接待、重大活动、考务的应急预案内容完整、考虑得当、有针对性、可操作性强的得1.1-2分； 供应商提供的重要活动：开学、军训、毕业、重要接待、重大活动、考务的应急预案内容充实，基本能够保证应急事件的处置，有一定经验的得0.1-1分；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项目档案管理方案1</w:t>
            </w:r>
          </w:p>
        </w:tc>
        <w:tc>
          <w:tcPr>
            <w:tcW w:type="dxa" w:w="2492"/>
          </w:tcPr>
          <w:p>
            <w:pPr>
              <w:pStyle w:val="null3"/>
            </w:pPr>
            <w:r>
              <w:rPr>
                <w:rFonts w:ascii="仿宋_GB2312" w:hAnsi="仿宋_GB2312" w:cs="仿宋_GB2312" w:eastAsia="仿宋_GB2312"/>
              </w:rPr>
              <w:t>根据供应商提供的档案管理方案进行评审，内容包括：（1）档案管理制度：包括档案收集、整理、保管及借阅；（2）档案工作人员管理办法。 （1）档案管理制度：包括档案收集、整理、保管及借阅： 供应商提供的档案管理制度方案完整规范，条理清晰，实时更新，保证内容真实有效，具有明确的档案借阅制度，对人员档案具有保密制度的得1.1-2分； 档案管理制度方案完整但存在瑕疵，档案更新与真实有效性不足，借阅及保密制度简略的得0.1-1分；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项目档案管理方案2</w:t>
            </w:r>
          </w:p>
        </w:tc>
        <w:tc>
          <w:tcPr>
            <w:tcW w:type="dxa" w:w="2492"/>
          </w:tcPr>
          <w:p>
            <w:pPr>
              <w:pStyle w:val="null3"/>
            </w:pPr>
            <w:r>
              <w:rPr>
                <w:rFonts w:ascii="仿宋_GB2312" w:hAnsi="仿宋_GB2312" w:cs="仿宋_GB2312" w:eastAsia="仿宋_GB2312"/>
              </w:rPr>
              <w:t>（2）档案工作人员管理办法： 供应商提供的档案工作人员管理办法内容完整清晰、内控得当、制度明确条理清晰且契合采购人管理制度的得1.1-2分； 供应商提供的档案工作人员管理办法内容完善，科学合理、基本能够满足采购人要求的得0.1-1分；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人员培训考核方案1</w:t>
            </w:r>
          </w:p>
        </w:tc>
        <w:tc>
          <w:tcPr>
            <w:tcW w:type="dxa" w:w="2492"/>
          </w:tcPr>
          <w:p>
            <w:pPr>
              <w:pStyle w:val="null3"/>
            </w:pPr>
            <w:r>
              <w:rPr>
                <w:rFonts w:ascii="仿宋_GB2312" w:hAnsi="仿宋_GB2312" w:cs="仿宋_GB2312" w:eastAsia="仿宋_GB2312"/>
              </w:rPr>
              <w:t>根据供应商提供的培训考核方案进行评审，内容包括（1）人员培训：岗前培训、定期常态化培训、应急知识培训及培训后的成果验收；（2）人员考核：针对不同的岗位、制度及工作程序制定考核方案。 （1）人员培训：岗前培训、定期常态化培训、应急知识培训及培训后的成果验收： 供应商提供的培训方案内容完整清晰，能够定期为服务人员进行相关岗位培训，增强其业务能力的得1.1-2分； 供应商提供的培训方案基本完善，内容单一，基本能够满足采购人要求的得0.1-1分； 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人员培训考核方案2</w:t>
            </w:r>
          </w:p>
        </w:tc>
        <w:tc>
          <w:tcPr>
            <w:tcW w:type="dxa" w:w="2492"/>
          </w:tcPr>
          <w:p>
            <w:pPr>
              <w:pStyle w:val="null3"/>
            </w:pPr>
            <w:r>
              <w:rPr>
                <w:rFonts w:ascii="仿宋_GB2312" w:hAnsi="仿宋_GB2312" w:cs="仿宋_GB2312" w:eastAsia="仿宋_GB2312"/>
              </w:rPr>
              <w:t>（2）人员考核：针对不同的岗位、制度及工作程序制定考核方案： 供应商提供的考核方案内容完整清晰，考核制度条理清晰且分类明确，确保服务人员上岗前经过培训且培训考核合格的得1.1-2分； 供应商提供的考核方案基本完善，内容单一，基本能够满足采购人要求的得0.1-1分； 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劳保用品服装工具1</w:t>
            </w:r>
          </w:p>
        </w:tc>
        <w:tc>
          <w:tcPr>
            <w:tcW w:type="dxa" w:w="2492"/>
          </w:tcPr>
          <w:p>
            <w:pPr>
              <w:pStyle w:val="null3"/>
            </w:pPr>
            <w:r>
              <w:rPr>
                <w:rFonts w:ascii="仿宋_GB2312" w:hAnsi="仿宋_GB2312" w:cs="仿宋_GB2312" w:eastAsia="仿宋_GB2312"/>
              </w:rPr>
              <w:t>根据供应商提供的针对本项目所需要的服装工具清单进行评审，内容包括：（1）劳保用品及易耗品；（2）工作服装； （1）劳保用品及易耗品： 供应商提供的拟投入的劳保用品及易耗品配置齐全、充分，与项目需求高度匹配的得1.1-2分； 供应商提供的拟投入的劳保用品及易耗品配置合理，基本能够满足采购人要求的得0.1-1分； 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劳保用品服装工具2</w:t>
            </w:r>
          </w:p>
        </w:tc>
        <w:tc>
          <w:tcPr>
            <w:tcW w:type="dxa" w:w="2492"/>
          </w:tcPr>
          <w:p>
            <w:pPr>
              <w:pStyle w:val="null3"/>
            </w:pPr>
            <w:r>
              <w:rPr>
                <w:rFonts w:ascii="仿宋_GB2312" w:hAnsi="仿宋_GB2312" w:cs="仿宋_GB2312" w:eastAsia="仿宋_GB2312"/>
              </w:rPr>
              <w:t>（2）工作服装： 供应商承诺上岗人员均配备符合采购人要求的工作服且样式统一，提供承诺书的得2分。承诺书格式自拟。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供应商针对本项目服务工作中的常见质量和服务问题进行梳理，供应商可根据自身情况对过程管理、质量保证、后续服务等方面作出有利于本项目开展的承诺或者增值服务，每提供1条得2.5分，满分5分。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1.根据供应商提供的在项目服务实施过程中储备可调度人员，调度人员可保障临时性工作、重大活动（会议、考试等）及突发事件处置，确保保障服务工作顺利完成的承诺书得2分。承诺书格式自拟。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2.供应商承诺上岗人员均能出具无犯罪记录证明的得2分。承诺书格式自拟。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服务承诺3</w:t>
            </w:r>
          </w:p>
        </w:tc>
        <w:tc>
          <w:tcPr>
            <w:tcW w:type="dxa" w:w="2492"/>
          </w:tcPr>
          <w:p>
            <w:pPr>
              <w:pStyle w:val="null3"/>
            </w:pPr>
            <w:r>
              <w:rPr>
                <w:rFonts w:ascii="仿宋_GB2312" w:hAnsi="仿宋_GB2312" w:cs="仿宋_GB2312" w:eastAsia="仿宋_GB2312"/>
              </w:rPr>
              <w:t>3.供应商承诺上岗人员固定，不随意更换，若出现服务人员因事、病等不能工作的，能及时调整其他服务人员补充，确保服务工作的正常进行的承诺的得2分。承诺书格式自拟。 未提供或提供内容不全不得分。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供应商提供类似业绩证明材料（以合同签订时间为准）,每提供一份得5分，最高得10分。 评审依据：供应商提供合同扫描件或复印件并加盖单位公章。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