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版本号：XDZ2025-385-J-120、XACH2025-12420251223001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灵韵北路与大吉环路增设电子警察及窄波雷达测速等设施项目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XDZ2025-385-J-120、XACH2025-124</w:t>
      </w:r>
      <w:r>
        <w:br/>
      </w:r>
      <w:r>
        <w:br/>
      </w:r>
      <w:r>
        <w:br/>
      </w:r>
    </w:p>
    <w:p>
      <w:pPr>
        <w:pStyle w:val="null3"/>
        <w:jc w:val="center"/>
        <w:outlineLvl w:val="2"/>
      </w:pPr>
      <w:r>
        <w:rPr>
          <w:rFonts w:ascii="仿宋_GB2312" w:hAnsi="仿宋_GB2312" w:cs="仿宋_GB2312" w:eastAsia="仿宋_GB2312"/>
          <w:sz w:val="28"/>
          <w:b/>
        </w:rPr>
        <w:t>西安高新技术产业开发区住房和城乡建设局</w:t>
      </w:r>
    </w:p>
    <w:p>
      <w:pPr>
        <w:pStyle w:val="null3"/>
        <w:jc w:val="center"/>
        <w:outlineLvl w:val="2"/>
      </w:pPr>
      <w:r>
        <w:rPr>
          <w:rFonts w:ascii="仿宋_GB2312" w:hAnsi="仿宋_GB2312" w:cs="仿宋_GB2312" w:eastAsia="仿宋_GB2312"/>
          <w:sz w:val="28"/>
          <w:b/>
        </w:rPr>
        <w:t>西安辰和工程咨询有限公司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西安辰和工程咨询有限公司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西安高新技术产业开发区住房和城乡建设局</w:t>
      </w:r>
      <w:r>
        <w:rPr>
          <w:rFonts w:ascii="仿宋_GB2312" w:hAnsi="仿宋_GB2312" w:cs="仿宋_GB2312" w:eastAsia="仿宋_GB2312"/>
        </w:rPr>
        <w:t>委托，拟对</w:t>
      </w:r>
      <w:r>
        <w:rPr>
          <w:rFonts w:ascii="仿宋_GB2312" w:hAnsi="仿宋_GB2312" w:cs="仿宋_GB2312" w:eastAsia="仿宋_GB2312"/>
        </w:rPr>
        <w:t>灵韵北路与大吉环路增设电子警察及窄波雷达测速等设施项目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XDZ2025-385-J-120、XACH2025-124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灵韵北路与大吉环路增设电子警察及窄波雷达测速等设施项目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本工程为灵韵北路与大吉环路增设电子警察及窄波雷达测速等设施项目，工程内容:灵韵北路与大吉环路增设卡口立杆、电子警察、雷达测速器等。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授权委托书（附法定代表人身份证复印件）及被授权委托人身份证（法定代表人参加磋商只需提供法定代表人身份证）；供应商需在项目电子化交易系统中按要求上传相应证明文件并进行电子签章。</w:t>
      </w:r>
    </w:p>
    <w:p>
      <w:pPr>
        <w:pStyle w:val="null3"/>
      </w:pPr>
      <w:r>
        <w:rPr>
          <w:rFonts w:ascii="仿宋_GB2312" w:hAnsi="仿宋_GB2312" w:cs="仿宋_GB2312" w:eastAsia="仿宋_GB2312"/>
        </w:rPr>
        <w:t>3、供应商基本资格条件承诺函：供应商须满足《中华人民共和国政府采购法》第二十二条规定（提供承诺函）；供应商需在项目电子化交易系统中按要求上传相应证明文件并进行电子签章。</w:t>
      </w:r>
    </w:p>
    <w:p>
      <w:pPr>
        <w:pStyle w:val="null3"/>
      </w:pPr>
      <w:r>
        <w:rPr>
          <w:rFonts w:ascii="仿宋_GB2312" w:hAnsi="仿宋_GB2312" w:cs="仿宋_GB2312" w:eastAsia="仿宋_GB2312"/>
        </w:rPr>
        <w:t>4、资质证书：具备建设行政主管部门颁发的机电工程施工总承包三级及以上资质，且具有有效的安全生产许可证；供应商需在项目电子化交易系统中按要求上传相应证明文件并进行电子签章。</w:t>
      </w:r>
    </w:p>
    <w:p>
      <w:pPr>
        <w:pStyle w:val="null3"/>
      </w:pPr>
      <w:r>
        <w:rPr>
          <w:rFonts w:ascii="仿宋_GB2312" w:hAnsi="仿宋_GB2312" w:cs="仿宋_GB2312" w:eastAsia="仿宋_GB2312"/>
        </w:rPr>
        <w:t>5、项目经理：具备二级及以上注册建造师执业资格（机电工程专业），具有有效的安全生产考核合格证（建安B证），在本单位注册，且未担任其他在建工程项目的项目经理；供应商需在项目电子化交易系统中按要求上传相应证明文件并进行电子签章。</w:t>
      </w:r>
    </w:p>
    <w:p>
      <w:pPr>
        <w:pStyle w:val="null3"/>
      </w:pPr>
      <w:r>
        <w:rPr>
          <w:rFonts w:ascii="仿宋_GB2312" w:hAnsi="仿宋_GB2312" w:cs="仿宋_GB2312" w:eastAsia="仿宋_GB2312"/>
        </w:rPr>
        <w:t>6、非联合体磋商：非联合体磋商声明;供应商需在项目电子化交易系统中按要求上传相应证明文件并进行电子签章。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西安高新区丝路创智谷6号楼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李丹阳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13193357245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西安辰和工程咨询有限公司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西安高新区锦业路59号高科智慧园B座四层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齐莎莎 商碧红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029-82286063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西安高新技术产业开发区财政金融局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采购包1：731,356.00元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国家计委关于印发&lt;招标代理服务收费管理暂行办法&gt;的通知》（计价格〔2002〕1980号）和发改办价格〔2003〕857号以及发改价格〔2011〕534号文中规定的标准执行，按差额定率累进法收取费用，100万以下按1.0%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西安高新技术产业开发区住房和城乡建设局</w:t>
      </w:r>
      <w:r>
        <w:rPr>
          <w:rFonts w:ascii="仿宋_GB2312" w:hAnsi="仿宋_GB2312" w:cs="仿宋_GB2312" w:eastAsia="仿宋_GB2312"/>
        </w:rPr>
        <w:t>和</w:t>
      </w:r>
      <w:r>
        <w:rPr>
          <w:rFonts w:ascii="仿宋_GB2312" w:hAnsi="仿宋_GB2312" w:cs="仿宋_GB2312" w:eastAsia="仿宋_GB2312"/>
        </w:rPr>
        <w:t>西安辰和工程咨询有限公司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西安辰和工程咨询有限公司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西安辰和工程咨询有限公司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一、符合国家、地方及行业合格标准。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联系人：齐莎莎</w:t>
      </w:r>
    </w:p>
    <w:p>
      <w:pPr>
        <w:pStyle w:val="null3"/>
      </w:pPr>
      <w:r>
        <w:rPr>
          <w:rFonts w:ascii="仿宋_GB2312" w:hAnsi="仿宋_GB2312" w:cs="仿宋_GB2312" w:eastAsia="仿宋_GB2312"/>
        </w:rPr>
        <w:t>联系电话：029-82286063</w:t>
      </w:r>
    </w:p>
    <w:p>
      <w:pPr>
        <w:pStyle w:val="null3"/>
      </w:pPr>
      <w:r>
        <w:rPr>
          <w:rFonts w:ascii="仿宋_GB2312" w:hAnsi="仿宋_GB2312" w:cs="仿宋_GB2312" w:eastAsia="仿宋_GB2312"/>
        </w:rPr>
        <w:t>地址：西安高新区锦业路59号高科智慧园B座四层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731,356.00</w:t>
      </w:r>
    </w:p>
    <w:p>
      <w:pPr>
        <w:pStyle w:val="null3"/>
      </w:pPr>
      <w:r>
        <w:rPr>
          <w:rFonts w:ascii="仿宋_GB2312" w:hAnsi="仿宋_GB2312" w:cs="仿宋_GB2312" w:eastAsia="仿宋_GB2312"/>
        </w:rPr>
        <w:t>采购包最高限价（元）: 731,356.00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灵韵北路与大吉环路增设电子警察及窄波雷达测速等设施项目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731,356.00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标的名称：灵韵北路与大吉环路增设电子警察及窄波雷达测速等设施项目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6"/>
            </w:pPr>
            <w:r>
              <w:rPr>
                <w:rFonts w:ascii="仿宋_GB2312" w:hAnsi="仿宋_GB2312" w:cs="仿宋_GB2312" w:eastAsia="仿宋_GB2312"/>
                <w:sz w:val="24"/>
                <w:b/>
              </w:rPr>
              <w:t>一、施工内容</w:t>
            </w:r>
          </w:p>
          <w:p>
            <w:pPr>
              <w:pStyle w:val="null3"/>
              <w:ind w:firstLine="484"/>
            </w:pPr>
            <w:r>
              <w:rPr>
                <w:rFonts w:ascii="仿宋_GB2312" w:hAnsi="仿宋_GB2312" w:cs="仿宋_GB2312" w:eastAsia="仿宋_GB2312"/>
                <w:sz w:val="24"/>
              </w:rPr>
              <w:t>本工程为灵韵北路与大吉环路增设电子警察及窄波雷达测速等设施项目，工程内容</w:t>
            </w:r>
            <w:r>
              <w:rPr>
                <w:rFonts w:ascii="仿宋_GB2312" w:hAnsi="仿宋_GB2312" w:cs="仿宋_GB2312" w:eastAsia="仿宋_GB2312"/>
                <w:sz w:val="24"/>
              </w:rPr>
              <w:t>:灵韵北路与大吉环路增设卡口立杆、电子警察、雷达测速器等。</w:t>
            </w:r>
          </w:p>
          <w:p>
            <w:pPr>
              <w:pStyle w:val="null3"/>
              <w:ind w:firstLine="486"/>
            </w:pPr>
            <w:r>
              <w:rPr>
                <w:rFonts w:ascii="仿宋_GB2312" w:hAnsi="仿宋_GB2312" w:cs="仿宋_GB2312" w:eastAsia="仿宋_GB2312"/>
                <w:sz w:val="24"/>
                <w:b/>
              </w:rPr>
              <w:t>二、实施地点</w:t>
            </w:r>
            <w:r>
              <w:rPr>
                <w:rFonts w:ascii="仿宋_GB2312" w:hAnsi="仿宋_GB2312" w:cs="仿宋_GB2312" w:eastAsia="仿宋_GB2312"/>
                <w:sz w:val="24"/>
              </w:rPr>
              <w:t>：采购人指定地点。</w:t>
            </w:r>
          </w:p>
          <w:p>
            <w:pPr>
              <w:pStyle w:val="null3"/>
              <w:ind w:firstLine="486"/>
            </w:pPr>
            <w:r>
              <w:rPr>
                <w:rFonts w:ascii="仿宋_GB2312" w:hAnsi="仿宋_GB2312" w:cs="仿宋_GB2312" w:eastAsia="仿宋_GB2312"/>
                <w:sz w:val="24"/>
                <w:b/>
              </w:rPr>
              <w:t>三</w:t>
            </w:r>
            <w:r>
              <w:rPr>
                <w:rFonts w:ascii="仿宋_GB2312" w:hAnsi="仿宋_GB2312" w:cs="仿宋_GB2312" w:eastAsia="仿宋_GB2312"/>
                <w:sz w:val="24"/>
                <w:b/>
              </w:rPr>
              <w:t>、项目要求：</w:t>
            </w:r>
          </w:p>
          <w:p>
            <w:pPr>
              <w:pStyle w:val="null3"/>
              <w:ind w:firstLine="484"/>
            </w:pPr>
            <w:r>
              <w:rPr>
                <w:rFonts w:ascii="仿宋_GB2312" w:hAnsi="仿宋_GB2312" w:cs="仿宋_GB2312" w:eastAsia="仿宋_GB2312"/>
                <w:sz w:val="24"/>
              </w:rPr>
              <w:t>1、</w:t>
            </w:r>
            <w:r>
              <w:rPr>
                <w:rFonts w:ascii="仿宋_GB2312" w:hAnsi="仿宋_GB2312" w:cs="仿宋_GB2312" w:eastAsia="仿宋_GB2312"/>
                <w:sz w:val="24"/>
              </w:rPr>
              <w:t>工程质量目标</w:t>
            </w:r>
            <w:r>
              <w:rPr>
                <w:rFonts w:ascii="仿宋_GB2312" w:hAnsi="仿宋_GB2312" w:cs="仿宋_GB2312" w:eastAsia="仿宋_GB2312"/>
                <w:sz w:val="24"/>
              </w:rPr>
              <w:t>:</w:t>
            </w:r>
            <w:r>
              <w:rPr>
                <w:rFonts w:ascii="仿宋_GB2312" w:hAnsi="仿宋_GB2312" w:cs="仿宋_GB2312" w:eastAsia="仿宋_GB2312"/>
                <w:sz w:val="24"/>
              </w:rPr>
              <w:t>达到国家、省市或相关行业</w:t>
            </w:r>
            <w:r>
              <w:rPr>
                <w:rFonts w:ascii="仿宋_GB2312" w:hAnsi="仿宋_GB2312" w:cs="仿宋_GB2312" w:eastAsia="仿宋_GB2312"/>
                <w:sz w:val="24"/>
              </w:rPr>
              <w:t>规范</w:t>
            </w:r>
            <w:r>
              <w:rPr>
                <w:rFonts w:ascii="仿宋_GB2312" w:hAnsi="仿宋_GB2312" w:cs="仿宋_GB2312" w:eastAsia="仿宋_GB2312"/>
                <w:sz w:val="24"/>
              </w:rPr>
              <w:t>“合格”标准要求</w:t>
            </w:r>
            <w:r>
              <w:rPr>
                <w:rFonts w:ascii="仿宋_GB2312" w:hAnsi="仿宋_GB2312" w:cs="仿宋_GB2312" w:eastAsia="仿宋_GB2312"/>
                <w:sz w:val="24"/>
              </w:rPr>
              <w:t>。</w:t>
            </w:r>
          </w:p>
          <w:p>
            <w:pPr>
              <w:pStyle w:val="null3"/>
              <w:ind w:firstLine="484"/>
            </w:pPr>
            <w:r>
              <w:rPr>
                <w:rFonts w:ascii="仿宋_GB2312" w:hAnsi="仿宋_GB2312" w:cs="仿宋_GB2312" w:eastAsia="仿宋_GB2312"/>
                <w:sz w:val="24"/>
              </w:rPr>
              <w:t>2、安全生产目标</w:t>
            </w:r>
            <w:r>
              <w:rPr>
                <w:rFonts w:ascii="仿宋_GB2312" w:hAnsi="仿宋_GB2312" w:cs="仿宋_GB2312" w:eastAsia="仿宋_GB2312"/>
                <w:sz w:val="24"/>
              </w:rPr>
              <w:t>:无伤亡事故、无重大机械事故、无扬尘、无噪音扰民。</w:t>
            </w:r>
          </w:p>
          <w:p>
            <w:pPr>
              <w:pStyle w:val="null3"/>
              <w:ind w:firstLine="526"/>
            </w:pP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工期、质保期及缺陷责任期</w:t>
            </w:r>
            <w:r>
              <w:rPr>
                <w:rFonts w:ascii="仿宋_GB2312" w:hAnsi="仿宋_GB2312" w:cs="仿宋_GB2312" w:eastAsia="仿宋_GB2312"/>
                <w:sz w:val="24"/>
                <w:b/>
              </w:rPr>
              <w:t>：</w:t>
            </w:r>
          </w:p>
          <w:p>
            <w:pPr>
              <w:pStyle w:val="null3"/>
              <w:ind w:firstLine="484"/>
            </w:pPr>
            <w:r>
              <w:rPr>
                <w:rFonts w:ascii="仿宋_GB2312" w:hAnsi="仿宋_GB2312" w:cs="仿宋_GB2312" w:eastAsia="仿宋_GB2312"/>
                <w:sz w:val="24"/>
              </w:rPr>
              <w:t>1、工期：合同签订之日起45天</w:t>
            </w:r>
            <w:r>
              <w:rPr>
                <w:rFonts w:ascii="仿宋_GB2312" w:hAnsi="仿宋_GB2312" w:cs="仿宋_GB2312" w:eastAsia="仿宋_GB2312"/>
                <w:sz w:val="24"/>
              </w:rPr>
              <w:t>。</w:t>
            </w:r>
          </w:p>
          <w:p>
            <w:pPr>
              <w:pStyle w:val="null3"/>
              <w:ind w:firstLine="484"/>
            </w:pPr>
            <w:r>
              <w:rPr>
                <w:rFonts w:ascii="仿宋_GB2312" w:hAnsi="仿宋_GB2312" w:cs="仿宋_GB2312" w:eastAsia="仿宋_GB2312"/>
                <w:sz w:val="24"/>
              </w:rPr>
              <w:t>2、质保期</w:t>
            </w:r>
            <w:r>
              <w:rPr>
                <w:rFonts w:ascii="仿宋_GB2312" w:hAnsi="仿宋_GB2312" w:cs="仿宋_GB2312" w:eastAsia="仿宋_GB2312"/>
                <w:sz w:val="24"/>
              </w:rPr>
              <w:t>：</w:t>
            </w:r>
            <w:r>
              <w:rPr>
                <w:rFonts w:ascii="仿宋_GB2312" w:hAnsi="仿宋_GB2312" w:cs="仿宋_GB2312" w:eastAsia="仿宋_GB2312"/>
                <w:sz w:val="24"/>
              </w:rPr>
              <w:t>执行建设工程质量保修条例</w:t>
            </w:r>
            <w:r>
              <w:rPr>
                <w:rFonts w:ascii="仿宋_GB2312" w:hAnsi="仿宋_GB2312" w:cs="仿宋_GB2312" w:eastAsia="仿宋_GB2312"/>
                <w:sz w:val="24"/>
              </w:rPr>
              <w:t>。</w:t>
            </w:r>
          </w:p>
          <w:p>
            <w:pPr>
              <w:pStyle w:val="null3"/>
              <w:ind w:firstLine="484"/>
            </w:pPr>
            <w:r>
              <w:rPr>
                <w:rFonts w:ascii="仿宋_GB2312" w:hAnsi="仿宋_GB2312" w:cs="仿宋_GB2312" w:eastAsia="仿宋_GB2312"/>
                <w:sz w:val="24"/>
              </w:rPr>
              <w:t>3、缺陷责任期：自工程通过竣工验收合格之日起24个月。</w:t>
            </w:r>
          </w:p>
          <w:p>
            <w:pPr>
              <w:pStyle w:val="null3"/>
              <w:ind w:firstLine="486"/>
            </w:pPr>
            <w:r>
              <w:rPr>
                <w:rFonts w:ascii="仿宋_GB2312" w:hAnsi="仿宋_GB2312" w:cs="仿宋_GB2312" w:eastAsia="仿宋_GB2312"/>
                <w:sz w:val="24"/>
                <w:b/>
              </w:rPr>
              <w:t>五</w:t>
            </w:r>
            <w:r>
              <w:rPr>
                <w:rFonts w:ascii="仿宋_GB2312" w:hAnsi="仿宋_GB2312" w:cs="仿宋_GB2312" w:eastAsia="仿宋_GB2312"/>
                <w:sz w:val="24"/>
                <w:b/>
              </w:rPr>
              <w:t>、安全</w:t>
            </w:r>
            <w:r>
              <w:rPr>
                <w:rFonts w:ascii="仿宋_GB2312" w:hAnsi="仿宋_GB2312" w:cs="仿宋_GB2312" w:eastAsia="仿宋_GB2312"/>
                <w:sz w:val="24"/>
                <w:b/>
              </w:rPr>
              <w:t>技术</w:t>
            </w:r>
            <w:r>
              <w:rPr>
                <w:rFonts w:ascii="仿宋_GB2312" w:hAnsi="仿宋_GB2312" w:cs="仿宋_GB2312" w:eastAsia="仿宋_GB2312"/>
                <w:sz w:val="24"/>
                <w:b/>
              </w:rPr>
              <w:t>要求</w:t>
            </w:r>
          </w:p>
          <w:p>
            <w:pPr>
              <w:pStyle w:val="null3"/>
              <w:ind w:firstLine="484"/>
            </w:pPr>
            <w:r>
              <w:rPr>
                <w:rFonts w:ascii="仿宋_GB2312" w:hAnsi="仿宋_GB2312" w:cs="仿宋_GB2312" w:eastAsia="仿宋_GB2312"/>
                <w:sz w:val="24"/>
              </w:rPr>
              <w:t>遵守工程建设安全生产有关管理规定，严格按安全标准组织施工，采取必要的安全生产措施，消除事故隐患。安全措施不力造成事故责任和发生的费用由成交供应商承担。</w:t>
            </w:r>
          </w:p>
          <w:p>
            <w:pPr>
              <w:pStyle w:val="null3"/>
              <w:ind w:firstLine="486"/>
            </w:pPr>
            <w:r>
              <w:rPr>
                <w:rFonts w:ascii="仿宋_GB2312" w:hAnsi="仿宋_GB2312" w:cs="仿宋_GB2312" w:eastAsia="仿宋_GB2312"/>
                <w:sz w:val="24"/>
                <w:b/>
              </w:rPr>
              <w:t>六</w:t>
            </w:r>
            <w:r>
              <w:rPr>
                <w:rFonts w:ascii="仿宋_GB2312" w:hAnsi="仿宋_GB2312" w:cs="仿宋_GB2312" w:eastAsia="仿宋_GB2312"/>
                <w:sz w:val="24"/>
                <w:b/>
              </w:rPr>
              <w:t>、工程施工基本要求</w:t>
            </w:r>
          </w:p>
          <w:p>
            <w:pPr>
              <w:pStyle w:val="null3"/>
            </w:pPr>
            <w:r>
              <w:rPr>
                <w:rFonts w:ascii="仿宋_GB2312" w:hAnsi="仿宋_GB2312" w:cs="仿宋_GB2312" w:eastAsia="仿宋_GB2312"/>
                <w:sz w:val="24"/>
              </w:rPr>
              <w:t xml:space="preserve">    严格按国家有关规定做到文明施工，规范施工，严格把好各道施工工序的质量，确保工程质量，并按要求如期完成工程建设，编制施工组织设计方案，确保工程按时优质完成，编制总进度计划，合理安排劳动力、物力、财力，尽量做到综合平衡配套施工，确保工程顺利完成。</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（1）《中华人民共和国建筑法》 （2）《建设工程质量管理条例》（国务院279号） （3）《建设工程安全生产管理条例》（国务院393号） （4）《建筑工程施工质量验收统一标准》GB 50303-2013 （5）《建筑施工安全检查标准》 JGJ59-2011 （6）《建设工程项目管理规范》（GB/T50326-2017） 符合国家有关工程施工质量验收标准合格条件，达到国家现行施工验收规范“合格”标准。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3.3.1付款方式 1）合同签订后支付合同价款的10%作为预付款。 2）工程全部完工并由采购人验收合格、结算审核完成后支付至结算金额的97%，剩余3%作为质保金，质保金在缺陷责任期（24个月）满后一次性无息支付。 3.3.2本项目磋商总报价为完成本项目磋商文件中所提出的工作范围及要求的全部内容，并达到国家及采购人验收标准而产生的所有费用，投标报价包括但不限于以下内容：包括人工费、材料费、机械费、措施费、管理费、利润、税金、风险、工程保险费、招标代理服务费、防污治霾费等完成本项目所产生的一切费用。任何错报、漏报由供应商自行负责。 3.3.3清单编制依据：陕西省工程建设标准《房屋建筑与装饰工程工程量计算标准》DB61/T 5129-2025、陕西省工程建设标准《房屋建筑与装饰工程量计算标准》DB61/T5130-2025、陕西省工程建设标准《市政工程工程量计算标准》DB61/T5128-2025、陕西省工程建设标准《园林绿化工程工程量计算标准》DB61/T5131-2025; 《陕西省建设工程费用规则》（2025）、《陕西省房屋建筑与装饰工程消耗量定额》(2025)、《陕西省通用安装工程消耗量定额》（2025）、《陕西省市政工程消耗量定额》（2025）、《陕西省园林绿化工程消耗量定额》（2025）、《陕西省房屋建筑与装饰工程基价表》（2025）、《陕西省通用安装工程基价表》（2025）、《陕西省市政工程基价表》（2025）、《陕西省园林绿化工程基价表》（2025）、《陕西省建设工程施工机械台班费用定额》（2025）、《陕西省建设工程施工仪器仪表台班费用定额》（2025）及配套计价费率、相关政策性文件。 3.3.4广联达计价软件版本号：GCCP7.5000.23.2。 3.3.5成交人领取成交通知书时须向代理机构提交纸质版磋商响应文件：正本壹份、副本贰份、电子版（U盘）贰份。 3.3.6采购标的对应的所属行业：建筑业。根据《工业和信息化部、国家统计局、国家发展和改革委员会、财政部关于印发中小企业划型标准规定的通知》（工信部联企业〔2011〕300号）规定的划分标准，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法定代表人授权委托书（附法定代表人身份证复印件）及被授权委托人身份证（法定代表人参加磋商只需提供法定代表人身份证）；供应商需在项目电子化交易系统中按要求上传相应证明文件并进行电子签章。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供应商基本资格条件承诺函</w:t>
            </w:r>
          </w:p>
        </w:tc>
        <w:tc>
          <w:tcPr>
            <w:tcW w:type="dxa" w:w="3322"/>
          </w:tcPr>
          <w:p>
            <w:pPr>
              <w:pStyle w:val="null3"/>
            </w:pPr>
            <w:r>
              <w:rPr>
                <w:rFonts w:ascii="仿宋_GB2312" w:hAnsi="仿宋_GB2312" w:cs="仿宋_GB2312" w:eastAsia="仿宋_GB2312"/>
              </w:rPr>
              <w:t>供应商须满足《中华人民共和国政府采购法》第二十二条规定（提供承诺函）；供应商需在项目电子化交易系统中按要求上传相应证明文件并进行电子签章。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具备建设行政主管部门颁发的机电工程施工总承包三级及以上资质，且具有有效的安全生产许可证；供应商需在项目电子化交易系统中按要求上传相应证明文件并进行电子签章。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具备二级及以上注册建造师执业资格（机电工程专业），具有有效的安全生产考核合格证（建安B证），在本单位注册，且未担任其他在建工程项目的项目经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已标价工程量清单 报价函 标的清单 第一轮报价表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w:t>
            </w:r>
          </w:p>
        </w:tc>
        <w:tc>
          <w:tcPr>
            <w:tcW w:type="dxa" w:w="3322"/>
          </w:tcPr>
          <w:p>
            <w:pPr>
              <w:pStyle w:val="null3"/>
            </w:pPr>
            <w:r>
              <w:rPr>
                <w:rFonts w:ascii="仿宋_GB2312" w:hAnsi="仿宋_GB2312" w:cs="仿宋_GB2312" w:eastAsia="仿宋_GB2312"/>
              </w:rPr>
              <w:t>响应文件按照规定格式签字、盖章；</w:t>
            </w:r>
          </w:p>
        </w:tc>
        <w:tc>
          <w:tcPr>
            <w:tcW w:type="dxa" w:w="1661"/>
          </w:tcPr>
          <w:p>
            <w:pPr>
              <w:pStyle w:val="null3"/>
            </w:pPr>
            <w:r>
              <w:rPr>
                <w:rFonts w:ascii="仿宋_GB2312" w:hAnsi="仿宋_GB2312" w:cs="仿宋_GB2312" w:eastAsia="仿宋_GB2312"/>
              </w:rPr>
              <w:t>已标价工程量清单 中小企业声明函 技术标 技术服务合同条款及其他商务要求应答表 响应文件封面 资格证明文件 政府采购供应商拒绝政府采购领域商业贿赂承诺书 残疾人福利性单位声明函 报价函 标的清单 供应商承诺书 响应函 业绩证明文件 监狱企业的证明文件 第一轮报价表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磋商响应有效期</w:t>
            </w:r>
          </w:p>
        </w:tc>
        <w:tc>
          <w:tcPr>
            <w:tcW w:type="dxa" w:w="3322"/>
          </w:tcPr>
          <w:p>
            <w:pPr>
              <w:pStyle w:val="null3"/>
            </w:pPr>
            <w:r>
              <w:rPr>
                <w:rFonts w:ascii="仿宋_GB2312" w:hAnsi="仿宋_GB2312" w:cs="仿宋_GB2312" w:eastAsia="仿宋_GB2312"/>
              </w:rPr>
              <w:t>响应文件有磋商响应有效期且响应有效期达到磋商文件的要求；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供应商针对同一工程及服务未递交两份或多份内容不同的响应文件，未出现选择性报价；</w:t>
            </w:r>
          </w:p>
        </w:tc>
        <w:tc>
          <w:tcPr>
            <w:tcW w:type="dxa" w:w="1661"/>
          </w:tcPr>
          <w:p>
            <w:pPr>
              <w:pStyle w:val="null3"/>
            </w:pPr>
            <w:r>
              <w:rPr>
                <w:rFonts w:ascii="仿宋_GB2312" w:hAnsi="仿宋_GB2312" w:cs="仿宋_GB2312" w:eastAsia="仿宋_GB2312"/>
              </w:rPr>
              <w:t>已标价工程量清单 报价函 标的清单 第一轮报价表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已标价工程量清单 中小企业声明函 技术标 技术服务合同条款及其他商务要求应答表 响应文件封面 资格证明文件 政府采购供应商拒绝政府采购领域商业贿赂承诺书 残疾人福利性单位声明函 报价函 标的清单 供应商承诺书 响应函 业绩证明文件 监狱企业的证明文件 第一轮报价表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符合磋商文件规定的其他实质性要求</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已标价工程量清单 中小企业声明函 技术标 技术服务合同条款及其他商务要求应答表 响应文件封面 资格证明文件 政府采购供应商拒绝政府采购领域商业贿赂承诺书 残疾人福利性单位声明函 报价函 标的清单 供应商承诺书 响应函 业绩证明文件 监狱企业的证明文件 第一轮报价表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符合《中华人民共和国政府采购法》有关规定和磋商纪律</w:t>
            </w:r>
          </w:p>
        </w:tc>
        <w:tc>
          <w:tcPr>
            <w:tcW w:type="dxa" w:w="3322"/>
          </w:tcPr>
          <w:p>
            <w:pPr>
              <w:pStyle w:val="null3"/>
            </w:pPr>
            <w:r>
              <w:rPr>
                <w:rFonts w:ascii="仿宋_GB2312" w:hAnsi="仿宋_GB2312" w:cs="仿宋_GB2312" w:eastAsia="仿宋_GB2312"/>
              </w:rPr>
              <w:t>符合《中华人民共和国政府采购法》有关规定和磋商纪律。</w:t>
            </w:r>
          </w:p>
        </w:tc>
        <w:tc>
          <w:tcPr>
            <w:tcW w:type="dxa" w:w="1661"/>
          </w:tcPr>
          <w:p>
            <w:pPr>
              <w:pStyle w:val="null3"/>
            </w:pPr>
            <w:r>
              <w:rPr>
                <w:rFonts w:ascii="仿宋_GB2312" w:hAnsi="仿宋_GB2312" w:cs="仿宋_GB2312" w:eastAsia="仿宋_GB2312"/>
              </w:rPr>
              <w:t>已标价工程量清单 中小企业声明函 技术标 技术服务合同条款及其他商务要求应答表 响应文件封面 资格证明文件 政府采购供应商拒绝政府采购领域商业贿赂承诺书 残疾人福利性单位声明函 报价函 标的清单 供应商承诺书 响应函 业绩证明文件 监狱企业的证明文件 第一轮报价表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方案总体思路清晰、合理、可操作性强、可执行程度强，且能很好推动项目实施计（7-10]分；方案总体思路基本明确、可行性、合理性高计（4-7]分；方案思路模糊、可行性、不够合理计[0-4]分。本项满分10分；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w:t>
            </w:r>
          </w:p>
        </w:tc>
      </w:tr>
      <w:tr>
        <w:tc>
          <w:tcPr>
            <w:tcW w:type="dxa" w:w="831"/>
            <w:vMerge/>
          </w:tcPr>
          <w:p/>
        </w:tc>
        <w:tc>
          <w:tcPr>
            <w:tcW w:type="dxa" w:w="1661"/>
          </w:tcPr>
          <w:p>
            <w:pPr>
              <w:pStyle w:val="null3"/>
            </w:pPr>
            <w:r>
              <w:rPr>
                <w:rFonts w:ascii="仿宋_GB2312" w:hAnsi="仿宋_GB2312" w:cs="仿宋_GB2312" w:eastAsia="仿宋_GB2312"/>
              </w:rPr>
              <w:t>项目经理部组成及劳动力投入</w:t>
            </w:r>
          </w:p>
        </w:tc>
        <w:tc>
          <w:tcPr>
            <w:tcW w:type="dxa" w:w="2492"/>
          </w:tcPr>
          <w:p>
            <w:pPr>
              <w:pStyle w:val="null3"/>
            </w:pPr>
            <w:r>
              <w:rPr>
                <w:rFonts w:ascii="仿宋_GB2312" w:hAnsi="仿宋_GB2312" w:cs="仿宋_GB2312" w:eastAsia="仿宋_GB2312"/>
              </w:rPr>
              <w:t>人员搭配合理，数量充足，经验丰富，证明材料详尽计（4-8]分;人员搭配较为合理，数量较充足，经验不足，证明材料不够详尽计[0-4]分。本项满分8分；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w:t>
            </w:r>
          </w:p>
        </w:tc>
      </w:tr>
      <w:tr>
        <w:tc>
          <w:tcPr>
            <w:tcW w:type="dxa" w:w="831"/>
            <w:vMerge/>
          </w:tcPr>
          <w:p/>
        </w:tc>
        <w:tc>
          <w:tcPr>
            <w:tcW w:type="dxa" w:w="1661"/>
          </w:tcPr>
          <w:p>
            <w:pPr>
              <w:pStyle w:val="null3"/>
            </w:pPr>
            <w:r>
              <w:rPr>
                <w:rFonts w:ascii="仿宋_GB2312" w:hAnsi="仿宋_GB2312" w:cs="仿宋_GB2312" w:eastAsia="仿宋_GB2312"/>
              </w:rPr>
              <w:t>施工机械及工器具的配备情况</w:t>
            </w:r>
          </w:p>
        </w:tc>
        <w:tc>
          <w:tcPr>
            <w:tcW w:type="dxa" w:w="2492"/>
          </w:tcPr>
          <w:p>
            <w:pPr>
              <w:pStyle w:val="null3"/>
            </w:pPr>
            <w:r>
              <w:rPr>
                <w:rFonts w:ascii="仿宋_GB2312" w:hAnsi="仿宋_GB2312" w:cs="仿宋_GB2312" w:eastAsia="仿宋_GB2312"/>
              </w:rPr>
              <w:t>机械、设备安排合理、完整计（3-7]分，机械、设备安排简单计[0-3]分。本项满分7分；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w:t>
            </w:r>
          </w:p>
        </w:tc>
      </w:tr>
      <w:tr>
        <w:tc>
          <w:tcPr>
            <w:tcW w:type="dxa" w:w="831"/>
            <w:vMerge/>
          </w:tcPr>
          <w:p/>
        </w:tc>
        <w:tc>
          <w:tcPr>
            <w:tcW w:type="dxa" w:w="1661"/>
          </w:tcPr>
          <w:p>
            <w:pPr>
              <w:pStyle w:val="null3"/>
            </w:pPr>
            <w:r>
              <w:rPr>
                <w:rFonts w:ascii="仿宋_GB2312" w:hAnsi="仿宋_GB2312" w:cs="仿宋_GB2312" w:eastAsia="仿宋_GB2312"/>
              </w:rPr>
              <w:t>确保本项目质量的技术组织措施</w:t>
            </w:r>
          </w:p>
        </w:tc>
        <w:tc>
          <w:tcPr>
            <w:tcW w:type="dxa" w:w="2492"/>
          </w:tcPr>
          <w:p>
            <w:pPr>
              <w:pStyle w:val="null3"/>
            </w:pPr>
            <w:r>
              <w:rPr>
                <w:rFonts w:ascii="仿宋_GB2312" w:hAnsi="仿宋_GB2312" w:cs="仿宋_GB2312" w:eastAsia="仿宋_GB2312"/>
              </w:rPr>
              <w:t>措施内容科学可行、有针对性且内容详细计（4-8]分，措施内容较为可行、针对性不强、内容简单计[0-4]分。本项满分8分；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w:t>
            </w:r>
          </w:p>
        </w:tc>
      </w:tr>
      <w:tr>
        <w:tc>
          <w:tcPr>
            <w:tcW w:type="dxa" w:w="831"/>
            <w:vMerge/>
          </w:tcPr>
          <w:p/>
        </w:tc>
        <w:tc>
          <w:tcPr>
            <w:tcW w:type="dxa" w:w="1661"/>
          </w:tcPr>
          <w:p>
            <w:pPr>
              <w:pStyle w:val="null3"/>
            </w:pPr>
            <w:r>
              <w:rPr>
                <w:rFonts w:ascii="仿宋_GB2312" w:hAnsi="仿宋_GB2312" w:cs="仿宋_GB2312" w:eastAsia="仿宋_GB2312"/>
              </w:rPr>
              <w:t>货物合法来源证明文件及质量保障方案</w:t>
            </w:r>
          </w:p>
        </w:tc>
        <w:tc>
          <w:tcPr>
            <w:tcW w:type="dxa" w:w="2492"/>
          </w:tcPr>
          <w:p>
            <w:pPr>
              <w:pStyle w:val="null3"/>
            </w:pPr>
            <w:r>
              <w:rPr>
                <w:rFonts w:ascii="仿宋_GB2312" w:hAnsi="仿宋_GB2312" w:cs="仿宋_GB2312" w:eastAsia="仿宋_GB2312"/>
              </w:rPr>
              <w:t>供应商须提供本项目货物合法来源证明文件（包含但不限于授权、协议等）及提供详细的质量保障方案，有相应的质量承诺，根据优劣程度及可实施性计分。货物证明文件齐全，质量保障方案完整、可操作性强、产品性能好、细节考虑到位，且优于磋商文件要求的计（7-10]分；货物证明文件较齐全，质量保障方案一般、有相对可操作性、产品性能一般的计（4-7]分；货物证明文件不齐全，质量保障方案简单、产品性能差，不适用于本项目的计[0-4]分。本项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w:t>
            </w:r>
          </w:p>
        </w:tc>
      </w:tr>
      <w:tr>
        <w:tc>
          <w:tcPr>
            <w:tcW w:type="dxa" w:w="831"/>
            <w:vMerge/>
          </w:tcPr>
          <w:p/>
        </w:tc>
        <w:tc>
          <w:tcPr>
            <w:tcW w:type="dxa" w:w="1661"/>
          </w:tcPr>
          <w:p>
            <w:pPr>
              <w:pStyle w:val="null3"/>
            </w:pPr>
            <w:r>
              <w:rPr>
                <w:rFonts w:ascii="仿宋_GB2312" w:hAnsi="仿宋_GB2312" w:cs="仿宋_GB2312" w:eastAsia="仿宋_GB2312"/>
              </w:rPr>
              <w:t>确保安全生产和文明施工的技术组织措施</w:t>
            </w:r>
          </w:p>
        </w:tc>
        <w:tc>
          <w:tcPr>
            <w:tcW w:type="dxa" w:w="2492"/>
          </w:tcPr>
          <w:p>
            <w:pPr>
              <w:pStyle w:val="null3"/>
            </w:pPr>
            <w:r>
              <w:rPr>
                <w:rFonts w:ascii="仿宋_GB2312" w:hAnsi="仿宋_GB2312" w:cs="仿宋_GB2312" w:eastAsia="仿宋_GB2312"/>
              </w:rPr>
              <w:t>确保安全生产和文明施工的技术组织措施，措施内容科学可行、有针对性且内容详细计（4-8]分，措施内容较为可行、针对性不强、内容简单计[0-4]分。本项满分8分；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措施内容科学可行、有针对性且内容详细计（4-8]分，措施内容较为可行、针对性不强、内容简单计[0-4]分。本项满分8分；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根据进度表或网络图结构清晰、安排科学合理响应程度计[0-5]分，本项满分5分。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提供供应商2022年以来类似项目业绩合同（以合同签订时间为准），每份计2分，满分6分。（注：以上证明文件在磋商响应文件中附业绩合同扫描件并加盖公章）。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第一轮报价表</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1.对于经主管预算单位统筹后未预留份额专门面向中小企业采购的采购项目，以及预留份额项目中的非预留部分采购包，对符合《政府采购促进中小企业发展管理办法》（财库〔2020〕46号）规定的小微企业报价给予3%的扣除，用扣除后的价格参加评审。承接本项目的供应商符合相应条件时，给予3%的价格扣除，即：评标价=最后报价×（1-3%）;监狱企业与残疾人福利性单位视同小型、微型企业，享受同等价格扣除，当企业属性重复时，不重复价格扣除。 2.采购标的对应的所属行业：建筑业。根据《工业和信息化部、国家统计局、国家发展和改革委员会、财政部关于印发中小企业划型标准规定的通知》（工信部联企业〔2011〕300号）规定的划分标准，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第一轮报价表</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详见附件：第一轮报价表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详见附件：技术标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