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版本号：HXCT-2025-05820251225001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西安高新区韦斗大道(纬二十路)(经四十路-造字台路)等市政道路建设项目代建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HXCT-2025-058</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西安高新区韦斗大道(纬二十路)(经四十路-造字台路)等市政道路建设项目代建</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HXCT-2025-058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西安高新区韦斗大道(纬二十路)(经四十路-造字台路)等市政道路建设项目代建</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（1）韦斗大道（纬二十路）（经四十路-造字台路）道路工程，采购预算350.69万元； （2）综保区空白区域管网完善建设项目(综二路、保六路)道路工程，采购预算41.28万元； （3）枣薇路西侧规划路(润丰路-竹南路)市政道路，采购预算78.35万元；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出具法定代表人身份证明及法人身份证；法定代表人授权代表参加投标的，须出具法定代表人授权委托书和被授权人身份证及该人员在本单位缴纳社保记录证明(近3个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西安高新技术产业开发区公共项目建设管理中心经办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81150161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15129053022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采购包1：4,703,200.00元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计算方法：以成交金额为基数，根据《国家计委关于印发&lt;招标代理服务收费管理暂行办法&gt;的通知》（计价格[2002]1980号）以及《关于进一步放开建设项目专业服务价格的通知》（发改价格[2015]299号）规定的标准下浮5％收取。单次代理服务费不足5000元的按5000元计算。2、在成交单位在领取成交通知书前，须向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联系电话：15129053022</w:t>
      </w:r>
    </w:p>
    <w:p>
      <w:pPr>
        <w:pStyle w:val="null3"/>
      </w:pPr>
      <w:r>
        <w:rPr>
          <w:rFonts w:ascii="仿宋_GB2312" w:hAnsi="仿宋_GB2312" w:cs="仿宋_GB2312" w:eastAsia="仿宋_GB2312"/>
        </w:rPr>
        <w:t>地址：西安经济技术开发区凤城七路长和国际D座26层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1）韦斗大道（纬二十路）（经四十路-造字台路）道路工程代建单位采购，采购预算350.69万元； （2）综保区空白区域管网完善建设项目(综二路、保六路)道路工程代建单位采购，采购预算41.28万元； （3）枣薇路西侧规划路(润丰路-竹南路)市政道路及西太路与兆元路交叉口改造项目代建单位采购，采购预算78.35万元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4,703,200.00</w:t>
      </w:r>
    </w:p>
    <w:p>
      <w:pPr>
        <w:pStyle w:val="null3"/>
      </w:pPr>
      <w:r>
        <w:rPr>
          <w:rFonts w:ascii="仿宋_GB2312" w:hAnsi="仿宋_GB2312" w:cs="仿宋_GB2312" w:eastAsia="仿宋_GB2312"/>
        </w:rPr>
        <w:t>采购包最高限价（元）: 4,703,200.00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西安高新区韦斗大道(纬二十路)(经四十路-造字台路)等市政道路建设项目代建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4,703,200.00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标的名称：西安高新区韦斗大道(纬二十路)(经四十路-造字台路)等市政道路建设项目代建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15"/>
                <w:b/>
              </w:rPr>
              <w:t>西安高新区韦斗大道(纬二十路)(经四十路-造字台路)等市政道路建设项目代建采购需求</w:t>
            </w:r>
          </w:p>
          <w:p>
            <w:pPr>
              <w:pStyle w:val="null3"/>
              <w:ind w:firstLine="643"/>
              <w:jc w:val="both"/>
            </w:pPr>
            <w:r>
              <w:rPr>
                <w:rFonts w:ascii="仿宋_GB2312" w:hAnsi="仿宋_GB2312" w:cs="仿宋_GB2312" w:eastAsia="仿宋_GB2312"/>
                <w:sz w:val="15"/>
                <w:b/>
              </w:rPr>
              <w:t>一、基本要求</w:t>
            </w:r>
          </w:p>
          <w:p>
            <w:pPr>
              <w:pStyle w:val="null3"/>
              <w:ind w:firstLine="640"/>
              <w:jc w:val="both"/>
            </w:pPr>
            <w:r>
              <w:rPr>
                <w:rFonts w:ascii="仿宋_GB2312" w:hAnsi="仿宋_GB2312" w:cs="仿宋_GB2312" w:eastAsia="仿宋_GB2312"/>
                <w:sz w:val="15"/>
                <w:color w:val="000000"/>
              </w:rPr>
              <w:t>1、项目概况：</w:t>
            </w:r>
          </w:p>
          <w:p>
            <w:pPr>
              <w:pStyle w:val="null3"/>
              <w:ind w:firstLine="640"/>
              <w:jc w:val="both"/>
            </w:pPr>
            <w:r>
              <w:rPr>
                <w:rFonts w:ascii="仿宋_GB2312" w:hAnsi="仿宋_GB2312" w:cs="仿宋_GB2312" w:eastAsia="仿宋_GB2312"/>
                <w:sz w:val="15"/>
              </w:rPr>
              <w:t>（1）韦斗大道（纬二十路）（经四十路-造字台路）道路工程，采购预算350.69万元；</w:t>
            </w:r>
          </w:p>
          <w:p>
            <w:pPr>
              <w:pStyle w:val="null3"/>
              <w:ind w:firstLine="640"/>
              <w:jc w:val="both"/>
            </w:pPr>
            <w:r>
              <w:rPr>
                <w:rFonts w:ascii="仿宋_GB2312" w:hAnsi="仿宋_GB2312" w:cs="仿宋_GB2312" w:eastAsia="仿宋_GB2312"/>
                <w:sz w:val="15"/>
              </w:rPr>
              <w:t>（2）综保区空白区域管网完善建设项目(综二路、保六路)道路工程，采购预算41.28万元；</w:t>
            </w:r>
          </w:p>
          <w:p>
            <w:pPr>
              <w:pStyle w:val="null3"/>
              <w:ind w:firstLine="640"/>
              <w:jc w:val="both"/>
            </w:pPr>
            <w:r>
              <w:rPr>
                <w:rFonts w:ascii="仿宋_GB2312" w:hAnsi="仿宋_GB2312" w:cs="仿宋_GB2312" w:eastAsia="仿宋_GB2312"/>
                <w:sz w:val="15"/>
              </w:rPr>
              <w:t>（3）枣薇路西侧规划路(润丰路-竹南路)市政道路，采购预算78.35万元；</w:t>
            </w:r>
          </w:p>
          <w:p>
            <w:pPr>
              <w:pStyle w:val="null3"/>
              <w:numPr>
                <w:ilvl w:val="0"/>
                <w:numId w:val="1"/>
              </w:numPr>
              <w:jc w:val="both"/>
            </w:pPr>
            <w:r>
              <w:rPr>
                <w:rFonts w:ascii="仿宋_GB2312" w:hAnsi="仿宋_GB2312" w:cs="仿宋_GB2312" w:eastAsia="仿宋_GB2312"/>
                <w:sz w:val="15"/>
                <w:color w:val="000000"/>
              </w:rPr>
              <w:t>采购内容:</w:t>
            </w:r>
            <w:r>
              <w:rPr>
                <w:rFonts w:ascii="仿宋_GB2312" w:hAnsi="仿宋_GB2312" w:cs="仿宋_GB2312" w:eastAsia="仿宋_GB2312"/>
                <w:sz w:val="15"/>
                <w:color w:val="000000"/>
              </w:rPr>
              <w:t>西安高新区韦斗大道(纬二十路)(经四十路-造字台路)等市政道路建设项目代建，</w:t>
            </w:r>
            <w:r>
              <w:rPr>
                <w:rFonts w:ascii="仿宋_GB2312" w:hAnsi="仿宋_GB2312" w:cs="仿宋_GB2312" w:eastAsia="仿宋_GB2312"/>
                <w:sz w:val="15"/>
                <w:color w:val="000000"/>
              </w:rPr>
              <w:t>采购一家代建单位，负责本项目代建工作，包括但不限于:对项目设计、招投标、施工、监理、材料设备采购、竣工验收、竣工结算进行管理并办理相关手续;主要功能或目标:协助项目单位对项目进行全过程管理;需满足的要求:满足安全、质量、进度等要求。</w:t>
            </w:r>
          </w:p>
          <w:p>
            <w:pPr>
              <w:pStyle w:val="null3"/>
              <w:ind w:firstLine="640"/>
              <w:jc w:val="both"/>
            </w:pPr>
            <w:r>
              <w:rPr>
                <w:rFonts w:ascii="仿宋_GB2312" w:hAnsi="仿宋_GB2312" w:cs="仿宋_GB2312" w:eastAsia="仿宋_GB2312"/>
                <w:sz w:val="15"/>
                <w:color w:val="000000"/>
              </w:rPr>
              <w:t>3、采购项目需要落实的政府采购政策：依据《中华人民共和国政府采购法》和《中华人民共和国政府采购法实施条例》的有关规定，落实政府采购政策，详见采购文件。</w:t>
            </w:r>
          </w:p>
          <w:p>
            <w:pPr>
              <w:pStyle w:val="null3"/>
              <w:ind w:firstLine="640"/>
              <w:jc w:val="both"/>
            </w:pPr>
            <w:r>
              <w:rPr>
                <w:rFonts w:ascii="仿宋_GB2312" w:hAnsi="仿宋_GB2312" w:cs="仿宋_GB2312" w:eastAsia="仿宋_GB2312"/>
                <w:sz w:val="15"/>
                <w:color w:val="000000"/>
              </w:rPr>
              <w:t>①《政府采购促进中小企业发展管理办法》（财库〔2020〕46号）；</w:t>
            </w:r>
          </w:p>
          <w:p>
            <w:pPr>
              <w:pStyle w:val="null3"/>
              <w:ind w:firstLine="640"/>
              <w:jc w:val="both"/>
            </w:pPr>
            <w:r>
              <w:rPr>
                <w:rFonts w:ascii="仿宋_GB2312" w:hAnsi="仿宋_GB2312" w:cs="仿宋_GB2312" w:eastAsia="仿宋_GB2312"/>
                <w:sz w:val="15"/>
                <w:color w:val="000000"/>
              </w:rPr>
              <w:t>②《陕西省财政厅关于进一步加大政府采购支持中小企业力度的通知》（财库〔2022〕19号）；</w:t>
            </w:r>
          </w:p>
          <w:p>
            <w:pPr>
              <w:pStyle w:val="null3"/>
              <w:ind w:firstLine="640"/>
              <w:jc w:val="both"/>
            </w:pPr>
            <w:r>
              <w:rPr>
                <w:rFonts w:ascii="仿宋_GB2312" w:hAnsi="仿宋_GB2312" w:cs="仿宋_GB2312" w:eastAsia="仿宋_GB2312"/>
                <w:sz w:val="15"/>
                <w:color w:val="000000"/>
              </w:rPr>
              <w:t>③《财政部司法部关于政府采购支持监狱企业发展有关问题的通知》（财库〔2014〕68号）；</w:t>
            </w:r>
          </w:p>
          <w:p>
            <w:pPr>
              <w:pStyle w:val="null3"/>
              <w:ind w:firstLine="640"/>
              <w:jc w:val="both"/>
            </w:pPr>
            <w:r>
              <w:rPr>
                <w:rFonts w:ascii="仿宋_GB2312" w:hAnsi="仿宋_GB2312" w:cs="仿宋_GB2312" w:eastAsia="仿宋_GB2312"/>
                <w:sz w:val="15"/>
                <w:color w:val="000000"/>
              </w:rPr>
              <w:t>④《财政部 发展改革委 生态环境部 市场监管总局关于调整优化节能产品、环境标志产品政府采购执行机制的通知》（财库〔2019〕9号）；</w:t>
            </w:r>
          </w:p>
          <w:p>
            <w:pPr>
              <w:pStyle w:val="null3"/>
              <w:ind w:firstLine="640"/>
              <w:jc w:val="both"/>
            </w:pPr>
            <w:r>
              <w:rPr>
                <w:rFonts w:ascii="仿宋_GB2312" w:hAnsi="仿宋_GB2312" w:cs="仿宋_GB2312" w:eastAsia="仿宋_GB2312"/>
                <w:sz w:val="15"/>
                <w:color w:val="000000"/>
              </w:rPr>
              <w:t>⑤《三部门联合发布关于促进残疾人就业政府采购政策的通知》（财库〔2017〕141号）；</w:t>
            </w:r>
          </w:p>
          <w:p>
            <w:pPr>
              <w:pStyle w:val="null3"/>
              <w:ind w:firstLine="640"/>
              <w:jc w:val="both"/>
            </w:pPr>
            <w:r>
              <w:rPr>
                <w:rFonts w:ascii="仿宋_GB2312" w:hAnsi="仿宋_GB2312" w:cs="仿宋_GB2312" w:eastAsia="仿宋_GB2312"/>
                <w:sz w:val="15"/>
                <w:color w:val="000000"/>
              </w:rPr>
              <w:t>⑥《陕西省中小企业政府采购信用融资办法》（陕财办采〔2018〕23号）；</w:t>
            </w:r>
          </w:p>
          <w:p>
            <w:pPr>
              <w:pStyle w:val="null3"/>
              <w:ind w:firstLine="640"/>
              <w:jc w:val="both"/>
            </w:pPr>
            <w:r>
              <w:rPr>
                <w:rFonts w:ascii="仿宋_GB2312" w:hAnsi="仿宋_GB2312" w:cs="仿宋_GB2312" w:eastAsia="仿宋_GB2312"/>
                <w:sz w:val="15"/>
                <w:color w:val="000000"/>
              </w:rPr>
              <w:t>⑦《财政部 农业农村部 国家乡村振兴局 关于运用政府采购政策支持乡村产业振兴的通知》（财库〔2021〕19号）；</w:t>
            </w:r>
          </w:p>
          <w:p>
            <w:pPr>
              <w:pStyle w:val="null3"/>
              <w:ind w:firstLine="640"/>
              <w:jc w:val="both"/>
            </w:pPr>
            <w:r>
              <w:rPr>
                <w:rFonts w:ascii="仿宋_GB2312" w:hAnsi="仿宋_GB2312" w:cs="仿宋_GB2312" w:eastAsia="仿宋_GB2312"/>
                <w:sz w:val="15"/>
                <w:color w:val="000000"/>
              </w:rPr>
              <w:t>⑧《陕西省财政厅 关于进一步加强政府绿色采购有关问题的通知》陕财办采〔2021〕29号；</w:t>
            </w:r>
          </w:p>
          <w:p>
            <w:pPr>
              <w:pStyle w:val="null3"/>
              <w:ind w:firstLine="640"/>
              <w:jc w:val="both"/>
            </w:pPr>
            <w:r>
              <w:rPr>
                <w:rFonts w:ascii="仿宋_GB2312" w:hAnsi="仿宋_GB2312" w:cs="仿宋_GB2312" w:eastAsia="仿宋_GB2312"/>
                <w:sz w:val="15"/>
                <w:color w:val="000000"/>
              </w:rPr>
              <w:t>⑨《商品包装政府采购需求标准（试行）》和《快递包装政府采购需求标准（试行）》（财办库〔2020〕123号）；</w:t>
            </w:r>
          </w:p>
          <w:p>
            <w:pPr>
              <w:pStyle w:val="null3"/>
              <w:ind w:firstLine="640"/>
              <w:jc w:val="both"/>
            </w:pPr>
            <w:r>
              <w:rPr>
                <w:rFonts w:ascii="仿宋_GB2312" w:hAnsi="仿宋_GB2312" w:cs="仿宋_GB2312" w:eastAsia="仿宋_GB2312"/>
                <w:sz w:val="15"/>
                <w:color w:val="000000"/>
              </w:rPr>
              <w:t>⑩《政府采购支持绿色建材促进建筑品质提升政策项目实施指南》的通知（财库〔2023〕52号）及《关于扩大政府采购支持绿色建材促进建筑品质提升政策实施范围的通知》（财库〔2022〕35号）；</w:t>
            </w:r>
          </w:p>
          <w:p>
            <w:pPr>
              <w:pStyle w:val="null3"/>
              <w:ind w:firstLine="640"/>
              <w:jc w:val="both"/>
            </w:pPr>
            <w:r>
              <w:rPr>
                <w:rFonts w:ascii="仿宋_GB2312" w:hAnsi="仿宋_GB2312" w:cs="仿宋_GB2312" w:eastAsia="仿宋_GB2312"/>
                <w:sz w:val="15"/>
                <w:color w:val="000000"/>
              </w:rPr>
              <w:t>⑪扶持不发达地区和少数民族地区、支持创新等政府采购政策；</w:t>
            </w:r>
          </w:p>
          <w:p>
            <w:pPr>
              <w:pStyle w:val="null3"/>
              <w:ind w:firstLine="640"/>
              <w:jc w:val="both"/>
            </w:pPr>
            <w:r>
              <w:rPr>
                <w:rFonts w:ascii="仿宋_GB2312" w:hAnsi="仿宋_GB2312" w:cs="仿宋_GB2312" w:eastAsia="仿宋_GB2312"/>
                <w:sz w:val="15"/>
                <w:color w:val="000000"/>
              </w:rPr>
              <w:t>⑫如有最新颁布的政府采购政策，按最新的文件执行。</w:t>
            </w:r>
          </w:p>
          <w:p>
            <w:pPr>
              <w:pStyle w:val="null3"/>
              <w:ind w:firstLine="640"/>
              <w:jc w:val="both"/>
            </w:pPr>
            <w:r>
              <w:rPr>
                <w:rFonts w:ascii="仿宋_GB2312" w:hAnsi="仿宋_GB2312" w:cs="仿宋_GB2312" w:eastAsia="仿宋_GB2312"/>
                <w:sz w:val="15"/>
                <w:color w:val="000000"/>
              </w:rPr>
              <w:t>4、建设项目地点：西安市高新区</w:t>
            </w:r>
          </w:p>
          <w:p>
            <w:pPr>
              <w:pStyle w:val="null3"/>
              <w:ind w:firstLine="643"/>
              <w:jc w:val="both"/>
            </w:pPr>
            <w:r>
              <w:rPr>
                <w:rFonts w:ascii="仿宋_GB2312" w:hAnsi="仿宋_GB2312" w:cs="仿宋_GB2312" w:eastAsia="仿宋_GB2312"/>
                <w:sz w:val="15"/>
                <w:b/>
              </w:rPr>
              <w:t>二、</w:t>
            </w:r>
            <w:r>
              <w:rPr>
                <w:rFonts w:ascii="仿宋_GB2312" w:hAnsi="仿宋_GB2312" w:cs="仿宋_GB2312" w:eastAsia="仿宋_GB2312"/>
                <w:sz w:val="15"/>
                <w:b/>
                <w:color w:val="000000"/>
              </w:rPr>
              <w:t>需执行的国家相关标准、行业标准、地方标准或者其他标准、规范标准</w:t>
            </w:r>
          </w:p>
          <w:p>
            <w:pPr>
              <w:pStyle w:val="null3"/>
              <w:ind w:firstLine="640"/>
              <w:jc w:val="both"/>
            </w:pPr>
            <w:r>
              <w:rPr>
                <w:rFonts w:ascii="仿宋_GB2312" w:hAnsi="仿宋_GB2312" w:cs="仿宋_GB2312" w:eastAsia="仿宋_GB2312"/>
                <w:sz w:val="15"/>
                <w:color w:val="000000"/>
              </w:rPr>
              <w:t>《中华人民共和国民法典》</w:t>
            </w:r>
          </w:p>
          <w:p>
            <w:pPr>
              <w:pStyle w:val="null3"/>
              <w:ind w:firstLine="640"/>
              <w:jc w:val="both"/>
            </w:pPr>
            <w:r>
              <w:rPr>
                <w:rFonts w:ascii="仿宋_GB2312" w:hAnsi="仿宋_GB2312" w:cs="仿宋_GB2312" w:eastAsia="仿宋_GB2312"/>
                <w:sz w:val="15"/>
                <w:color w:val="000000"/>
              </w:rPr>
              <w:t>《中华人民共和国招标投标法》</w:t>
            </w:r>
          </w:p>
          <w:p>
            <w:pPr>
              <w:pStyle w:val="null3"/>
              <w:ind w:firstLine="640"/>
              <w:jc w:val="both"/>
            </w:pPr>
            <w:r>
              <w:rPr>
                <w:rFonts w:ascii="仿宋_GB2312" w:hAnsi="仿宋_GB2312" w:cs="仿宋_GB2312" w:eastAsia="仿宋_GB2312"/>
                <w:sz w:val="15"/>
                <w:color w:val="000000"/>
              </w:rPr>
              <w:t>《中华人民共和国招标投标法实施条例》</w:t>
            </w:r>
          </w:p>
          <w:p>
            <w:pPr>
              <w:pStyle w:val="null3"/>
              <w:ind w:firstLine="640"/>
              <w:jc w:val="both"/>
            </w:pPr>
            <w:r>
              <w:rPr>
                <w:rFonts w:ascii="仿宋_GB2312" w:hAnsi="仿宋_GB2312" w:cs="仿宋_GB2312" w:eastAsia="仿宋_GB2312"/>
                <w:sz w:val="15"/>
                <w:color w:val="000000"/>
              </w:rPr>
              <w:t>《中华人民共和国政府采购法》</w:t>
            </w:r>
          </w:p>
          <w:p>
            <w:pPr>
              <w:pStyle w:val="null3"/>
              <w:ind w:firstLine="640"/>
              <w:jc w:val="both"/>
            </w:pPr>
            <w:r>
              <w:rPr>
                <w:rFonts w:ascii="仿宋_GB2312" w:hAnsi="仿宋_GB2312" w:cs="仿宋_GB2312" w:eastAsia="仿宋_GB2312"/>
                <w:sz w:val="15"/>
                <w:color w:val="000000"/>
              </w:rPr>
              <w:t>《中华人民共和国政府采购法实施条例》</w:t>
            </w:r>
          </w:p>
          <w:p>
            <w:pPr>
              <w:pStyle w:val="null3"/>
              <w:ind w:firstLine="640"/>
              <w:jc w:val="both"/>
            </w:pPr>
            <w:r>
              <w:rPr>
                <w:rFonts w:ascii="仿宋_GB2312" w:hAnsi="仿宋_GB2312" w:cs="仿宋_GB2312" w:eastAsia="仿宋_GB2312"/>
                <w:sz w:val="15"/>
                <w:color w:val="000000"/>
              </w:rPr>
              <w:t>其他相关规范和规定及陕西省、西安市相关行业标准。</w:t>
            </w:r>
          </w:p>
          <w:p>
            <w:pPr>
              <w:pStyle w:val="null3"/>
              <w:ind w:firstLine="643"/>
              <w:jc w:val="both"/>
            </w:pPr>
            <w:r>
              <w:rPr>
                <w:rFonts w:ascii="仿宋_GB2312" w:hAnsi="仿宋_GB2312" w:cs="仿宋_GB2312" w:eastAsia="仿宋_GB2312"/>
                <w:sz w:val="15"/>
                <w:b/>
              </w:rPr>
              <w:t>三、拟投入本项目的预算</w:t>
            </w:r>
          </w:p>
          <w:p>
            <w:pPr>
              <w:pStyle w:val="null3"/>
              <w:ind w:firstLine="640"/>
              <w:jc w:val="both"/>
            </w:pPr>
            <w:r>
              <w:rPr>
                <w:rFonts w:ascii="仿宋_GB2312" w:hAnsi="仿宋_GB2312" w:cs="仿宋_GB2312" w:eastAsia="仿宋_GB2312"/>
                <w:sz w:val="15"/>
              </w:rPr>
              <w:t>本项目采购预算：470.32万元。</w:t>
            </w:r>
          </w:p>
          <w:p>
            <w:pPr>
              <w:pStyle w:val="null3"/>
              <w:numPr>
                <w:ilvl w:val="0"/>
                <w:numId w:val="2"/>
              </w:numPr>
              <w:jc w:val="both"/>
            </w:pPr>
            <w:r>
              <w:rPr>
                <w:rFonts w:ascii="仿宋_GB2312" w:hAnsi="仿宋_GB2312" w:cs="仿宋_GB2312" w:eastAsia="仿宋_GB2312"/>
                <w:sz w:val="15"/>
                <w:b/>
              </w:rPr>
              <w:t>质量标准</w:t>
            </w:r>
          </w:p>
          <w:p>
            <w:pPr>
              <w:pStyle w:val="null3"/>
              <w:ind w:firstLine="640"/>
              <w:jc w:val="both"/>
            </w:pPr>
            <w:r>
              <w:rPr>
                <w:rFonts w:ascii="仿宋_GB2312" w:hAnsi="仿宋_GB2312" w:cs="仿宋_GB2312" w:eastAsia="仿宋_GB2312"/>
                <w:sz w:val="15"/>
                <w:color w:val="000000"/>
              </w:rPr>
              <w:t>满足国家、行业及相关法律法规质量标准。</w:t>
            </w:r>
          </w:p>
          <w:p>
            <w:pPr>
              <w:pStyle w:val="null3"/>
              <w:ind w:firstLine="643"/>
              <w:jc w:val="both"/>
            </w:pPr>
            <w:r>
              <w:rPr>
                <w:rFonts w:ascii="仿宋_GB2312" w:hAnsi="仿宋_GB2312" w:cs="仿宋_GB2312" w:eastAsia="仿宋_GB2312"/>
                <w:sz w:val="15"/>
                <w:b/>
                <w:color w:val="000000"/>
              </w:rPr>
              <w:t>五</w:t>
            </w:r>
            <w:r>
              <w:rPr>
                <w:rFonts w:ascii="仿宋_GB2312" w:hAnsi="仿宋_GB2312" w:cs="仿宋_GB2312" w:eastAsia="仿宋_GB2312"/>
                <w:sz w:val="15"/>
                <w:b/>
                <w:color w:val="000000"/>
              </w:rPr>
              <w:t>、</w:t>
            </w:r>
            <w:r>
              <w:rPr>
                <w:rFonts w:ascii="仿宋_GB2312" w:hAnsi="仿宋_GB2312" w:cs="仿宋_GB2312" w:eastAsia="仿宋_GB2312"/>
                <w:sz w:val="15"/>
                <w:b/>
              </w:rPr>
              <w:t>付款方式</w:t>
            </w:r>
          </w:p>
          <w:p>
            <w:pPr>
              <w:pStyle w:val="null3"/>
              <w:ind w:firstLine="640"/>
              <w:jc w:val="both"/>
            </w:pPr>
            <w:r>
              <w:rPr>
                <w:rFonts w:ascii="仿宋_GB2312" w:hAnsi="仿宋_GB2312" w:cs="仿宋_GB2312" w:eastAsia="仿宋_GB2312"/>
                <w:sz w:val="15"/>
              </w:rPr>
              <w:t>1.代建项目管理费为乙方在为本项目实施代建管理过程中发生的</w:t>
            </w:r>
            <w:r>
              <w:rPr>
                <w:rFonts w:ascii="仿宋_GB2312" w:hAnsi="仿宋_GB2312" w:cs="仿宋_GB2312" w:eastAsia="仿宋_GB2312"/>
                <w:sz w:val="15"/>
              </w:rPr>
              <w:t>管理费用，代建项目管理费计入项目投资额。</w:t>
            </w:r>
          </w:p>
          <w:p>
            <w:pPr>
              <w:pStyle w:val="null3"/>
              <w:spacing w:before="30"/>
              <w:ind w:right="390" w:firstLine="588"/>
              <w:jc w:val="both"/>
            </w:pPr>
            <w:r>
              <w:rPr>
                <w:rFonts w:ascii="仿宋_GB2312" w:hAnsi="仿宋_GB2312" w:cs="仿宋_GB2312" w:eastAsia="仿宋_GB2312"/>
                <w:sz w:val="15"/>
              </w:rPr>
              <w:t>2.代建管理费暂定为小写：</w:t>
            </w:r>
            <w:r>
              <w:rPr>
                <w:rFonts w:ascii="仿宋_GB2312" w:hAnsi="仿宋_GB2312" w:cs="仿宋_GB2312" w:eastAsia="仿宋_GB2312"/>
                <w:sz w:val="15"/>
                <w:u w:val="single"/>
              </w:rPr>
              <w:t xml:space="preserve">      </w:t>
            </w:r>
            <w:r>
              <w:rPr>
                <w:rFonts w:ascii="仿宋_GB2312" w:hAnsi="仿宋_GB2312" w:cs="仿宋_GB2312" w:eastAsia="仿宋_GB2312"/>
                <w:sz w:val="15"/>
              </w:rPr>
              <w:t>元</w:t>
            </w:r>
            <w:r>
              <w:rPr>
                <w:rFonts w:ascii="仿宋_GB2312" w:hAnsi="仿宋_GB2312" w:cs="仿宋_GB2312" w:eastAsia="仿宋_GB2312"/>
                <w:sz w:val="15"/>
              </w:rPr>
              <w:t>(大</w:t>
            </w:r>
            <w:r>
              <w:rPr>
                <w:rFonts w:ascii="仿宋_GB2312" w:hAnsi="仿宋_GB2312" w:cs="仿宋_GB2312" w:eastAsia="仿宋_GB2312"/>
                <w:sz w:val="15"/>
              </w:rPr>
              <w:t>写：</w:t>
            </w:r>
            <w:r>
              <w:rPr>
                <w:rFonts w:ascii="仿宋_GB2312" w:hAnsi="仿宋_GB2312" w:cs="仿宋_GB2312" w:eastAsia="仿宋_GB2312"/>
                <w:sz w:val="15"/>
                <w:u w:val="single"/>
              </w:rPr>
              <w:t xml:space="preserve">    </w:t>
            </w:r>
            <w:r>
              <w:rPr>
                <w:rFonts w:ascii="仿宋_GB2312" w:hAnsi="仿宋_GB2312" w:cs="仿宋_GB2312" w:eastAsia="仿宋_GB2312"/>
                <w:sz w:val="15"/>
              </w:rPr>
              <w:t>),</w:t>
            </w:r>
            <w:r>
              <w:rPr>
                <w:rFonts w:ascii="仿宋_GB2312" w:hAnsi="仿宋_GB2312" w:cs="仿宋_GB2312" w:eastAsia="仿宋_GB2312"/>
                <w:sz w:val="15"/>
              </w:rPr>
              <w:t>代建费率为</w:t>
            </w:r>
            <w:r>
              <w:rPr>
                <w:rFonts w:ascii="仿宋_GB2312" w:hAnsi="仿宋_GB2312" w:cs="仿宋_GB2312" w:eastAsia="仿宋_GB2312"/>
                <w:sz w:val="15"/>
                <w:u w:val="single"/>
              </w:rPr>
              <w:t xml:space="preserve">    </w:t>
            </w:r>
            <w:r>
              <w:rPr>
                <w:rFonts w:ascii="仿宋_GB2312" w:hAnsi="仿宋_GB2312" w:cs="仿宋_GB2312" w:eastAsia="仿宋_GB2312"/>
                <w:sz w:val="15"/>
              </w:rPr>
              <w:t>%。</w:t>
            </w:r>
          </w:p>
          <w:p>
            <w:pPr>
              <w:pStyle w:val="null3"/>
              <w:spacing w:before="30"/>
              <w:ind w:left="15" w:right="405" w:firstLine="512"/>
              <w:jc w:val="both"/>
            </w:pPr>
            <w:r>
              <w:rPr>
                <w:rFonts w:ascii="仿宋_GB2312" w:hAnsi="仿宋_GB2312" w:cs="仿宋_GB2312" w:eastAsia="仿宋_GB2312"/>
                <w:sz w:val="15"/>
              </w:rPr>
              <w:t>实际结算金额</w:t>
            </w:r>
            <w:r>
              <w:rPr>
                <w:rFonts w:ascii="仿宋_GB2312" w:hAnsi="仿宋_GB2312" w:cs="仿宋_GB2312" w:eastAsia="仿宋_GB2312"/>
                <w:sz w:val="15"/>
              </w:rPr>
              <w:t>=乙方中标金额/项目经批复的估算金额涉及乙方需参与事项对应金额之和</w:t>
            </w:r>
            <w:r>
              <w:rPr>
                <w:rFonts w:ascii="仿宋_GB2312" w:hAnsi="仿宋_GB2312" w:cs="仿宋_GB2312" w:eastAsia="仿宋_GB2312"/>
                <w:sz w:val="15"/>
              </w:rPr>
              <w:t xml:space="preserve"> </w:t>
            </w:r>
            <w:r>
              <w:rPr>
                <w:rFonts w:ascii="仿宋_GB2312" w:hAnsi="仿宋_GB2312" w:cs="仿宋_GB2312" w:eastAsia="仿宋_GB2312"/>
                <w:sz w:val="15"/>
              </w:rPr>
              <w:t>× 项目竣工决算涉及乙方需参与事项对应金额之和，按规定计取的代建费执行《基本建设项目建设成本管理规定》 (财建[2016]504号)相关规定</w:t>
            </w:r>
            <w:r>
              <w:rPr>
                <w:rFonts w:ascii="仿宋_GB2312" w:hAnsi="仿宋_GB2312" w:cs="仿宋_GB2312" w:eastAsia="仿宋_GB2312"/>
                <w:sz w:val="15"/>
              </w:rPr>
              <w:t>。</w:t>
            </w:r>
          </w:p>
          <w:p>
            <w:pPr>
              <w:pStyle w:val="null3"/>
              <w:spacing w:before="180"/>
              <w:ind w:firstLine="584"/>
              <w:jc w:val="both"/>
            </w:pPr>
            <w:r>
              <w:rPr>
                <w:rFonts w:ascii="仿宋_GB2312" w:hAnsi="仿宋_GB2312" w:cs="仿宋_GB2312" w:eastAsia="仿宋_GB2312"/>
                <w:sz w:val="15"/>
              </w:rPr>
              <w:t>3.本合同签订20日内支付代建管理费暂定总额的30%，本项目竣工验收后支付至代建管理费暂定</w:t>
            </w:r>
            <w:r>
              <w:rPr>
                <w:rFonts w:ascii="仿宋_GB2312" w:hAnsi="仿宋_GB2312" w:cs="仿宋_GB2312" w:eastAsia="仿宋_GB2312"/>
                <w:sz w:val="15"/>
              </w:rPr>
              <w:t>总额的</w:t>
            </w:r>
            <w:r>
              <w:rPr>
                <w:rFonts w:ascii="仿宋_GB2312" w:hAnsi="仿宋_GB2312" w:cs="仿宋_GB2312" w:eastAsia="仿宋_GB2312"/>
                <w:sz w:val="15"/>
              </w:rPr>
              <w:t>75%，工程结算和财务决算</w:t>
            </w:r>
            <w:r>
              <w:rPr>
                <w:rFonts w:ascii="仿宋_GB2312" w:hAnsi="仿宋_GB2312" w:cs="仿宋_GB2312" w:eastAsia="仿宋_GB2312"/>
                <w:sz w:val="15"/>
              </w:rPr>
              <w:t>完成，</w:t>
            </w:r>
            <w:r>
              <w:rPr>
                <w:rFonts w:ascii="仿宋_GB2312" w:hAnsi="仿宋_GB2312" w:cs="仿宋_GB2312" w:eastAsia="仿宋_GB2312"/>
                <w:sz w:val="15"/>
              </w:rPr>
              <w:t>并经甲方审定后，确定本项目的代建项目管理费。</w:t>
            </w:r>
            <w:r>
              <w:rPr>
                <w:rFonts w:ascii="仿宋_GB2312" w:hAnsi="仿宋_GB2312" w:cs="仿宋_GB2312" w:eastAsia="仿宋_GB2312"/>
                <w:sz w:val="15"/>
              </w:rPr>
              <w:t>甲方应在审定</w:t>
            </w:r>
            <w:r>
              <w:rPr>
                <w:rFonts w:ascii="仿宋_GB2312" w:hAnsi="仿宋_GB2312" w:cs="仿宋_GB2312" w:eastAsia="仿宋_GB2312"/>
                <w:sz w:val="15"/>
              </w:rPr>
              <w:t>后</w:t>
            </w:r>
            <w:r>
              <w:rPr>
                <w:rFonts w:ascii="仿宋_GB2312" w:hAnsi="仿宋_GB2312" w:cs="仿宋_GB2312" w:eastAsia="仿宋_GB2312"/>
                <w:sz w:val="15"/>
              </w:rPr>
              <w:t>将剩余应付代建项目管理费一次性支付给乙方</w:t>
            </w:r>
            <w:r>
              <w:rPr>
                <w:rFonts w:ascii="仿宋_GB2312" w:hAnsi="仿宋_GB2312" w:cs="仿宋_GB2312" w:eastAsia="仿宋_GB2312"/>
                <w:sz w:val="15"/>
              </w:rPr>
              <w:t>。</w:t>
            </w:r>
          </w:p>
          <w:p>
            <w:pPr>
              <w:pStyle w:val="null3"/>
              <w:spacing w:before="180"/>
              <w:ind w:firstLine="640"/>
              <w:jc w:val="both"/>
            </w:pPr>
            <w:r>
              <w:rPr>
                <w:rFonts w:ascii="仿宋_GB2312" w:hAnsi="仿宋_GB2312" w:cs="仿宋_GB2312" w:eastAsia="仿宋_GB2312"/>
                <w:sz w:val="15"/>
                <w:b/>
              </w:rPr>
              <w:t>六、验收标准</w:t>
            </w:r>
          </w:p>
          <w:p>
            <w:pPr>
              <w:pStyle w:val="null3"/>
              <w:ind w:firstLine="640"/>
              <w:jc w:val="both"/>
            </w:pPr>
            <w:r>
              <w:rPr>
                <w:rFonts w:ascii="仿宋_GB2312" w:hAnsi="仿宋_GB2312" w:cs="仿宋_GB2312" w:eastAsia="仿宋_GB2312"/>
                <w:sz w:val="15"/>
                <w:color w:val="000000"/>
              </w:rPr>
              <w:t>1、供应商</w:t>
            </w:r>
            <w:r>
              <w:rPr>
                <w:rFonts w:ascii="仿宋_GB2312" w:hAnsi="仿宋_GB2312" w:cs="仿宋_GB2312" w:eastAsia="仿宋_GB2312"/>
                <w:sz w:val="15"/>
              </w:rPr>
              <w:t>提出验收申请，采购人及时组织验收，验收合格后出具验收报告。</w:t>
            </w:r>
          </w:p>
          <w:p>
            <w:pPr>
              <w:pStyle w:val="null3"/>
              <w:ind w:firstLine="640"/>
              <w:jc w:val="both"/>
            </w:pPr>
            <w:r>
              <w:rPr>
                <w:rFonts w:ascii="仿宋_GB2312" w:hAnsi="仿宋_GB2312" w:cs="仿宋_GB2312" w:eastAsia="仿宋_GB2312"/>
                <w:sz w:val="15"/>
              </w:rPr>
              <w:t>2、本次项目应按要求完成的全部内容。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合同生效之日起至全部建设项目竣工验收合格、结算完毕、工程建设各种费用付清之日结束。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供应商提出验收申请，采购人及时组织验收，验收合格后出具验收报告。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工程结算和财务决算完成，并经甲方审定后，确定本项目的代建项目管理费。甲方应在审定后将剩余应付代建项目管理费一次性支付给乙方。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单位领取中标通知书时须提交投标文件正本壹套、副本叁套、电子版(U盘贰套）。纸质投标文件应与电子投标文件保持一致。递交文件地点西安经济技术开发区凤城七路长和国际 D 座 26 层 2.如招标文件中融资相关内容与新政策要求有出入，按照最新要求执行。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法定代表人直接参加投标的，须出具法定代表人身份证明及法人身份证；法定代表人授权代表参加投标的，须出具法定代表人授权委托书和被授权人身份证及该人员在本单位缴纳社保记录证明(近3个月)。</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1.投标文件上法定代表人或其授权代表人的签字齐全并加盖公章； 2.应符合“投标文件格式”要求； 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投标人应提交的相关资格证明材料.docx 技术、服务及其他商务要求应答表.docx 投标函 中小企业声明函 残疾人福利性单位声明函 合同条款偏离表.docx 服务方案 标的清单 投标文件封面 业绩的相关证明材料.docx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开标一览表 投标人应提交的相关资格证明材料.docx 技术、服务及其他商务要求应答表.docx 投标函 中小企业声明函 残疾人福利性单位声明函 合同条款偏离表.docx 服务方案 标的清单 业绩的相关证明材料.docx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1.要求全面响应，不能有任何采购人不能接受的附加条件；2.投标文件中服务期应满足招标文件中要求的服务期； 3.投标有效期应满足招标文件中的规定。</w:t>
            </w:r>
          </w:p>
        </w:tc>
        <w:tc>
          <w:tcPr>
            <w:tcW w:type="dxa" w:w="1661"/>
          </w:tcPr>
          <w:p>
            <w:pPr>
              <w:pStyle w:val="null3"/>
            </w:pPr>
            <w:r>
              <w:rPr>
                <w:rFonts w:ascii="仿宋_GB2312" w:hAnsi="仿宋_GB2312" w:cs="仿宋_GB2312" w:eastAsia="仿宋_GB2312"/>
              </w:rPr>
              <w:t>技术、服务及其他商务要求应答表.docx 投标函 合同条款偏离表.docx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投标人近五年（2020 年 1 月 1 日至今）的代建项目业绩，每提供一项得3 分，满分 15 分，不提供不得分。 注：以加盖公章的业绩合同或中标通知书复印件或 扫描件为准，时间以合同签订时间或中标通知书落 款时间为准。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代建管理团队岗位人员配备要求必须满足以下内容 （12 分）： （1）现场管理岗：配备 3 人，至少 1 人具备工程类 相关专业工程师； （2）设计管理岗：配备 2 人，至少 1 人具备工程类 相关专业工程师； （3）造价管理岗：配备 2 人，至少 1 人具备工程类 相关造价专业； （4）招投标及合同管理岗：配备 1 人； （5）报建及档案管理岗位：配备 1 人。 满足上述条件者得满分 12 分，每少 1 人扣 1 分， 不符合专业要求扣 1 分/个，扣完为止。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代建管理目标范围</w:t>
            </w:r>
          </w:p>
        </w:tc>
        <w:tc>
          <w:tcPr>
            <w:tcW w:type="dxa" w:w="2492"/>
          </w:tcPr>
          <w:p>
            <w:pPr>
              <w:pStyle w:val="null3"/>
            </w:pPr>
            <w:r>
              <w:rPr>
                <w:rFonts w:ascii="仿宋_GB2312" w:hAnsi="仿宋_GB2312" w:cs="仿宋_GB2312" w:eastAsia="仿宋_GB2312"/>
              </w:rPr>
              <w:t>代建管理目标范围全面、内容完整。结合采购人实 际情况，突出体现工程特点，得（4—7】分；代建 管理目标范围不够全面、内容欠完整。未能结合采 购人实际情况，突出体现工程特点，得【1—4】 分；没有不得分。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w:t>
            </w:r>
          </w:p>
        </w:tc>
        <w:tc>
          <w:tcPr>
            <w:tcW w:type="dxa" w:w="2492"/>
          </w:tcPr>
          <w:p>
            <w:pPr>
              <w:pStyle w:val="null3"/>
            </w:pPr>
            <w:r>
              <w:rPr>
                <w:rFonts w:ascii="仿宋_GB2312" w:hAnsi="仿宋_GB2312" w:cs="仿宋_GB2312" w:eastAsia="仿宋_GB2312"/>
              </w:rPr>
              <w:t>项目质量管理严格按照强制性规范、具有保证质量 的行之有效的措施，得（4—7】分；项目质量管理 严格按照强制性规范、保证质量措施不够完善，得 【1—4】分；没有不得分。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安全、环保及职业健康管理</w:t>
            </w:r>
          </w:p>
        </w:tc>
        <w:tc>
          <w:tcPr>
            <w:tcW w:type="dxa" w:w="2492"/>
          </w:tcPr>
          <w:p>
            <w:pPr>
              <w:pStyle w:val="null3"/>
            </w:pPr>
            <w:r>
              <w:rPr>
                <w:rFonts w:ascii="仿宋_GB2312" w:hAnsi="仿宋_GB2312" w:cs="仿宋_GB2312" w:eastAsia="仿宋_GB2312"/>
              </w:rPr>
              <w:t>安全、环保及职业健康管理，严格按照工程特点， 制定相应措施，得（4—7】分；安全、环保及职业 健康管理，未能按照工程特点制定相应措施，得 【1—4】分；没有不得分。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进度管理，视本项目的具体特点制定行之有效的工 期管理、缩短工期等合理化建议，得（4—6】分； 进度管理，未能根据本项目的具体特点制定行之有 效的工期管理、缩短工期等合理化建议，得【 1- 4】分；没有不得分。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代建前期管理</w:t>
            </w:r>
          </w:p>
        </w:tc>
        <w:tc>
          <w:tcPr>
            <w:tcW w:type="dxa" w:w="2492"/>
          </w:tcPr>
          <w:p>
            <w:pPr>
              <w:pStyle w:val="null3"/>
            </w:pPr>
            <w:r>
              <w:rPr>
                <w:rFonts w:ascii="仿宋_GB2312" w:hAnsi="仿宋_GB2312" w:cs="仿宋_GB2312" w:eastAsia="仿宋_GB2312"/>
              </w:rPr>
              <w:t>代建前期管理工作，程序管理合理、措施有效，得 （4—6】分；代建前期管理工作，程序管理欠合 理、措施不足，得【1-4】分；没有不得分。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投资与成本控制</w:t>
            </w:r>
          </w:p>
        </w:tc>
        <w:tc>
          <w:tcPr>
            <w:tcW w:type="dxa" w:w="2492"/>
          </w:tcPr>
          <w:p>
            <w:pPr>
              <w:pStyle w:val="null3"/>
            </w:pPr>
            <w:r>
              <w:rPr>
                <w:rFonts w:ascii="仿宋_GB2312" w:hAnsi="仿宋_GB2312" w:cs="仿宋_GB2312" w:eastAsia="仿宋_GB2312"/>
              </w:rPr>
              <w:t>投资与成本控制，针对各阶段具有切实可靠的成本 控制措施、成本控制方法，具有可操作性，得 （4—6】分；投资与成本控制，未能针对各阶段具 有切实可靠的成本控制措施、成本控制方法，或不 具有可操作性的，得【1-4】分；没有不得分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采购与合同管理方案</w:t>
            </w:r>
          </w:p>
        </w:tc>
        <w:tc>
          <w:tcPr>
            <w:tcW w:type="dxa" w:w="2492"/>
          </w:tcPr>
          <w:p>
            <w:pPr>
              <w:pStyle w:val="null3"/>
            </w:pPr>
            <w:r>
              <w:rPr>
                <w:rFonts w:ascii="仿宋_GB2312" w:hAnsi="仿宋_GB2312" w:cs="仿宋_GB2312" w:eastAsia="仿宋_GB2312"/>
              </w:rPr>
              <w:t>采购与合同管理方案明确、控制措施得力，得 （4—6】分；采购与合同管理方案不够明确、控制 措施不够完善，得【1-4】分；没有不得分。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全过程风险管理计划及风险管理实施程序</w:t>
            </w:r>
          </w:p>
        </w:tc>
        <w:tc>
          <w:tcPr>
            <w:tcW w:type="dxa" w:w="2492"/>
          </w:tcPr>
          <w:p>
            <w:pPr>
              <w:pStyle w:val="null3"/>
            </w:pPr>
            <w:r>
              <w:rPr>
                <w:rFonts w:ascii="仿宋_GB2312" w:hAnsi="仿宋_GB2312" w:cs="仿宋_GB2312" w:eastAsia="仿宋_GB2312"/>
              </w:rPr>
              <w:t>有详细清晰的全过程风险管理计划及风险管理实施 程序，得（4—6】分；全过程风险管理计划及风险 管理实施程序不够详细清晰，得【1-4】分；没有 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信息管理与沟通协调</w:t>
            </w:r>
          </w:p>
        </w:tc>
        <w:tc>
          <w:tcPr>
            <w:tcW w:type="dxa" w:w="2492"/>
          </w:tcPr>
          <w:p>
            <w:pPr>
              <w:pStyle w:val="null3"/>
            </w:pPr>
            <w:r>
              <w:rPr>
                <w:rFonts w:ascii="仿宋_GB2312" w:hAnsi="仿宋_GB2312" w:cs="仿宋_GB2312" w:eastAsia="仿宋_GB2312"/>
              </w:rPr>
              <w:t>信息管理与沟通协调，有全面的信息管理措施、具 有有效的沟通管理机制，保证项目沟通及信息传递 顺畅有序，得（4—6】分；信息管理措施不够全 面、沟通管理机制不够有效，保证项目沟通及信息 传递欠顺畅，得【1-4】分；没有不得分。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验收配合及移交方案</w:t>
            </w:r>
          </w:p>
        </w:tc>
        <w:tc>
          <w:tcPr>
            <w:tcW w:type="dxa" w:w="2492"/>
          </w:tcPr>
          <w:p>
            <w:pPr>
              <w:pStyle w:val="null3"/>
            </w:pPr>
            <w:r>
              <w:rPr>
                <w:rFonts w:ascii="仿宋_GB2312" w:hAnsi="仿宋_GB2312" w:cs="仿宋_GB2312" w:eastAsia="仿宋_GB2312"/>
              </w:rPr>
              <w:t>验收配合及移交方案，竣工验收计划全面且程序完 善，移交方案完备，得（4—6】分；验收配合及移 交方案，竣工验收计划不够全面，程序不够完善， 移交方案不够完备，得【1-4】分；没有不得分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 各供应商的报价得分按下列公式计 算： （基准价/投标报 价） ×10%×100分。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详见附件：技术、服务及其他商务要求应答表.docx</w:t>
      </w:r>
    </w:p>
    <w:p>
      <w:pPr>
        <w:pStyle w:val="null3"/>
        <w:ind w:firstLine="960"/>
      </w:pPr>
      <w:r>
        <w:rPr>
          <w:rFonts w:ascii="仿宋_GB2312" w:hAnsi="仿宋_GB2312" w:cs="仿宋_GB2312" w:eastAsia="仿宋_GB2312"/>
        </w:rPr>
        <w:t>详见附件：合同条款偏离表.docx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详见附件：拟签订代建合同文本 调整稿2025.12.25.docx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