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版本号：XDZ2026-3-J-120251225001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西安高新区万达330千伏变电站配套电力沟道工程现状构筑物安全评估项目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XDZ2026-3-J-1</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普迈项目管理集团有限公司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普迈项目管理集团有限公司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西安高新区万达330千伏变电站配套电力沟道工程现状构筑物安全评估项目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XDZ2026-3-J-1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西安高新区万达330千伏变电站配套电力沟道工程现状构筑物安全评估项目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西安高新区万达330千伏变电站配套电力沟道工程现状构筑物安全评估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采购包1（西安高新区万达330千伏变电站配套电力沟道工程现状构筑物安全评估项目）：属于专门面向中小企业采购。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法定代表人授权委托书（附法定代表人身份证复印件）及被授权委托人身份证复印件（法定代表人参加投标只需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4、资质证书：提供有效的安全评价机构资质证书；供应商需在项目电子化交易系统中按要求上传相应证明文件并进行电子签章。</w:t>
      </w:r>
    </w:p>
    <w:p>
      <w:pPr>
        <w:pStyle w:val="null3"/>
      </w:pPr>
      <w:r>
        <w:rPr>
          <w:rFonts w:ascii="仿宋_GB2312" w:hAnsi="仿宋_GB2312" w:cs="仿宋_GB2312" w:eastAsia="仿宋_GB2312"/>
        </w:rPr>
        <w:t>5、中小企业声明函：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6、非联合体投标：非联合体投标声明；供应商需在项目电子化交易系统中按要求上传相应证明文件并进行电子签章。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钞工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029-81150161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普迈项目管理集团有限公司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陕西省西安市雁塔区太白南路139号荣禾云图中心11幢4层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刘晓云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19721811324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代理服务费收费标准：由成交供应商进行支付，支付金额按照计价格[2002]1980号文件及发改价格[2011]534号文件收费标准*40.5%计算，不足5000元，按照5000元计取。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普迈项目管理集团有限公司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普迈项目管理集团有限公司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普迈项目管理集团有限公司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国家、行业标准和规范、合同约定、投标文件条款和招标文件要求。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联系人：刘晓云</w:t>
      </w:r>
    </w:p>
    <w:p>
      <w:pPr>
        <w:pStyle w:val="null3"/>
      </w:pPr>
      <w:r>
        <w:rPr>
          <w:rFonts w:ascii="仿宋_GB2312" w:hAnsi="仿宋_GB2312" w:cs="仿宋_GB2312" w:eastAsia="仿宋_GB2312"/>
        </w:rPr>
        <w:t>联系电话：19721811324</w:t>
      </w:r>
    </w:p>
    <w:p>
      <w:pPr>
        <w:pStyle w:val="null3"/>
      </w:pPr>
      <w:r>
        <w:rPr>
          <w:rFonts w:ascii="仿宋_GB2312" w:hAnsi="仿宋_GB2312" w:cs="仿宋_GB2312" w:eastAsia="仿宋_GB2312"/>
        </w:rPr>
        <w:t>地址：西安市雁塔区太白南路139号荣禾云图中心4楼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西安高新区万达330千伏变电站配套电力沟道工程现状构筑物安全评估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2,070,000.00</w:t>
      </w:r>
    </w:p>
    <w:p>
      <w:pPr>
        <w:pStyle w:val="null3"/>
      </w:pPr>
      <w:r>
        <w:rPr>
          <w:rFonts w:ascii="仿宋_GB2312" w:hAnsi="仿宋_GB2312" w:cs="仿宋_GB2312" w:eastAsia="仿宋_GB2312"/>
        </w:rPr>
        <w:t>采购包最高限价（元）: 1,770,000.00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西安高新区万达330千伏变电站配套电力沟道工程现状构筑物安全评估项目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标的名称：西安高新区万达330千伏变电站配套电力沟道工程现状构筑物安全评估项目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一、项目概况：</w:t>
            </w:r>
          </w:p>
          <w:p>
            <w:pPr>
              <w:pStyle w:val="null3"/>
              <w:ind w:firstLine="420"/>
              <w:jc w:val="both"/>
            </w:pPr>
            <w:r>
              <w:rPr>
                <w:rFonts w:ascii="仿宋_GB2312" w:hAnsi="仿宋_GB2312" w:cs="仿宋_GB2312" w:eastAsia="仿宋_GB2312"/>
                <w:sz w:val="28"/>
              </w:rPr>
              <w:t>1.1、</w:t>
            </w:r>
            <w:r>
              <w:rPr>
                <w:rFonts w:ascii="仿宋_GB2312" w:hAnsi="仿宋_GB2312" w:cs="仿宋_GB2312" w:eastAsia="仿宋_GB2312"/>
                <w:sz w:val="28"/>
              </w:rPr>
              <w:t>建设万达</w:t>
            </w:r>
            <w:r>
              <w:rPr>
                <w:rFonts w:ascii="仿宋_GB2312" w:hAnsi="仿宋_GB2312" w:cs="仿宋_GB2312" w:eastAsia="仿宋_GB2312"/>
                <w:sz w:val="28"/>
              </w:rPr>
              <w:t>330kV出线配套沟道自万达变变电站外工作井，自东向西接入河寨变，总长度约为4.7公里。</w:t>
            </w:r>
          </w:p>
          <w:p>
            <w:pPr>
              <w:pStyle w:val="null3"/>
              <w:ind w:firstLine="420"/>
              <w:jc w:val="both"/>
            </w:pPr>
            <w:r>
              <w:rPr>
                <w:rFonts w:ascii="仿宋_GB2312" w:hAnsi="仿宋_GB2312" w:cs="仿宋_GB2312" w:eastAsia="仿宋_GB2312"/>
                <w:sz w:val="28"/>
              </w:rPr>
              <w:t>1.2、</w:t>
            </w:r>
            <w:r>
              <w:rPr>
                <w:rFonts w:ascii="仿宋_GB2312" w:hAnsi="仿宋_GB2312" w:cs="仿宋_GB2312" w:eastAsia="仿宋_GB2312"/>
                <w:sz w:val="28"/>
              </w:rPr>
              <w:t>服务期：自合同签订之日起</w:t>
            </w:r>
            <w:r>
              <w:rPr>
                <w:rFonts w:ascii="仿宋_GB2312" w:hAnsi="仿宋_GB2312" w:cs="仿宋_GB2312" w:eastAsia="仿宋_GB2312"/>
                <w:sz w:val="28"/>
              </w:rPr>
              <w:t>45天。</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1.3、</w:t>
            </w:r>
            <w:r>
              <w:rPr>
                <w:rFonts w:ascii="仿宋_GB2312" w:hAnsi="仿宋_GB2312" w:cs="仿宋_GB2312" w:eastAsia="仿宋_GB2312"/>
                <w:sz w:val="28"/>
              </w:rPr>
              <w:t>服务质量：满足《中华人民共和国安全生产法》《中华人民共和国建筑法》《建设工程安全生产管理条例》《生产安全事故报告和调查处理条例》等规定要求。</w:t>
            </w:r>
          </w:p>
          <w:p>
            <w:pPr>
              <w:pStyle w:val="null3"/>
              <w:ind w:firstLine="420"/>
              <w:jc w:val="both"/>
            </w:pPr>
            <w:r>
              <w:rPr>
                <w:rFonts w:ascii="仿宋_GB2312" w:hAnsi="仿宋_GB2312" w:cs="仿宋_GB2312" w:eastAsia="仿宋_GB2312"/>
                <w:sz w:val="28"/>
              </w:rPr>
              <w:t>1.4、</w:t>
            </w:r>
            <w:r>
              <w:rPr>
                <w:rFonts w:ascii="仿宋_GB2312" w:hAnsi="仿宋_GB2312" w:cs="仿宋_GB2312" w:eastAsia="仿宋_GB2312"/>
                <w:sz w:val="28"/>
              </w:rPr>
              <w:t>服务地点：</w:t>
            </w:r>
            <w:r>
              <w:rPr>
                <w:rFonts w:ascii="仿宋_GB2312" w:hAnsi="仿宋_GB2312" w:cs="仿宋_GB2312" w:eastAsia="仿宋_GB2312"/>
                <w:sz w:val="28"/>
              </w:rPr>
              <w:t>西起唐延南路西侧高速绿带内始发井</w:t>
            </w:r>
            <w:r>
              <w:rPr>
                <w:rFonts w:ascii="仿宋_GB2312" w:hAnsi="仿宋_GB2312" w:cs="仿宋_GB2312" w:eastAsia="仿宋_GB2312"/>
                <w:sz w:val="28"/>
              </w:rPr>
              <w:t>(即万达变变电站外工作井)，沿绕城高速自东向西，直至现状河寨变。</w:t>
            </w:r>
          </w:p>
          <w:p>
            <w:pPr>
              <w:pStyle w:val="null3"/>
              <w:jc w:val="both"/>
            </w:pPr>
            <w:r>
              <w:rPr>
                <w:rFonts w:ascii="仿宋_GB2312" w:hAnsi="仿宋_GB2312" w:cs="仿宋_GB2312" w:eastAsia="仿宋_GB2312"/>
                <w:sz w:val="28"/>
                <w:b/>
              </w:rPr>
              <w:t>二、评估主要</w:t>
            </w:r>
            <w:r>
              <w:rPr>
                <w:rFonts w:ascii="仿宋_GB2312" w:hAnsi="仿宋_GB2312" w:cs="仿宋_GB2312" w:eastAsia="仿宋_GB2312"/>
                <w:sz w:val="28"/>
                <w:b/>
              </w:rPr>
              <w:t>范围</w:t>
            </w:r>
            <w:r>
              <w:rPr>
                <w:rFonts w:ascii="仿宋_GB2312" w:hAnsi="仿宋_GB2312" w:cs="仿宋_GB2312" w:eastAsia="仿宋_GB2312"/>
                <w:sz w:val="28"/>
                <w:b/>
              </w:rPr>
              <w:t>：</w:t>
            </w:r>
          </w:p>
          <w:p>
            <w:pPr>
              <w:pStyle w:val="null3"/>
              <w:spacing w:before="150" w:after="150"/>
              <w:ind w:firstLine="560"/>
              <w:jc w:val="both"/>
            </w:pPr>
            <w:r>
              <w:rPr>
                <w:rFonts w:ascii="仿宋_GB2312" w:hAnsi="仿宋_GB2312" w:cs="仿宋_GB2312" w:eastAsia="仿宋_GB2312"/>
                <w:sz w:val="28"/>
              </w:rPr>
              <w:t>本次安全风险评估范围严格限定为《西安高新区万达</w:t>
            </w:r>
            <w:r>
              <w:rPr>
                <w:rFonts w:ascii="仿宋_GB2312" w:hAnsi="仿宋_GB2312" w:cs="仿宋_GB2312" w:eastAsia="仿宋_GB2312"/>
                <w:sz w:val="28"/>
              </w:rPr>
              <w:t>330千伏变电站配套电力沟道工程初步设计》中所涉及的地面工程部分。具体包括但不限于：地面开挖与支护工程、土方回填工程、地面硬化与恢复工程、施工临时道路建设与维护、施工场地平整与布置、地面排水系统施工、以及与地面工程相关的临时用电、临时用水设施的敷设与管理等。同时，评估范围还应涵盖地面工程施工对周边既有建（构）筑物、道路、地下管线、水系、植被及人文环境可能造成的安全影响。</w:t>
            </w:r>
          </w:p>
          <w:p>
            <w:pPr>
              <w:pStyle w:val="null3"/>
              <w:jc w:val="both"/>
            </w:pPr>
            <w:r>
              <w:rPr>
                <w:rFonts w:ascii="仿宋_GB2312" w:hAnsi="仿宋_GB2312" w:cs="仿宋_GB2312" w:eastAsia="仿宋_GB2312"/>
                <w:sz w:val="28"/>
                <w:b/>
              </w:rPr>
              <w:t>三、评估成果：</w:t>
            </w:r>
          </w:p>
          <w:p>
            <w:pPr>
              <w:pStyle w:val="null3"/>
              <w:ind w:firstLine="420"/>
              <w:jc w:val="both"/>
            </w:pPr>
            <w:r>
              <w:rPr>
                <w:rFonts w:ascii="仿宋_GB2312" w:hAnsi="仿宋_GB2312" w:cs="仿宋_GB2312" w:eastAsia="仿宋_GB2312"/>
                <w:sz w:val="28"/>
              </w:rPr>
              <w:t>供应商根据采购人要求份数</w:t>
            </w:r>
            <w:r>
              <w:rPr>
                <w:rFonts w:ascii="仿宋_GB2312" w:hAnsi="仿宋_GB2312" w:cs="仿宋_GB2312" w:eastAsia="仿宋_GB2312"/>
                <w:sz w:val="28"/>
              </w:rPr>
              <w:t>向采购人提交下列评估文件：</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安全评估工作实施方案</w:t>
            </w:r>
            <w:r>
              <w:rPr>
                <w:rFonts w:ascii="仿宋_GB2312" w:hAnsi="仿宋_GB2312" w:cs="仿宋_GB2312" w:eastAsia="仿宋_GB2312"/>
                <w:sz w:val="28"/>
              </w:rPr>
              <w:t>》；</w:t>
            </w:r>
          </w:p>
          <w:p>
            <w:pPr>
              <w:pStyle w:val="null3"/>
              <w:ind w:firstLine="420"/>
              <w:jc w:val="both"/>
            </w:pPr>
            <w:r>
              <w:rPr>
                <w:rFonts w:ascii="仿宋_GB2312" w:hAnsi="仿宋_GB2312" w:cs="仿宋_GB2312" w:eastAsia="仿宋_GB2312"/>
                <w:sz w:val="28"/>
              </w:rPr>
              <w:t>《安全评估报告</w:t>
            </w:r>
            <w:r>
              <w:rPr>
                <w:rFonts w:ascii="仿宋_GB2312" w:hAnsi="仿宋_GB2312" w:cs="仿宋_GB2312" w:eastAsia="仿宋_GB2312"/>
                <w:sz w:val="28"/>
              </w:rPr>
              <w:t>送审版</w:t>
            </w:r>
            <w:r>
              <w:rPr>
                <w:rFonts w:ascii="仿宋_GB2312" w:hAnsi="仿宋_GB2312" w:cs="仿宋_GB2312" w:eastAsia="仿宋_GB2312"/>
                <w:sz w:val="28"/>
              </w:rPr>
              <w:t>》；</w:t>
            </w:r>
          </w:p>
          <w:p>
            <w:pPr>
              <w:pStyle w:val="null3"/>
              <w:ind w:firstLine="420"/>
              <w:jc w:val="both"/>
            </w:pPr>
            <w:r>
              <w:rPr>
                <w:rFonts w:ascii="仿宋_GB2312" w:hAnsi="仿宋_GB2312" w:cs="仿宋_GB2312" w:eastAsia="仿宋_GB2312"/>
                <w:sz w:val="28"/>
              </w:rPr>
              <w:t>《安全评估</w:t>
            </w:r>
            <w:r>
              <w:rPr>
                <w:rFonts w:ascii="仿宋_GB2312" w:hAnsi="仿宋_GB2312" w:cs="仿宋_GB2312" w:eastAsia="仿宋_GB2312"/>
                <w:sz w:val="28"/>
              </w:rPr>
              <w:t>报告专家论证意见</w:t>
            </w:r>
            <w:r>
              <w:rPr>
                <w:rFonts w:ascii="仿宋_GB2312" w:hAnsi="仿宋_GB2312" w:cs="仿宋_GB2312" w:eastAsia="仿宋_GB2312"/>
                <w:sz w:val="28"/>
              </w:rPr>
              <w:t>》；</w:t>
            </w:r>
          </w:p>
          <w:p>
            <w:pPr>
              <w:pStyle w:val="null3"/>
              <w:ind w:firstLine="420"/>
              <w:jc w:val="both"/>
            </w:pPr>
            <w:r>
              <w:rPr>
                <w:rFonts w:ascii="仿宋_GB2312" w:hAnsi="仿宋_GB2312" w:cs="仿宋_GB2312" w:eastAsia="仿宋_GB2312"/>
                <w:sz w:val="28"/>
              </w:rPr>
              <w:t>《安全评估报告</w:t>
            </w:r>
            <w:r>
              <w:rPr>
                <w:rFonts w:ascii="仿宋_GB2312" w:hAnsi="仿宋_GB2312" w:cs="仿宋_GB2312" w:eastAsia="仿宋_GB2312"/>
                <w:sz w:val="28"/>
              </w:rPr>
              <w:t>会后修改版</w:t>
            </w:r>
            <w:r>
              <w:rPr>
                <w:rFonts w:ascii="仿宋_GB2312" w:hAnsi="仿宋_GB2312" w:cs="仿宋_GB2312" w:eastAsia="仿宋_GB2312"/>
                <w:sz w:val="28"/>
              </w:rPr>
              <w:t>》；</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安全评估报告</w:t>
            </w:r>
            <w:r>
              <w:rPr>
                <w:rFonts w:ascii="仿宋_GB2312" w:hAnsi="仿宋_GB2312" w:cs="仿宋_GB2312" w:eastAsia="仿宋_GB2312"/>
                <w:sz w:val="28"/>
              </w:rPr>
              <w:t>正式版</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四、评估依据</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8"/>
              </w:rPr>
              <w:t>法律法规及标准规范：</w:t>
            </w:r>
          </w:p>
          <w:p>
            <w:pPr>
              <w:pStyle w:val="null3"/>
              <w:ind w:firstLine="280"/>
              <w:jc w:val="both"/>
            </w:pPr>
            <w:r>
              <w:rPr>
                <w:rFonts w:ascii="仿宋_GB2312" w:hAnsi="仿宋_GB2312" w:cs="仿宋_GB2312" w:eastAsia="仿宋_GB2312"/>
                <w:sz w:val="28"/>
              </w:rPr>
              <w:t>《中华人民共和国安全生产法》</w:t>
            </w:r>
          </w:p>
          <w:p>
            <w:pPr>
              <w:pStyle w:val="null3"/>
              <w:ind w:firstLine="280"/>
              <w:jc w:val="both"/>
            </w:pPr>
            <w:r>
              <w:rPr>
                <w:rFonts w:ascii="仿宋_GB2312" w:hAnsi="仿宋_GB2312" w:cs="仿宋_GB2312" w:eastAsia="仿宋_GB2312"/>
                <w:sz w:val="28"/>
              </w:rPr>
              <w:t>《中华人民共和国建筑法》</w:t>
            </w:r>
          </w:p>
          <w:p>
            <w:pPr>
              <w:pStyle w:val="null3"/>
              <w:ind w:firstLine="280"/>
              <w:jc w:val="both"/>
            </w:pPr>
            <w:r>
              <w:rPr>
                <w:rFonts w:ascii="仿宋_GB2312" w:hAnsi="仿宋_GB2312" w:cs="仿宋_GB2312" w:eastAsia="仿宋_GB2312"/>
                <w:sz w:val="28"/>
              </w:rPr>
              <w:t>《建设工程安全生产管理条例》</w:t>
            </w:r>
          </w:p>
          <w:p>
            <w:pPr>
              <w:pStyle w:val="null3"/>
              <w:ind w:firstLine="280"/>
              <w:jc w:val="both"/>
            </w:pPr>
            <w:r>
              <w:rPr>
                <w:rFonts w:ascii="仿宋_GB2312" w:hAnsi="仿宋_GB2312" w:cs="仿宋_GB2312" w:eastAsia="仿宋_GB2312"/>
                <w:sz w:val="28"/>
              </w:rPr>
              <w:t>《生产安全事故报告和调查处理条例》</w:t>
            </w:r>
          </w:p>
          <w:p>
            <w:pPr>
              <w:pStyle w:val="null3"/>
              <w:ind w:firstLine="280"/>
              <w:jc w:val="both"/>
            </w:pPr>
            <w:r>
              <w:rPr>
                <w:rFonts w:ascii="仿宋_GB2312" w:hAnsi="仿宋_GB2312" w:cs="仿宋_GB2312" w:eastAsia="仿宋_GB2312"/>
                <w:sz w:val="28"/>
              </w:rPr>
              <w:t>《电力建设工程安全监督管理办法》</w:t>
            </w:r>
          </w:p>
          <w:p>
            <w:pPr>
              <w:pStyle w:val="null3"/>
              <w:ind w:firstLine="280"/>
              <w:jc w:val="both"/>
            </w:pPr>
            <w:r>
              <w:rPr>
                <w:rFonts w:ascii="仿宋_GB2312" w:hAnsi="仿宋_GB2312" w:cs="仿宋_GB2312" w:eastAsia="仿宋_GB2312"/>
                <w:sz w:val="28"/>
              </w:rPr>
              <w:t>《建筑施工安全检查标准》（</w:t>
            </w:r>
            <w:r>
              <w:rPr>
                <w:rFonts w:ascii="仿宋_GB2312" w:hAnsi="仿宋_GB2312" w:cs="仿宋_GB2312" w:eastAsia="仿宋_GB2312"/>
                <w:sz w:val="28"/>
              </w:rPr>
              <w:t>JGJ59）</w:t>
            </w:r>
          </w:p>
          <w:p>
            <w:pPr>
              <w:pStyle w:val="null3"/>
              <w:ind w:firstLine="280"/>
              <w:jc w:val="both"/>
            </w:pPr>
            <w:r>
              <w:rPr>
                <w:rFonts w:ascii="仿宋_GB2312" w:hAnsi="仿宋_GB2312" w:cs="仿宋_GB2312" w:eastAsia="仿宋_GB2312"/>
                <w:sz w:val="28"/>
              </w:rPr>
              <w:t>《建筑基坑工程监测技术规范》（</w:t>
            </w:r>
            <w:r>
              <w:rPr>
                <w:rFonts w:ascii="仿宋_GB2312" w:hAnsi="仿宋_GB2312" w:cs="仿宋_GB2312" w:eastAsia="仿宋_GB2312"/>
                <w:sz w:val="28"/>
              </w:rPr>
              <w:t>GB50497）</w:t>
            </w:r>
          </w:p>
          <w:p>
            <w:pPr>
              <w:pStyle w:val="null3"/>
              <w:ind w:firstLine="280"/>
              <w:jc w:val="both"/>
            </w:pPr>
            <w:r>
              <w:rPr>
                <w:rFonts w:ascii="仿宋_GB2312" w:hAnsi="仿宋_GB2312" w:cs="仿宋_GB2312" w:eastAsia="仿宋_GB2312"/>
                <w:sz w:val="28"/>
              </w:rPr>
              <w:t>《城镇道路工程施工与质量验收规范》（</w:t>
            </w:r>
            <w:r>
              <w:rPr>
                <w:rFonts w:ascii="仿宋_GB2312" w:hAnsi="仿宋_GB2312" w:cs="仿宋_GB2312" w:eastAsia="仿宋_GB2312"/>
                <w:sz w:val="28"/>
              </w:rPr>
              <w:t>CJJ1）</w:t>
            </w:r>
          </w:p>
          <w:p>
            <w:pPr>
              <w:pStyle w:val="null3"/>
              <w:ind w:firstLine="280"/>
              <w:jc w:val="both"/>
            </w:pPr>
            <w:r>
              <w:rPr>
                <w:rFonts w:ascii="仿宋_GB2312" w:hAnsi="仿宋_GB2312" w:cs="仿宋_GB2312" w:eastAsia="仿宋_GB2312"/>
                <w:sz w:val="28"/>
              </w:rPr>
              <w:t>《电力工程电缆设计标准》（</w:t>
            </w:r>
            <w:r>
              <w:rPr>
                <w:rFonts w:ascii="仿宋_GB2312" w:hAnsi="仿宋_GB2312" w:cs="仿宋_GB2312" w:eastAsia="仿宋_GB2312"/>
                <w:sz w:val="28"/>
              </w:rPr>
              <w:t>GB50217）</w:t>
            </w:r>
          </w:p>
          <w:p>
            <w:pPr>
              <w:pStyle w:val="null3"/>
              <w:jc w:val="both"/>
            </w:pPr>
            <w:r>
              <w:rPr>
                <w:rFonts w:ascii="仿宋_GB2312" w:hAnsi="仿宋_GB2312" w:cs="仿宋_GB2312" w:eastAsia="仿宋_GB2312"/>
                <w:sz w:val="28"/>
              </w:rPr>
              <w:t>国家及地方其他相关法律、法规、规章、标准、规范及规范性文件。</w:t>
            </w:r>
          </w:p>
          <w:p>
            <w:pPr>
              <w:pStyle w:val="null3"/>
              <w:jc w:val="both"/>
            </w:pPr>
            <w:r>
              <w:rPr>
                <w:rFonts w:ascii="仿宋_GB2312" w:hAnsi="仿宋_GB2312" w:cs="仿宋_GB2312" w:eastAsia="仿宋_GB2312"/>
                <w:sz w:val="28"/>
                <w:b/>
              </w:rPr>
              <w:t>五、</w:t>
            </w:r>
            <w:r>
              <w:rPr>
                <w:rFonts w:ascii="仿宋_GB2312" w:hAnsi="仿宋_GB2312" w:cs="仿宋_GB2312" w:eastAsia="仿宋_GB2312"/>
                <w:sz w:val="28"/>
                <w:b/>
              </w:rPr>
              <w:t>工作进度计划</w:t>
            </w:r>
          </w:p>
          <w:p>
            <w:pPr>
              <w:pStyle w:val="null3"/>
              <w:ind w:firstLine="560"/>
              <w:jc w:val="both"/>
            </w:pPr>
            <w:r>
              <w:rPr>
                <w:rFonts w:ascii="仿宋_GB2312" w:hAnsi="仿宋_GB2312" w:cs="仿宋_GB2312" w:eastAsia="仿宋_GB2312"/>
                <w:sz w:val="28"/>
              </w:rPr>
              <w:t>（一）合同正式签订后</w:t>
            </w:r>
            <w:r>
              <w:rPr>
                <w:rFonts w:ascii="仿宋_GB2312" w:hAnsi="仿宋_GB2312" w:cs="仿宋_GB2312" w:eastAsia="仿宋_GB2312"/>
                <w:sz w:val="28"/>
              </w:rPr>
              <w:t>5个工作日内，</w:t>
            </w:r>
            <w:r>
              <w:rPr>
                <w:rFonts w:ascii="仿宋_GB2312" w:hAnsi="仿宋_GB2312" w:cs="仿宋_GB2312" w:eastAsia="仿宋_GB2312"/>
                <w:sz w:val="28"/>
              </w:rPr>
              <w:t>供应商</w:t>
            </w:r>
            <w:r>
              <w:rPr>
                <w:rFonts w:ascii="仿宋_GB2312" w:hAnsi="仿宋_GB2312" w:cs="仿宋_GB2312" w:eastAsia="仿宋_GB2312"/>
                <w:sz w:val="28"/>
              </w:rPr>
              <w:t>应提交经</w:t>
            </w:r>
            <w:r>
              <w:rPr>
                <w:rFonts w:ascii="仿宋_GB2312" w:hAnsi="仿宋_GB2312" w:cs="仿宋_GB2312" w:eastAsia="仿宋_GB2312"/>
                <w:sz w:val="28"/>
              </w:rPr>
              <w:t>采购人</w:t>
            </w:r>
            <w:r>
              <w:rPr>
                <w:rFonts w:ascii="仿宋_GB2312" w:hAnsi="仿宋_GB2312" w:cs="仿宋_GB2312" w:eastAsia="仿宋_GB2312"/>
                <w:sz w:val="28"/>
              </w:rPr>
              <w:t>认可的《安全评估工作实施方案》，实施方案包括但不限于以下内容：项目概述、评估范围、评估内容、项目进度安排、项目投入人员情况、预评估工作安排</w:t>
            </w:r>
            <w:r>
              <w:rPr>
                <w:rFonts w:ascii="仿宋_GB2312" w:hAnsi="仿宋_GB2312" w:cs="仿宋_GB2312" w:eastAsia="仿宋_GB2312"/>
                <w:sz w:val="28"/>
              </w:rPr>
              <w:t>、</w:t>
            </w:r>
            <w:r>
              <w:rPr>
                <w:rFonts w:ascii="仿宋_GB2312" w:hAnsi="仿宋_GB2312" w:cs="仿宋_GB2312" w:eastAsia="仿宋_GB2312"/>
                <w:sz w:val="28"/>
              </w:rPr>
              <w:t>应急</w:t>
            </w:r>
            <w:r>
              <w:rPr>
                <w:rFonts w:ascii="仿宋_GB2312" w:hAnsi="仿宋_GB2312" w:cs="仿宋_GB2312" w:eastAsia="仿宋_GB2312"/>
                <w:sz w:val="28"/>
              </w:rPr>
              <w:t>处置措施</w:t>
            </w:r>
            <w:r>
              <w:rPr>
                <w:rFonts w:ascii="仿宋_GB2312" w:hAnsi="仿宋_GB2312" w:cs="仿宋_GB2312" w:eastAsia="仿宋_GB2312"/>
                <w:sz w:val="28"/>
              </w:rPr>
              <w:t>等；</w:t>
            </w:r>
          </w:p>
          <w:p>
            <w:pPr>
              <w:pStyle w:val="null3"/>
              <w:ind w:firstLine="560"/>
              <w:jc w:val="both"/>
            </w:pPr>
            <w:r>
              <w:rPr>
                <w:rFonts w:ascii="仿宋_GB2312" w:hAnsi="仿宋_GB2312" w:cs="仿宋_GB2312" w:eastAsia="仿宋_GB2312"/>
                <w:sz w:val="28"/>
              </w:rPr>
              <w:t>（二）合同签订之日起</w:t>
            </w:r>
            <w:r>
              <w:rPr>
                <w:rFonts w:ascii="仿宋_GB2312" w:hAnsi="仿宋_GB2312" w:cs="仿宋_GB2312" w:eastAsia="仿宋_GB2312"/>
                <w:sz w:val="28"/>
              </w:rPr>
              <w:t>10</w:t>
            </w:r>
            <w:r>
              <w:rPr>
                <w:rFonts w:ascii="仿宋_GB2312" w:hAnsi="仿宋_GB2312" w:cs="仿宋_GB2312" w:eastAsia="仿宋_GB2312"/>
                <w:sz w:val="28"/>
              </w:rPr>
              <w:t>日内，</w:t>
            </w:r>
            <w:r>
              <w:rPr>
                <w:rFonts w:ascii="仿宋_GB2312" w:hAnsi="仿宋_GB2312" w:cs="仿宋_GB2312" w:eastAsia="仿宋_GB2312"/>
                <w:sz w:val="28"/>
              </w:rPr>
              <w:t>供应商</w:t>
            </w:r>
            <w:r>
              <w:rPr>
                <w:rFonts w:ascii="仿宋_GB2312" w:hAnsi="仿宋_GB2312" w:cs="仿宋_GB2312" w:eastAsia="仿宋_GB2312"/>
                <w:sz w:val="28"/>
              </w:rPr>
              <w:t>应组织有关</w:t>
            </w:r>
            <w:r>
              <w:rPr>
                <w:rFonts w:ascii="仿宋_GB2312" w:hAnsi="仿宋_GB2312" w:cs="仿宋_GB2312" w:eastAsia="仿宋_GB2312"/>
                <w:sz w:val="28"/>
              </w:rPr>
              <w:t>技术人员确定</w:t>
            </w:r>
            <w:r>
              <w:rPr>
                <w:rFonts w:ascii="仿宋_GB2312" w:hAnsi="仿宋_GB2312" w:cs="仿宋_GB2312" w:eastAsia="仿宋_GB2312"/>
                <w:sz w:val="28"/>
              </w:rPr>
              <w:t>开展安全评估检查和评估标准</w:t>
            </w:r>
            <w:r>
              <w:rPr>
                <w:rFonts w:ascii="仿宋_GB2312" w:hAnsi="仿宋_GB2312" w:cs="仿宋_GB2312" w:eastAsia="仿宋_GB2312"/>
                <w:sz w:val="28"/>
              </w:rPr>
              <w:t>确定工作</w:t>
            </w:r>
            <w:r>
              <w:rPr>
                <w:rFonts w:ascii="仿宋_GB2312" w:hAnsi="仿宋_GB2312" w:cs="仿宋_GB2312" w:eastAsia="仿宋_GB2312"/>
                <w:sz w:val="28"/>
              </w:rPr>
              <w:t>，掌握项目重难点和存在问题，提出</w:t>
            </w:r>
            <w:r>
              <w:rPr>
                <w:rFonts w:ascii="仿宋_GB2312" w:hAnsi="仿宋_GB2312" w:cs="仿宋_GB2312" w:eastAsia="仿宋_GB2312"/>
                <w:sz w:val="28"/>
              </w:rPr>
              <w:t>项目评估建议</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（三）至少开展一次预评估工作</w:t>
            </w:r>
            <w:r>
              <w:rPr>
                <w:rFonts w:ascii="仿宋_GB2312" w:hAnsi="仿宋_GB2312" w:cs="仿宋_GB2312" w:eastAsia="仿宋_GB2312"/>
                <w:sz w:val="28"/>
              </w:rPr>
              <w:t>，</w:t>
            </w:r>
            <w:r>
              <w:rPr>
                <w:rFonts w:ascii="仿宋_GB2312" w:hAnsi="仿宋_GB2312" w:cs="仿宋_GB2312" w:eastAsia="仿宋_GB2312"/>
                <w:sz w:val="28"/>
              </w:rPr>
              <w:t>现场勘察收集相关资料、风险辨识及评估等</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（四）根据西安高新区万达</w:t>
            </w:r>
            <w:r>
              <w:rPr>
                <w:rFonts w:ascii="仿宋_GB2312" w:hAnsi="仿宋_GB2312" w:cs="仿宋_GB2312" w:eastAsia="仿宋_GB2312"/>
                <w:sz w:val="28"/>
              </w:rPr>
              <w:t>330千伏变电站配套电力沟道</w:t>
            </w:r>
            <w:r>
              <w:rPr>
                <w:rFonts w:ascii="仿宋_GB2312" w:hAnsi="仿宋_GB2312" w:cs="仿宋_GB2312" w:eastAsia="仿宋_GB2312"/>
                <w:sz w:val="28"/>
              </w:rPr>
              <w:t>工</w:t>
            </w:r>
            <w:r>
              <w:rPr>
                <w:rFonts w:ascii="仿宋_GB2312" w:hAnsi="仿宋_GB2312" w:cs="仿宋_GB2312" w:eastAsia="仿宋_GB2312"/>
                <w:sz w:val="28"/>
              </w:rPr>
              <w:t>程现状构筑物安全评估项目建设竣工完成情况和评估筹备工作进展情况，</w:t>
            </w:r>
            <w:r>
              <w:rPr>
                <w:rFonts w:ascii="仿宋_GB2312" w:hAnsi="仿宋_GB2312" w:cs="仿宋_GB2312" w:eastAsia="仿宋_GB2312"/>
                <w:sz w:val="28"/>
              </w:rPr>
              <w:t>供应商</w:t>
            </w:r>
            <w:r>
              <w:rPr>
                <w:rFonts w:ascii="仿宋_GB2312" w:hAnsi="仿宋_GB2312" w:cs="仿宋_GB2312" w:eastAsia="仿宋_GB2312"/>
                <w:sz w:val="28"/>
              </w:rPr>
              <w:t>按照有关规定开展初期运营前安全评估基本条件审查工作，拟定安全评估会议的具体召开时间、专家名单及会议议程并经</w:t>
            </w:r>
            <w:r>
              <w:rPr>
                <w:rFonts w:ascii="仿宋_GB2312" w:hAnsi="仿宋_GB2312" w:cs="仿宋_GB2312" w:eastAsia="仿宋_GB2312"/>
                <w:sz w:val="28"/>
              </w:rPr>
              <w:t>采购人</w:t>
            </w:r>
            <w:r>
              <w:rPr>
                <w:rFonts w:ascii="仿宋_GB2312" w:hAnsi="仿宋_GB2312" w:cs="仿宋_GB2312" w:eastAsia="仿宋_GB2312"/>
                <w:sz w:val="28"/>
              </w:rPr>
              <w:t>审查确定；</w:t>
            </w:r>
          </w:p>
          <w:p>
            <w:pPr>
              <w:pStyle w:val="null3"/>
              <w:ind w:firstLine="560"/>
              <w:jc w:val="both"/>
            </w:pPr>
            <w:r>
              <w:rPr>
                <w:rFonts w:ascii="仿宋_GB2312" w:hAnsi="仿宋_GB2312" w:cs="仿宋_GB2312" w:eastAsia="仿宋_GB2312"/>
                <w:sz w:val="28"/>
              </w:rPr>
              <w:t>（五）满足安全评估前提条件的，向</w:t>
            </w:r>
            <w:r>
              <w:rPr>
                <w:rFonts w:ascii="仿宋_GB2312" w:hAnsi="仿宋_GB2312" w:cs="仿宋_GB2312" w:eastAsia="仿宋_GB2312"/>
                <w:sz w:val="28"/>
              </w:rPr>
              <w:t>采购人</w:t>
            </w:r>
            <w:r>
              <w:rPr>
                <w:rFonts w:ascii="仿宋_GB2312" w:hAnsi="仿宋_GB2312" w:cs="仿宋_GB2312" w:eastAsia="仿宋_GB2312"/>
                <w:sz w:val="28"/>
              </w:rPr>
              <w:t>出具前提条件审查函，并组织召开评估会议，</w:t>
            </w:r>
            <w:r>
              <w:rPr>
                <w:rFonts w:ascii="仿宋_GB2312" w:hAnsi="仿宋_GB2312" w:cs="仿宋_GB2312" w:eastAsia="仿宋_GB2312"/>
                <w:sz w:val="28"/>
              </w:rPr>
              <w:t>供应商</w:t>
            </w:r>
            <w:r>
              <w:rPr>
                <w:rFonts w:ascii="仿宋_GB2312" w:hAnsi="仿宋_GB2312" w:cs="仿宋_GB2312" w:eastAsia="仿宋_GB2312"/>
                <w:sz w:val="28"/>
              </w:rPr>
              <w:t>根据评估结果向</w:t>
            </w:r>
            <w:r>
              <w:rPr>
                <w:rFonts w:ascii="仿宋_GB2312" w:hAnsi="仿宋_GB2312" w:cs="仿宋_GB2312" w:eastAsia="仿宋_GB2312"/>
                <w:sz w:val="28"/>
              </w:rPr>
              <w:t>采购人</w:t>
            </w:r>
            <w:r>
              <w:rPr>
                <w:rFonts w:ascii="仿宋_GB2312" w:hAnsi="仿宋_GB2312" w:cs="仿宋_GB2312" w:eastAsia="仿宋_GB2312"/>
                <w:sz w:val="28"/>
              </w:rPr>
              <w:t>出具《安全评估报告》</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六</w:t>
            </w:r>
            <w:r>
              <w:rPr>
                <w:rFonts w:ascii="仿宋_GB2312" w:hAnsi="仿宋_GB2312" w:cs="仿宋_GB2312" w:eastAsia="仿宋_GB2312"/>
                <w:sz w:val="28"/>
                <w:b/>
              </w:rPr>
              <w:t>、</w:t>
            </w:r>
            <w:r>
              <w:rPr>
                <w:rFonts w:ascii="仿宋_GB2312" w:hAnsi="仿宋_GB2312" w:cs="仿宋_GB2312" w:eastAsia="仿宋_GB2312"/>
                <w:sz w:val="28"/>
                <w:b/>
              </w:rPr>
              <w:t>供应商</w:t>
            </w:r>
            <w:r>
              <w:rPr>
                <w:rFonts w:ascii="仿宋_GB2312" w:hAnsi="仿宋_GB2312" w:cs="仿宋_GB2312" w:eastAsia="仿宋_GB2312"/>
                <w:sz w:val="28"/>
                <w:b/>
              </w:rPr>
              <w:t>职责</w:t>
            </w:r>
          </w:p>
          <w:p>
            <w:pPr>
              <w:pStyle w:val="null3"/>
              <w:spacing w:before="150" w:after="150"/>
              <w:ind w:left="720"/>
              <w:jc w:val="both"/>
            </w:pPr>
            <w:r>
              <w:rPr>
                <w:rFonts w:ascii="仿宋_GB2312" w:hAnsi="仿宋_GB2312" w:cs="仿宋_GB2312" w:eastAsia="仿宋_GB2312"/>
                <w:sz w:val="28"/>
              </w:rPr>
              <w:t>1.</w:t>
            </w:r>
            <w:r>
              <w:rPr>
                <w:rFonts w:ascii="仿宋_GB2312" w:hAnsi="仿宋_GB2312" w:cs="仿宋_GB2312" w:eastAsia="仿宋_GB2312"/>
                <w:sz w:val="28"/>
              </w:rPr>
              <w:t>严格履约执行：</w:t>
            </w:r>
            <w:r>
              <w:rPr>
                <w:rFonts w:ascii="仿宋_GB2312" w:hAnsi="仿宋_GB2312" w:cs="仿宋_GB2312" w:eastAsia="仿宋_GB2312"/>
                <w:sz w:val="28"/>
              </w:rPr>
              <w:t>供应商</w:t>
            </w:r>
            <w:r>
              <w:rPr>
                <w:rFonts w:ascii="仿宋_GB2312" w:hAnsi="仿宋_GB2312" w:cs="仿宋_GB2312" w:eastAsia="仿宋_GB2312"/>
                <w:sz w:val="28"/>
              </w:rPr>
              <w:t>须全面、严格按照招标文件、中标通知书及合同约定的各项条款（包括项目范围、技术标准、质量要求、交付时间、服务周期等）组织实施，确保项目各环节工作符合合同规定。</w:t>
            </w:r>
          </w:p>
          <w:p>
            <w:pPr>
              <w:pStyle w:val="null3"/>
              <w:spacing w:before="150" w:after="150"/>
              <w:ind w:left="720"/>
              <w:jc w:val="both"/>
            </w:pPr>
            <w:r>
              <w:rPr>
                <w:rFonts w:ascii="仿宋_GB2312" w:hAnsi="仿宋_GB2312" w:cs="仿宋_GB2312" w:eastAsia="仿宋_GB2312"/>
                <w:sz w:val="28"/>
              </w:rPr>
              <w:t>2.</w:t>
            </w:r>
            <w:r>
              <w:rPr>
                <w:rFonts w:ascii="仿宋_GB2312" w:hAnsi="仿宋_GB2312" w:cs="仿宋_GB2312" w:eastAsia="仿宋_GB2312"/>
                <w:sz w:val="28"/>
              </w:rPr>
              <w:t>质量保障管理：建立并落实完善的质量保证体系，对项目</w:t>
            </w:r>
            <w:r>
              <w:rPr>
                <w:rFonts w:ascii="仿宋_GB2312" w:hAnsi="仿宋_GB2312" w:cs="仿宋_GB2312" w:eastAsia="仿宋_GB2312"/>
                <w:sz w:val="28"/>
              </w:rPr>
              <w:t>服务过程</w:t>
            </w:r>
            <w:r>
              <w:rPr>
                <w:rFonts w:ascii="仿宋_GB2312" w:hAnsi="仿宋_GB2312" w:cs="仿宋_GB2312" w:eastAsia="仿宋_GB2312"/>
                <w:sz w:val="28"/>
              </w:rPr>
              <w:t>、成果交付等全流程进行质量控制，确保最终交付成果达到合同约定的质量标准，并通过相关验收。</w:t>
            </w:r>
          </w:p>
          <w:p>
            <w:pPr>
              <w:pStyle w:val="null3"/>
              <w:spacing w:before="150" w:after="150"/>
              <w:ind w:left="720"/>
              <w:jc w:val="both"/>
            </w:pPr>
            <w:r>
              <w:rPr>
                <w:rFonts w:ascii="仿宋_GB2312" w:hAnsi="仿宋_GB2312" w:cs="仿宋_GB2312" w:eastAsia="仿宋_GB2312"/>
                <w:sz w:val="28"/>
              </w:rPr>
              <w:t>3.</w:t>
            </w:r>
            <w:r>
              <w:rPr>
                <w:rFonts w:ascii="仿宋_GB2312" w:hAnsi="仿宋_GB2312" w:cs="仿宋_GB2312" w:eastAsia="仿宋_GB2312"/>
                <w:sz w:val="28"/>
              </w:rPr>
              <w:t>进度控制推进：制定详细的项目实施计划，明确各阶段任务、时间节点及责任人，合理调配资源，确保项目按计划进度推进，如遇影响进度的因素应及时采取补救措施并书面通知</w:t>
            </w:r>
            <w:r>
              <w:rPr>
                <w:rFonts w:ascii="仿宋_GB2312" w:hAnsi="仿宋_GB2312" w:cs="仿宋_GB2312" w:eastAsia="仿宋_GB2312"/>
                <w:sz w:val="28"/>
              </w:rPr>
              <w:t>采购人</w:t>
            </w:r>
            <w:r>
              <w:rPr>
                <w:rFonts w:ascii="仿宋_GB2312" w:hAnsi="仿宋_GB2312" w:cs="仿宋_GB2312" w:eastAsia="仿宋_GB2312"/>
                <w:sz w:val="28"/>
              </w:rPr>
              <w:t>。</w:t>
            </w:r>
          </w:p>
          <w:p>
            <w:pPr>
              <w:pStyle w:val="null3"/>
              <w:spacing w:before="150" w:after="150"/>
              <w:ind w:left="720"/>
              <w:jc w:val="both"/>
            </w:pPr>
            <w:r>
              <w:rPr>
                <w:rFonts w:ascii="仿宋_GB2312" w:hAnsi="仿宋_GB2312" w:cs="仿宋_GB2312" w:eastAsia="仿宋_GB2312"/>
                <w:sz w:val="28"/>
              </w:rPr>
              <w:t>4.</w:t>
            </w:r>
            <w:r>
              <w:rPr>
                <w:rFonts w:ascii="仿宋_GB2312" w:hAnsi="仿宋_GB2312" w:cs="仿宋_GB2312" w:eastAsia="仿宋_GB2312"/>
                <w:sz w:val="28"/>
              </w:rPr>
              <w:t>安全与合规责任：严格遵守国家及地方相关法律法规、行业规范，落实安全生产责任制，确保项目实施过程中的人员安全、财产安全及环境安全，杜绝安全事故发生。</w:t>
            </w:r>
          </w:p>
          <w:p>
            <w:pPr>
              <w:pStyle w:val="null3"/>
              <w:spacing w:before="150" w:after="150"/>
              <w:ind w:left="720"/>
              <w:jc w:val="both"/>
            </w:pPr>
            <w:r>
              <w:rPr>
                <w:rFonts w:ascii="仿宋_GB2312" w:hAnsi="仿宋_GB2312" w:cs="仿宋_GB2312" w:eastAsia="仿宋_GB2312"/>
                <w:sz w:val="28"/>
              </w:rPr>
              <w:t>5.</w:t>
            </w:r>
            <w:r>
              <w:rPr>
                <w:rFonts w:ascii="仿宋_GB2312" w:hAnsi="仿宋_GB2312" w:cs="仿宋_GB2312" w:eastAsia="仿宋_GB2312"/>
                <w:sz w:val="28"/>
              </w:rPr>
              <w:t>资源投入保障：按照合同约定投入足额且具备相应资质的项目团队（包括管理人员、技术人员等）、设备、资金及其他必要资源，确保满足项目实施需求，未经</w:t>
            </w:r>
            <w:r>
              <w:rPr>
                <w:rFonts w:ascii="仿宋_GB2312" w:hAnsi="仿宋_GB2312" w:cs="仿宋_GB2312" w:eastAsia="仿宋_GB2312"/>
                <w:sz w:val="28"/>
              </w:rPr>
              <w:t>采购人</w:t>
            </w:r>
            <w:r>
              <w:rPr>
                <w:rFonts w:ascii="仿宋_GB2312" w:hAnsi="仿宋_GB2312" w:cs="仿宋_GB2312" w:eastAsia="仿宋_GB2312"/>
                <w:sz w:val="28"/>
              </w:rPr>
              <w:t>书面同意不得擅自更换核心团队成员。</w:t>
            </w:r>
          </w:p>
          <w:p>
            <w:pPr>
              <w:pStyle w:val="null3"/>
              <w:spacing w:before="150" w:after="150"/>
              <w:ind w:left="720"/>
              <w:jc w:val="both"/>
            </w:pPr>
            <w:r>
              <w:rPr>
                <w:rFonts w:ascii="仿宋_GB2312" w:hAnsi="仿宋_GB2312" w:cs="仿宋_GB2312" w:eastAsia="仿宋_GB2312"/>
                <w:sz w:val="28"/>
              </w:rPr>
              <w:t>6.</w:t>
            </w:r>
            <w:r>
              <w:rPr>
                <w:rFonts w:ascii="仿宋_GB2312" w:hAnsi="仿宋_GB2312" w:cs="仿宋_GB2312" w:eastAsia="仿宋_GB2312"/>
                <w:sz w:val="28"/>
              </w:rPr>
              <w:t>沟通协调配合：建立与</w:t>
            </w:r>
            <w:r>
              <w:rPr>
                <w:rFonts w:ascii="仿宋_GB2312" w:hAnsi="仿宋_GB2312" w:cs="仿宋_GB2312" w:eastAsia="仿宋_GB2312"/>
                <w:sz w:val="28"/>
              </w:rPr>
              <w:t>采购人</w:t>
            </w:r>
            <w:r>
              <w:rPr>
                <w:rFonts w:ascii="仿宋_GB2312" w:hAnsi="仿宋_GB2312" w:cs="仿宋_GB2312" w:eastAsia="仿宋_GB2312"/>
                <w:sz w:val="28"/>
              </w:rPr>
              <w:t>的定期沟通机制，及时汇报项目进展、存在问题及解决方案；积极配合</w:t>
            </w:r>
            <w:r>
              <w:rPr>
                <w:rFonts w:ascii="仿宋_GB2312" w:hAnsi="仿宋_GB2312" w:cs="仿宋_GB2312" w:eastAsia="仿宋_GB2312"/>
                <w:sz w:val="28"/>
              </w:rPr>
              <w:t>采购人</w:t>
            </w:r>
            <w:r>
              <w:rPr>
                <w:rFonts w:ascii="仿宋_GB2312" w:hAnsi="仿宋_GB2312" w:cs="仿宋_GB2312" w:eastAsia="仿宋_GB2312"/>
                <w:sz w:val="28"/>
              </w:rPr>
              <w:t>及相关方的监督检查、审计工作，提供必要的资料和支持。</w:t>
            </w:r>
          </w:p>
          <w:p>
            <w:pPr>
              <w:pStyle w:val="null3"/>
              <w:spacing w:before="150" w:after="150"/>
              <w:ind w:left="720"/>
              <w:jc w:val="both"/>
            </w:pPr>
            <w:r>
              <w:rPr>
                <w:rFonts w:ascii="仿宋_GB2312" w:hAnsi="仿宋_GB2312" w:cs="仿宋_GB2312" w:eastAsia="仿宋_GB2312"/>
                <w:sz w:val="28"/>
              </w:rPr>
              <w:t>7.</w:t>
            </w:r>
            <w:r>
              <w:rPr>
                <w:rFonts w:ascii="仿宋_GB2312" w:hAnsi="仿宋_GB2312" w:cs="仿宋_GB2312" w:eastAsia="仿宋_GB2312"/>
                <w:sz w:val="28"/>
              </w:rPr>
              <w:t>知识产权管理：确保所提供的产品、技术或服务不侵犯任何第三方知识产权，如涉及知识产权纠纷由</w:t>
            </w:r>
            <w:r>
              <w:rPr>
                <w:rFonts w:ascii="仿宋_GB2312" w:hAnsi="仿宋_GB2312" w:cs="仿宋_GB2312" w:eastAsia="仿宋_GB2312"/>
                <w:sz w:val="28"/>
              </w:rPr>
              <w:t>供应商</w:t>
            </w:r>
            <w:r>
              <w:rPr>
                <w:rFonts w:ascii="仿宋_GB2312" w:hAnsi="仿宋_GB2312" w:cs="仿宋_GB2312" w:eastAsia="仿宋_GB2312"/>
                <w:sz w:val="28"/>
              </w:rPr>
              <w:t>承担全部责任；项目实施过程中产生的新知识产权归属按合同约定执行。</w:t>
            </w:r>
          </w:p>
          <w:p>
            <w:pPr>
              <w:pStyle w:val="null3"/>
              <w:spacing w:before="150" w:after="150"/>
              <w:ind w:left="720"/>
              <w:jc w:val="both"/>
            </w:pPr>
            <w:r>
              <w:rPr>
                <w:rFonts w:ascii="仿宋_GB2312" w:hAnsi="仿宋_GB2312" w:cs="仿宋_GB2312" w:eastAsia="仿宋_GB2312"/>
                <w:sz w:val="28"/>
              </w:rPr>
              <w:t>8.</w:t>
            </w:r>
            <w:r>
              <w:rPr>
                <w:rFonts w:ascii="仿宋_GB2312" w:hAnsi="仿宋_GB2312" w:cs="仿宋_GB2312" w:eastAsia="仿宋_GB2312"/>
                <w:sz w:val="28"/>
              </w:rPr>
              <w:t>验收配合工作：按照合同约定提交完整的验收资料，配合</w:t>
            </w:r>
            <w:r>
              <w:rPr>
                <w:rFonts w:ascii="仿宋_GB2312" w:hAnsi="仿宋_GB2312" w:cs="仿宋_GB2312" w:eastAsia="仿宋_GB2312"/>
                <w:sz w:val="28"/>
              </w:rPr>
              <w:t>采购人</w:t>
            </w:r>
            <w:r>
              <w:rPr>
                <w:rFonts w:ascii="仿宋_GB2312" w:hAnsi="仿宋_GB2312" w:cs="仿宋_GB2312" w:eastAsia="仿宋_GB2312"/>
                <w:sz w:val="28"/>
              </w:rPr>
              <w:t>组织的项目初验、终验等工作，对验收中提出的问题及时进行整改，直至项目通过最终验收。</w:t>
            </w:r>
          </w:p>
          <w:p>
            <w:pPr>
              <w:pStyle w:val="null3"/>
              <w:spacing w:before="150" w:after="150"/>
              <w:ind w:left="720"/>
              <w:jc w:val="both"/>
            </w:pPr>
            <w:r>
              <w:rPr>
                <w:rFonts w:ascii="仿宋_GB2312" w:hAnsi="仿宋_GB2312" w:cs="仿宋_GB2312" w:eastAsia="仿宋_GB2312"/>
                <w:sz w:val="28"/>
              </w:rPr>
              <w:t>9.</w:t>
            </w:r>
            <w:r>
              <w:rPr>
                <w:rFonts w:ascii="仿宋_GB2312" w:hAnsi="仿宋_GB2312" w:cs="仿宋_GB2312" w:eastAsia="仿宋_GB2312"/>
                <w:sz w:val="28"/>
              </w:rPr>
              <w:t>售后服务保障：严格履行合同约定的售后服务承诺，包括但不限于提供免费保修期内的技术支持、故障排除、系统维护、升级服务等，建立快速响应机制，确保售后服务及时有效。</w:t>
            </w:r>
          </w:p>
          <w:p>
            <w:pPr>
              <w:pStyle w:val="null3"/>
              <w:spacing w:before="150" w:after="150"/>
              <w:ind w:left="720"/>
              <w:jc w:val="both"/>
            </w:pPr>
            <w:r>
              <w:rPr>
                <w:rFonts w:ascii="仿宋_GB2312" w:hAnsi="仿宋_GB2312" w:cs="仿宋_GB2312" w:eastAsia="仿宋_GB2312"/>
                <w:sz w:val="28"/>
              </w:rPr>
              <w:t>10.</w:t>
            </w:r>
            <w:r>
              <w:rPr>
                <w:rFonts w:ascii="仿宋_GB2312" w:hAnsi="仿宋_GB2312" w:cs="仿宋_GB2312" w:eastAsia="仿宋_GB2312"/>
                <w:sz w:val="28"/>
              </w:rPr>
              <w:t>文档资料交付：在项目各阶段及完成后，按合同要求整理并提交完整、规范的项目文档资料，包括但不限于</w:t>
            </w:r>
            <w:r>
              <w:rPr>
                <w:rFonts w:ascii="仿宋_GB2312" w:hAnsi="仿宋_GB2312" w:cs="仿宋_GB2312" w:eastAsia="仿宋_GB2312"/>
                <w:sz w:val="28"/>
              </w:rPr>
              <w:t>建设单位提供的相关资料和成果</w:t>
            </w:r>
            <w:r>
              <w:rPr>
                <w:rFonts w:ascii="仿宋_GB2312" w:hAnsi="仿宋_GB2312" w:cs="仿宋_GB2312" w:eastAsia="仿宋_GB2312"/>
                <w:sz w:val="28"/>
              </w:rPr>
              <w:t>等。</w:t>
            </w:r>
          </w:p>
          <w:p>
            <w:pPr>
              <w:pStyle w:val="null3"/>
              <w:spacing w:before="150" w:after="150"/>
              <w:ind w:left="720"/>
              <w:jc w:val="both"/>
            </w:pPr>
            <w:r>
              <w:rPr>
                <w:rFonts w:ascii="仿宋_GB2312" w:hAnsi="仿宋_GB2312" w:cs="仿宋_GB2312" w:eastAsia="仿宋_GB2312"/>
                <w:sz w:val="28"/>
              </w:rPr>
              <w:t>11.</w:t>
            </w:r>
            <w:r>
              <w:rPr>
                <w:rFonts w:ascii="仿宋_GB2312" w:hAnsi="仿宋_GB2312" w:cs="仿宋_GB2312" w:eastAsia="仿宋_GB2312"/>
                <w:sz w:val="28"/>
              </w:rPr>
              <w:t>保密义务承担：对在项目合作过程中获悉的</w:t>
            </w:r>
            <w:r>
              <w:rPr>
                <w:rFonts w:ascii="仿宋_GB2312" w:hAnsi="仿宋_GB2312" w:cs="仿宋_GB2312" w:eastAsia="仿宋_GB2312"/>
                <w:sz w:val="28"/>
              </w:rPr>
              <w:t>采购人</w:t>
            </w:r>
            <w:r>
              <w:rPr>
                <w:rFonts w:ascii="仿宋_GB2312" w:hAnsi="仿宋_GB2312" w:cs="仿宋_GB2312" w:eastAsia="仿宋_GB2312"/>
                <w:sz w:val="28"/>
              </w:rPr>
              <w:t>商业秘密、技术信息及其他未公开信息承担保密责任，该保密义务在合同终止后仍然有效。</w:t>
            </w:r>
          </w:p>
          <w:p>
            <w:pPr>
              <w:pStyle w:val="null3"/>
            </w:pPr>
            <w:r>
              <w:rPr>
                <w:rFonts w:ascii="仿宋_GB2312" w:hAnsi="仿宋_GB2312" w:cs="仿宋_GB2312" w:eastAsia="仿宋_GB2312"/>
                <w:sz w:val="28"/>
              </w:rPr>
              <w:t>12.</w:t>
            </w:r>
            <w:r>
              <w:rPr>
                <w:rFonts w:ascii="仿宋_GB2312" w:hAnsi="仿宋_GB2312" w:cs="仿宋_GB2312" w:eastAsia="仿宋_GB2312"/>
                <w:sz w:val="28"/>
              </w:rPr>
              <w:t>违约责任承担：如未履行或未完全履行上述职责导致项目延误、质量不达标、安全事故等问题，</w:t>
            </w:r>
            <w:r>
              <w:rPr>
                <w:rFonts w:ascii="仿宋_GB2312" w:hAnsi="仿宋_GB2312" w:cs="仿宋_GB2312" w:eastAsia="仿宋_GB2312"/>
                <w:sz w:val="28"/>
              </w:rPr>
              <w:t>供应商</w:t>
            </w:r>
            <w:r>
              <w:rPr>
                <w:rFonts w:ascii="仿宋_GB2312" w:hAnsi="仿宋_GB2312" w:cs="仿宋_GB2312" w:eastAsia="仿宋_GB2312"/>
                <w:sz w:val="28"/>
              </w:rPr>
              <w:t>须按合同约定承担相应的违约责任，包括但不限于支付违约金、赔偿</w:t>
            </w:r>
            <w:r>
              <w:rPr>
                <w:rFonts w:ascii="仿宋_GB2312" w:hAnsi="仿宋_GB2312" w:cs="仿宋_GB2312" w:eastAsia="仿宋_GB2312"/>
                <w:sz w:val="28"/>
              </w:rPr>
              <w:t>采购人</w:t>
            </w:r>
            <w:r>
              <w:rPr>
                <w:rFonts w:ascii="仿宋_GB2312" w:hAnsi="仿宋_GB2312" w:cs="仿宋_GB2312" w:eastAsia="仿宋_GB2312"/>
                <w:sz w:val="28"/>
              </w:rPr>
              <w:t>损失等。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供应商根据本项目实施情况，自行提供。</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供应商根据本项目实施情况，自行提供。</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西起唐延南路西侧高速绿带内始发井(即万达变变电站外工作井)，沿绕城高速自东向西，直至现状河寨变。</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符合国家、行业标准和规范、合同约定。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合同签订后5个工作日，采购人向供应商支付合同金额的40%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剩余款项，待供应商向采购人交付最终版评估报告后5个工作日内支付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（一）中标人领取中标通知书时须向代理机构提交纸质版投标文件：正本壹份、副本贰份、电子版（U盘）贰份。 （二）投标报价为完成本项目招标文件中所提出的工作范围及要求的全部内容，并达到国家及采购人验收标准而产生的所有费用，合同总金额包括但不限于评估费、 材料费、人工费、设备费、设备进出场费用、出报告的各项费用、技术处理费、赶工费、各种施工检测风险、技术措施费(包括雨季及异常气候施工措施费等)、保险费、差旅费、管理费、税费、招标代理服务费、风险、各项保险费、利润等所需的全部费用，任何错报漏报由供应商自行负责。 （三）本项目所属行业：其他未列明行业。从业人员300人以下的为中小微型企业。其中，从业人员100人及以上的为中型企业；从业人员10人及以上的为小型企业；从业人员10人以下的为微型企业。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投标只需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提供有效的安全评价机构资质证书；供应商需在项目电子化交易系统中按要求上传相应证明文件并进行电子签章。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本项目所属行业：其他未列明行业。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在评审过程中，评标委员会认为供应商的报价明显低于其他通过符合性审查供应商的报价，有可能影响产品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服务内容及服务邀请应答表 中小企业声明函 商务应答表 承诺书.docx 资格证明文件.docx 投标函 业绩证明文件及投标方案说明.docx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w:t>
            </w:r>
          </w:p>
        </w:tc>
        <w:tc>
          <w:tcPr>
            <w:tcW w:type="dxa" w:w="3322"/>
          </w:tcPr>
          <w:p>
            <w:pPr>
              <w:pStyle w:val="null3"/>
            </w:pPr>
            <w:r>
              <w:rPr>
                <w:rFonts w:ascii="仿宋_GB2312" w:hAnsi="仿宋_GB2312" w:cs="仿宋_GB2312" w:eastAsia="仿宋_GB2312"/>
              </w:rPr>
              <w:t>投标文件按照规定格式签字、盖章；</w:t>
            </w:r>
          </w:p>
        </w:tc>
        <w:tc>
          <w:tcPr>
            <w:tcW w:type="dxa" w:w="1661"/>
          </w:tcPr>
          <w:p>
            <w:pPr>
              <w:pStyle w:val="null3"/>
            </w:pPr>
            <w:r>
              <w:rPr>
                <w:rFonts w:ascii="仿宋_GB2312" w:hAnsi="仿宋_GB2312" w:cs="仿宋_GB2312" w:eastAsia="仿宋_GB2312"/>
              </w:rPr>
              <w:t>开标一览表 报价一览表.docx 服务内容及服务邀请应答表 中小企业声明函 商务应答表 承诺书.docx 资格证明文件.docx 投标函 业绩证明文件及投标方案说明.docx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供应商针对同一服务未递交两份或多份内容不同的投标文件，未出现选择性报价；</w:t>
            </w:r>
          </w:p>
        </w:tc>
        <w:tc>
          <w:tcPr>
            <w:tcW w:type="dxa" w:w="1661"/>
          </w:tcPr>
          <w:p>
            <w:pPr>
              <w:pStyle w:val="null3"/>
            </w:pPr>
            <w:r>
              <w:rPr>
                <w:rFonts w:ascii="仿宋_GB2312" w:hAnsi="仿宋_GB2312" w:cs="仿宋_GB2312" w:eastAsia="仿宋_GB2312"/>
              </w:rPr>
              <w:t>开标一览表 报价一览表.docx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开标一览表 报价一览表.docx 服务内容及服务邀请应答表 中小企业声明函 商务应答表 承诺书.docx 资格证明文件.docx 投标函 业绩证明文件及投标方案说明.docx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符合招标文件规定的其他实质性要求</w:t>
            </w:r>
          </w:p>
        </w:tc>
        <w:tc>
          <w:tcPr>
            <w:tcW w:type="dxa" w:w="3322"/>
          </w:tcPr>
          <w:p>
            <w:pPr>
              <w:pStyle w:val="null3"/>
            </w:pPr>
            <w:r>
              <w:rPr>
                <w:rFonts w:ascii="仿宋_GB2312" w:hAnsi="仿宋_GB2312" w:cs="仿宋_GB2312" w:eastAsia="仿宋_GB2312"/>
              </w:rPr>
              <w:t>符合招标文件规定的其他实质性要求；</w:t>
            </w:r>
          </w:p>
        </w:tc>
        <w:tc>
          <w:tcPr>
            <w:tcW w:type="dxa" w:w="1661"/>
          </w:tcPr>
          <w:p>
            <w:pPr>
              <w:pStyle w:val="null3"/>
            </w:pPr>
            <w:r>
              <w:rPr>
                <w:rFonts w:ascii="仿宋_GB2312" w:hAnsi="仿宋_GB2312" w:cs="仿宋_GB2312" w:eastAsia="仿宋_GB2312"/>
              </w:rPr>
              <w:t>开标一览表 报价一览表.docx 服务内容及服务邀请应答表 中小企业声明函 商务应答表 承诺书.docx 资格证明文件.docx 投标函 业绩证明文件及投标方案说明.docx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符合《中华人民共和国政府采购法》有关规定和招标纪律</w:t>
            </w:r>
          </w:p>
        </w:tc>
        <w:tc>
          <w:tcPr>
            <w:tcW w:type="dxa" w:w="3322"/>
          </w:tcPr>
          <w:p>
            <w:pPr>
              <w:pStyle w:val="null3"/>
            </w:pPr>
            <w:r>
              <w:rPr>
                <w:rFonts w:ascii="仿宋_GB2312" w:hAnsi="仿宋_GB2312" w:cs="仿宋_GB2312" w:eastAsia="仿宋_GB2312"/>
              </w:rPr>
              <w:t>符合《中华人民共和国政府采购法》有关规定和招标纪律。</w:t>
            </w:r>
          </w:p>
        </w:tc>
        <w:tc>
          <w:tcPr>
            <w:tcW w:type="dxa" w:w="1661"/>
          </w:tcPr>
          <w:p>
            <w:pPr>
              <w:pStyle w:val="null3"/>
            </w:pPr>
            <w:r>
              <w:rPr>
                <w:rFonts w:ascii="仿宋_GB2312" w:hAnsi="仿宋_GB2312" w:cs="仿宋_GB2312" w:eastAsia="仿宋_GB2312"/>
              </w:rPr>
              <w:t>开标一览表 报价一览表.docx 服务内容及服务邀请应答表 中小企业声明函 商务应答表 承诺书.docx 资格证明文件.docx 投标函 业绩证明文件及投标方案说明.docx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提供2022年以来类似项目业绩合同（以合同签订时间为准），每份业绩计2.5分，满分10分。 （注：以上证明文件在投标文件中附业绩合同复印件或扫描件并加盖公司公章。）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项目理解与风险识别</w:t>
            </w:r>
          </w:p>
        </w:tc>
        <w:tc>
          <w:tcPr>
            <w:tcW w:type="dxa" w:w="2492"/>
          </w:tcPr>
          <w:p>
            <w:pPr>
              <w:pStyle w:val="null3"/>
            </w:pPr>
            <w:r>
              <w:rPr>
                <w:rFonts w:ascii="仿宋_GB2312" w:hAnsi="仿宋_GB2312" w:cs="仿宋_GB2312" w:eastAsia="仿宋_GB2312"/>
              </w:rPr>
              <w:t>①准确分析项目的安全评估对象、风险特点、法规依据； ②风险识别的全面性:准确识别本项目中涉及的内容对周边既有建（构）筑物、道路、地下管线、水系、植被及人文环境的潜在风险； 对应评分要点，编制内容充分得（7-10]分；基本可行得（4-7]分；偏离要点或缺漏得（0-4]分。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安全评估方案编制</w:t>
            </w:r>
          </w:p>
        </w:tc>
        <w:tc>
          <w:tcPr>
            <w:tcW w:type="dxa" w:w="2492"/>
          </w:tcPr>
          <w:p>
            <w:pPr>
              <w:pStyle w:val="null3"/>
            </w:pPr>
            <w:r>
              <w:rPr>
                <w:rFonts w:ascii="仿宋_GB2312" w:hAnsi="仿宋_GB2312" w:cs="仿宋_GB2312" w:eastAsia="仿宋_GB2312"/>
              </w:rPr>
              <w:t>①评估依据:引用的国家、行业标准规范完整、有效、针对性强； ②评估方法:采用定性与定量结合的方法，科学合理，符合项目特点； ③报告框架:报告内容完整，包含现状分析、风险评估、安全对策措施、结论建议等模块，逻辑清晰； 对应评分要点，编制内容充分得（7-12]分；基本可行得（4-7]分；偏离要点或缺漏得（0-4]分。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1.具备高级及以上职称的得2分； 2.负责过类似项目安全评估工作的，每有一项得1分，本项最多得4分 （2025年6月至今任意一个月社保缴纳记录、业绩合同复印件或扫描件加盖单位公章）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拟派的项目组人员(项目负责人除外)，每提供1名高级工程师证或注册安全工程师证书得2分，最高得6分；（须提供职称证书或注册安全工程师证书复印件或扫描件并加盖公章）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工作计划安排</w:t>
            </w:r>
          </w:p>
        </w:tc>
        <w:tc>
          <w:tcPr>
            <w:tcW w:type="dxa" w:w="2492"/>
          </w:tcPr>
          <w:p>
            <w:pPr>
              <w:pStyle w:val="null3"/>
            </w:pPr>
            <w:r>
              <w:rPr>
                <w:rFonts w:ascii="仿宋_GB2312" w:hAnsi="仿宋_GB2312" w:cs="仿宋_GB2312" w:eastAsia="仿宋_GB2312"/>
              </w:rPr>
              <w:t>结合项目整体工期，制定详细的评估工作进度表，关键节点清晰，满足本项目服务期限要求。 对应评分要点，编制内容充分得（4-8]分；基本可行得（2-4]分；偏离要点或缺漏得（0-2]分。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项目组织实施及保障措施</w:t>
            </w:r>
          </w:p>
        </w:tc>
        <w:tc>
          <w:tcPr>
            <w:tcW w:type="dxa" w:w="2492"/>
          </w:tcPr>
          <w:p>
            <w:pPr>
              <w:pStyle w:val="null3"/>
            </w:pPr>
            <w:r>
              <w:rPr>
                <w:rFonts w:ascii="仿宋_GB2312" w:hAnsi="仿宋_GB2312" w:cs="仿宋_GB2312" w:eastAsia="仿宋_GB2312"/>
              </w:rPr>
              <w:t>组织形式应包括领导组、协调组、技术组,保障措施可切实有效保证项目工作进展。 对应评分要点，编制内容充分得（7-10]分；基本可行得（4-7]分；偏离要点或缺漏得（0-4]分。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质量控制措施能够保障项目最终的质量满足项目要求。 对应评分要点，编制内容充分得（7-10]分；基本可行得（4-7]分；偏离要点或缺漏得（0-4]分。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针对评估过程中可能出现的突发情况，制定应急处置预案，明确响应流程和责任分工； 对应评分要点，编制内容充分得（7-10]分；基本可行得（4-7]分；偏离要点或缺漏得（0-4]分。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服务承诺和合理化建议</w:t>
            </w:r>
          </w:p>
        </w:tc>
        <w:tc>
          <w:tcPr>
            <w:tcW w:type="dxa" w:w="2492"/>
          </w:tcPr>
          <w:p>
            <w:pPr>
              <w:pStyle w:val="null3"/>
            </w:pPr>
            <w:r>
              <w:rPr>
                <w:rFonts w:ascii="仿宋_GB2312" w:hAnsi="仿宋_GB2312" w:cs="仿宋_GB2312" w:eastAsia="仿宋_GB2312"/>
              </w:rPr>
              <w:t>具有明确的服务承诺和合理化建议，在编制安全评估报告至提交的过程中符合国家及采购人要求，并提供服务承诺和保证措施。 对应评分要点，编制内容充分得（4-8]分；基本可行得（2-4]分；偏离要点或缺漏得（0-2]分。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有效供应商最低报价作为基准价，各供应商的报价得分按下列公式计算：（基准价/投标报价）×10%×100分。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详见附件：业绩证明文件及投标方案说明.docx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