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版本号：THXZB2025-109220251225001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THXZB2025-1092</w:t>
      </w:r>
      <w:r>
        <w:br/>
      </w:r>
      <w:r>
        <w:br/>
      </w:r>
      <w:r>
        <w:br/>
      </w:r>
    </w:p>
    <w:p>
      <w:pPr>
        <w:pStyle w:val="null3"/>
        <w:jc w:val="center"/>
        <w:outlineLvl w:val="2"/>
      </w:pPr>
      <w:r>
        <w:rPr>
          <w:rFonts w:ascii="仿宋_GB2312" w:hAnsi="仿宋_GB2312" w:cs="仿宋_GB2312" w:eastAsia="仿宋_GB2312"/>
          <w:sz w:val="28"/>
          <w:b/>
        </w:rPr>
        <w:t>西安高新区第六初级中学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西安高新区第六初级中学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西安高新区第六初级中学后勤服务外包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1、具有独立承担民事责任能力：具有独立承担民事责任能力的法人、其他组织或自然人，提供合法有效的统一社会信用代码的营业执照（事业单位提供事业单位法人证书，自然人应提供身份证）；</w:t>
      </w:r>
    </w:p>
    <w:p>
      <w:pPr>
        <w:pStyle w:val="null3"/>
      </w:pPr>
      <w:r>
        <w:rPr>
          <w:rFonts w:ascii="仿宋_GB2312" w:hAnsi="仿宋_GB2312" w:cs="仿宋_GB2312" w:eastAsia="仿宋_GB2312"/>
        </w:rPr>
        <w:t>2、法定代表人身份证明或法定代表人授权书：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p>
      <w:pPr>
        <w:pStyle w:val="null3"/>
      </w:pPr>
      <w:r>
        <w:rPr>
          <w:rFonts w:ascii="仿宋_GB2312" w:hAnsi="仿宋_GB2312" w:cs="仿宋_GB2312" w:eastAsia="仿宋_GB2312"/>
        </w:rPr>
        <w:t>3、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4、信用记录：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西安高新区第六初级中学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陕西省西安市长安区西部大道190号（毕原二路与上林苑九路十字向东50米）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029-85953991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下浮百分之二十计取，以中标金额作为基数，差额累进法进行计算，不足陆仟按陆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西安高新区第六初级中学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西安高新区第六初级中学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西安高新区第六初级中学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西安高新区第六初级中学后勤服务外包项目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服务范围：</w:t>
            </w:r>
            <w:r>
              <w:rPr>
                <w:rFonts w:ascii="仿宋_GB2312" w:hAnsi="仿宋_GB2312" w:cs="仿宋_GB2312" w:eastAsia="仿宋_GB2312"/>
                <w:sz w:val="24"/>
              </w:rPr>
              <w:t>保洁服务、安防服务、设备维护服务等。</w:t>
            </w:r>
          </w:p>
          <w:p>
            <w:pPr>
              <w:pStyle w:val="null3"/>
              <w:spacing w:after="195"/>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服务内容及要求：</w:t>
            </w:r>
          </w:p>
          <w:p>
            <w:pPr>
              <w:pStyle w:val="null3"/>
              <w:spacing w:after="195"/>
              <w:ind w:firstLine="480"/>
              <w:jc w:val="both"/>
            </w:pPr>
            <w:r>
              <w:rPr>
                <w:rFonts w:ascii="仿宋_GB2312" w:hAnsi="仿宋_GB2312" w:cs="仿宋_GB2312" w:eastAsia="仿宋_GB2312"/>
                <w:sz w:val="24"/>
              </w:rPr>
              <w:t>（一）保洁服务</w:t>
            </w:r>
          </w:p>
          <w:p>
            <w:pPr>
              <w:pStyle w:val="null3"/>
              <w:spacing w:after="195"/>
              <w:ind w:firstLine="480"/>
              <w:jc w:val="both"/>
            </w:pPr>
            <w:r>
              <w:rPr>
                <w:rFonts w:ascii="仿宋_GB2312" w:hAnsi="仿宋_GB2312" w:cs="仿宋_GB2312" w:eastAsia="仿宋_GB2312"/>
                <w:sz w:val="24"/>
              </w:rPr>
              <w:t>1.服务区域：</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1）室外：校园环境、操场、公共区域座椅及各种辅助设施的清洁及日常保洁。</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2）室内：学校教学楼、办公楼、体育馆、报告厅、公共区域、卫生间的保洁工作。</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3）其他：办公区垃圾、卫生间垃圾转运至校园垃圾台，做到垃圾“四分类”，对校园垃圾站垃圾必须保证每天装车、清运。学校重大活动及时响应，做好卫生工作。</w:t>
            </w:r>
          </w:p>
          <w:p>
            <w:pPr>
              <w:pStyle w:val="null3"/>
              <w:spacing w:after="195"/>
              <w:ind w:firstLine="480"/>
              <w:jc w:val="both"/>
            </w:pPr>
            <w:r>
              <w:rPr>
                <w:rFonts w:ascii="仿宋_GB2312" w:hAnsi="仿宋_GB2312" w:cs="仿宋_GB2312" w:eastAsia="仿宋_GB2312"/>
                <w:sz w:val="24"/>
              </w:rPr>
              <w:t>2.服务要求：</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1）执行“5段2遍6清洁”标准化流程（即分5个时段、每日2次全面保洁、重点完成6类清洁任务）。</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2）每月至少进行1次以上全面消杀（含蚊蝇防治），特定时期按校方要求增加频次。</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3）室内服务区域每天清洁地面、擦拭楼梯扶手、栏杆、瓷砖墙面、垃圾桶，每周擦拭门窗，保持地面清洁无垃圾污渍，墙壁无浮灰、蜘蛛网、污迹。</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4）卫生间每天清扫冲洗两次，上午、下午上课前各一次，其余时间巡回清扫，保持厕所卫生清洁无异味，便池水池地面管道无积水、无堵塞，无垃圾存放现象。</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5）服务期间需在保洁区域巡视，及时清扫捡拾杂物，确保路面场地绿化区无垃圾、杂物，无卫生死角。室外展板、宣传栏等设施定期擦拭，达到无明显灰尘。</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6）每周负责操场、体育馆、报告厅等卫生整理一次。</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7）遇有重要活动承担礼宾工作，精神饱满，举止得体。</w:t>
            </w:r>
          </w:p>
          <w:p>
            <w:pPr>
              <w:pStyle w:val="null3"/>
              <w:spacing w:after="195"/>
              <w:ind w:firstLine="480"/>
              <w:jc w:val="both"/>
            </w:pPr>
            <w:r>
              <w:rPr>
                <w:rFonts w:ascii="仿宋_GB2312" w:hAnsi="仿宋_GB2312" w:cs="仿宋_GB2312" w:eastAsia="仿宋_GB2312"/>
                <w:sz w:val="24"/>
              </w:rPr>
              <w:t>3.人员配置：</w:t>
            </w:r>
          </w:p>
          <w:p>
            <w:pPr>
              <w:pStyle w:val="null3"/>
              <w:spacing w:after="195"/>
              <w:ind w:firstLine="480"/>
              <w:jc w:val="both"/>
            </w:pPr>
            <w:r>
              <w:rPr>
                <w:rFonts w:ascii="仿宋_GB2312" w:hAnsi="仿宋_GB2312" w:cs="仿宋_GB2312" w:eastAsia="仿宋_GB2312"/>
                <w:sz w:val="24"/>
              </w:rPr>
              <w:t>供应商中标后须按采购人要求配备不少于</w:t>
            </w:r>
            <w:r>
              <w:rPr>
                <w:rFonts w:ascii="仿宋_GB2312" w:hAnsi="仿宋_GB2312" w:cs="仿宋_GB2312" w:eastAsia="仿宋_GB2312"/>
                <w:sz w:val="24"/>
              </w:rPr>
              <w:t>7名专职保洁人员，身体健康</w:t>
            </w:r>
            <w:r>
              <w:rPr>
                <w:rFonts w:ascii="仿宋_GB2312" w:hAnsi="仿宋_GB2312" w:cs="仿宋_GB2312" w:eastAsia="仿宋_GB2312"/>
                <w:sz w:val="24"/>
              </w:rPr>
              <w:t>，统一着装，言行规范，身体健康，无不良嗜好，须提供统一制服及岗位使用工具。</w:t>
            </w:r>
          </w:p>
          <w:p>
            <w:pPr>
              <w:pStyle w:val="null3"/>
              <w:spacing w:after="195"/>
              <w:ind w:firstLine="480"/>
              <w:jc w:val="both"/>
            </w:pPr>
            <w:r>
              <w:rPr>
                <w:rFonts w:ascii="仿宋_GB2312" w:hAnsi="仿宋_GB2312" w:cs="仿宋_GB2312" w:eastAsia="仿宋_GB2312"/>
                <w:sz w:val="24"/>
              </w:rPr>
              <w:t>（二）安防服务</w:t>
            </w:r>
          </w:p>
          <w:p>
            <w:pPr>
              <w:pStyle w:val="null3"/>
              <w:spacing w:after="195"/>
              <w:ind w:firstLine="480"/>
              <w:jc w:val="both"/>
            </w:pPr>
            <w:r>
              <w:rPr>
                <w:rFonts w:ascii="仿宋_GB2312" w:hAnsi="仿宋_GB2312" w:cs="仿宋_GB2312" w:eastAsia="仿宋_GB2312"/>
                <w:sz w:val="24"/>
              </w:rPr>
              <w:t>1.服务区域：校门岗、校园巡逻、监控室值守及突发事件先期处置，配合学校做好其它相关工作。</w:t>
            </w:r>
          </w:p>
          <w:p>
            <w:pPr>
              <w:pStyle w:val="null3"/>
              <w:spacing w:after="195"/>
              <w:ind w:firstLine="480"/>
              <w:jc w:val="both"/>
            </w:pPr>
            <w:r>
              <w:rPr>
                <w:rFonts w:ascii="仿宋_GB2312" w:hAnsi="仿宋_GB2312" w:cs="仿宋_GB2312" w:eastAsia="仿宋_GB2312"/>
                <w:sz w:val="24"/>
              </w:rPr>
              <w:t>2.服务要求：</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1）保证校园内安全和正常工作、生活秩序，做好协防保卫，做好车辆、车库、道路及安全秩序管理等。</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2）实行全天候24小时值班制度，严格执行外来人员/车辆登记、查验制度。</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3）协防设置门岗和巡逻岗，对外来人员，建立询问登记制度，礼貌用语、文明用语、热情服务，按照采购人要求进行出入管理服务，每日安全巡逻不少于6次，并做好电子及纸质记录。</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4）保证区域内安全秩序良好，道路通畅，引导指挥车辆停放有序，上下学高峰时段，协助维持校门口秩序，构成“护学岗”一部分。</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5）根据采购人要求，服从总务处工作人员调配，做好各项活动的秩序维护工作。</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6）制定安全管理服务预案，完善责任制，遇突发事件能应急处理，积极主动协调处理校内治安等方面的突发事件，迅速排除各种险情，及时制止违法犯罪行为，及时向总务处报告各类案件、事故及其他重大问题和重要情况，做好110接警工作。</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7）能及时发现和处理各种事故隐患，确保不发生安全方面的问题，能迅速有效处置突发事件，熟练操作一键报警系统、视频系统及消防器材，具备应急处置能力。</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8）学校遇有重大活动、会议、招聘活动等需要增配、抽调人员协助时，应无偿按照校方要求执行，工作时应着统一服装及标志，精神饱满，举止得体。</w:t>
            </w:r>
          </w:p>
          <w:p>
            <w:pPr>
              <w:pStyle w:val="null3"/>
              <w:spacing w:after="195"/>
              <w:ind w:firstLine="480"/>
              <w:jc w:val="both"/>
            </w:pPr>
            <w:r>
              <w:rPr>
                <w:rFonts w:ascii="仿宋_GB2312" w:hAnsi="仿宋_GB2312" w:cs="仿宋_GB2312" w:eastAsia="仿宋_GB2312"/>
                <w:sz w:val="24"/>
              </w:rPr>
              <w:t>3.人员配置：</w:t>
            </w:r>
          </w:p>
          <w:p>
            <w:pPr>
              <w:pStyle w:val="null3"/>
              <w:spacing w:after="195"/>
              <w:ind w:firstLine="480"/>
              <w:jc w:val="both"/>
            </w:pPr>
            <w:r>
              <w:rPr>
                <w:rFonts w:ascii="仿宋_GB2312" w:hAnsi="仿宋_GB2312" w:cs="仿宋_GB2312" w:eastAsia="仿宋_GB2312"/>
                <w:sz w:val="24"/>
              </w:rPr>
              <w:t>供应商中标后须按采购人要求</w:t>
            </w:r>
            <w:r>
              <w:rPr>
                <w:rFonts w:ascii="仿宋_GB2312" w:hAnsi="仿宋_GB2312" w:cs="仿宋_GB2312" w:eastAsia="仿宋_GB2312"/>
                <w:sz w:val="24"/>
              </w:rPr>
              <w:t>配备不少于</w:t>
            </w:r>
            <w:r>
              <w:rPr>
                <w:rFonts w:ascii="仿宋_GB2312" w:hAnsi="仿宋_GB2312" w:cs="仿宋_GB2312" w:eastAsia="仿宋_GB2312"/>
                <w:sz w:val="24"/>
              </w:rPr>
              <w:t>6名</w:t>
            </w:r>
            <w:r>
              <w:rPr>
                <w:rFonts w:ascii="仿宋_GB2312" w:hAnsi="仿宋_GB2312" w:cs="仿宋_GB2312" w:eastAsia="仿宋_GB2312"/>
                <w:sz w:val="24"/>
              </w:rPr>
              <w:t>专职</w:t>
            </w:r>
            <w:r>
              <w:rPr>
                <w:rFonts w:ascii="仿宋_GB2312" w:hAnsi="仿宋_GB2312" w:cs="仿宋_GB2312" w:eastAsia="仿宋_GB2312"/>
                <w:sz w:val="24"/>
              </w:rPr>
              <w:t>保安人员</w:t>
            </w:r>
            <w:r>
              <w:rPr>
                <w:rFonts w:ascii="仿宋_GB2312" w:hAnsi="仿宋_GB2312" w:cs="仿宋_GB2312" w:eastAsia="仿宋_GB2312"/>
                <w:sz w:val="24"/>
              </w:rPr>
              <w:t>。</w:t>
            </w:r>
            <w:r>
              <w:rPr>
                <w:rFonts w:ascii="仿宋_GB2312" w:hAnsi="仿宋_GB2312" w:cs="仿宋_GB2312" w:eastAsia="仿宋_GB2312"/>
                <w:sz w:val="24"/>
              </w:rPr>
              <w:t>上岗前须</w:t>
            </w:r>
            <w:r>
              <w:rPr>
                <w:rFonts w:ascii="仿宋_GB2312" w:hAnsi="仿宋_GB2312" w:cs="仿宋_GB2312" w:eastAsia="仿宋_GB2312"/>
                <w:sz w:val="24"/>
              </w:rPr>
              <w:t>持有保安员证，统一着装，言行规范，身体健康，无不良嗜好，须提供统一制服及岗位使用设备，定期进行军事化队列及应急演练。</w:t>
            </w:r>
          </w:p>
          <w:p>
            <w:pPr>
              <w:pStyle w:val="null3"/>
              <w:spacing w:after="195"/>
              <w:ind w:firstLine="480"/>
              <w:jc w:val="both"/>
            </w:pPr>
            <w:r>
              <w:rPr>
                <w:rFonts w:ascii="仿宋_GB2312" w:hAnsi="仿宋_GB2312" w:cs="仿宋_GB2312" w:eastAsia="仿宋_GB2312"/>
                <w:sz w:val="24"/>
              </w:rPr>
              <w:t>（三）设备维修维护：</w:t>
            </w:r>
          </w:p>
          <w:p>
            <w:pPr>
              <w:pStyle w:val="null3"/>
              <w:spacing w:after="195"/>
              <w:ind w:firstLine="480"/>
              <w:jc w:val="both"/>
            </w:pPr>
            <w:r>
              <w:rPr>
                <w:rFonts w:ascii="仿宋_GB2312" w:hAnsi="仿宋_GB2312" w:cs="仿宋_GB2312" w:eastAsia="仿宋_GB2312"/>
                <w:sz w:val="24"/>
              </w:rPr>
              <w:t>1.服务区域：校内基础设施、设备、公共设施的维修与维护。</w:t>
            </w:r>
          </w:p>
          <w:p>
            <w:pPr>
              <w:pStyle w:val="null3"/>
              <w:spacing w:after="195"/>
              <w:ind w:firstLine="480"/>
              <w:jc w:val="both"/>
            </w:pPr>
            <w:r>
              <w:rPr>
                <w:rFonts w:ascii="仿宋_GB2312" w:hAnsi="仿宋_GB2312" w:cs="仿宋_GB2312" w:eastAsia="仿宋_GB2312"/>
                <w:sz w:val="24"/>
              </w:rPr>
              <w:t>2、服务要求：</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1）按合同约定，制订物业管理区域共用设施设备年度、月度养护及维修计划，保养和维修记录齐全。</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2）有完善的设备安全运行、维修养护、设备巡查和设备用房卫生清洁制度并在工作场所明示。设施设备标识齐全、规范，责任人明确。有设备台帐、运行记录和巡查记录。</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3）设备运行严格执行操作规程，无重大管理责任事故，有突发事件应急处置预案和处理记录。</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4）设备用房应保持整洁、通风，无跑、冒、滴、漏和鼠害现象。</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5）定期检查消防设施设备，可随时启用；消防通道畅通。</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6）每日至少</w:t>
            </w:r>
            <w:r>
              <w:rPr>
                <w:rFonts w:ascii="仿宋_GB2312" w:hAnsi="仿宋_GB2312" w:cs="仿宋_GB2312" w:eastAsia="仿宋_GB2312"/>
                <w:sz w:val="24"/>
              </w:rPr>
              <w:t>2</w:t>
            </w:r>
            <w:r>
              <w:rPr>
                <w:rFonts w:ascii="仿宋_GB2312" w:hAnsi="仿宋_GB2312" w:cs="仿宋_GB2312" w:eastAsia="仿宋_GB2312"/>
                <w:sz w:val="24"/>
              </w:rPr>
              <w:t>次对一般共用设施设备进行巡检，巡检记录规范齐全。特种设备的巡检按相关标准执行。</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7）共用设施设备需要维修或者更新改造的，及时编制维修、更新改造计划，向学校提出报告与建议，根据学校的决定和国家相关规定，组织维修或者更新改造。</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8）实行</w:t>
            </w:r>
            <w:r>
              <w:rPr>
                <w:rFonts w:ascii="仿宋_GB2312" w:hAnsi="仿宋_GB2312" w:cs="仿宋_GB2312" w:eastAsia="仿宋_GB2312"/>
                <w:sz w:val="24"/>
              </w:rPr>
              <w:t>24</w:t>
            </w:r>
            <w:r>
              <w:rPr>
                <w:rFonts w:ascii="仿宋_GB2312" w:hAnsi="仿宋_GB2312" w:cs="仿宋_GB2312" w:eastAsia="仿宋_GB2312"/>
                <w:sz w:val="24"/>
              </w:rPr>
              <w:t>小时值班报修制度。急修半小时内到达现场，一般维修</w:t>
            </w:r>
            <w:r>
              <w:rPr>
                <w:rFonts w:ascii="仿宋_GB2312" w:hAnsi="仿宋_GB2312" w:cs="仿宋_GB2312" w:eastAsia="仿宋_GB2312"/>
                <w:sz w:val="24"/>
              </w:rPr>
              <w:t>12</w:t>
            </w:r>
            <w:r>
              <w:rPr>
                <w:rFonts w:ascii="仿宋_GB2312" w:hAnsi="仿宋_GB2312" w:cs="仿宋_GB2312" w:eastAsia="仿宋_GB2312"/>
                <w:sz w:val="24"/>
              </w:rPr>
              <w:t>小时之内或在双方约定时间到达现场。</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9）共用照明设施完好率</w:t>
            </w:r>
            <w:r>
              <w:rPr>
                <w:rFonts w:ascii="仿宋_GB2312" w:hAnsi="仿宋_GB2312" w:cs="仿宋_GB2312" w:eastAsia="仿宋_GB2312"/>
                <w:sz w:val="24"/>
              </w:rPr>
              <w:t>95%</w:t>
            </w:r>
            <w:r>
              <w:rPr>
                <w:rFonts w:ascii="仿宋_GB2312" w:hAnsi="仿宋_GB2312" w:cs="仿宋_GB2312" w:eastAsia="仿宋_GB2312"/>
                <w:sz w:val="24"/>
              </w:rPr>
              <w:t>以上，并按规定时间开关。</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10）物业管理区域道路平整，主要道路及地面车位、地下车库交通标识齐全、规范。</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11）载人电梯</w:t>
            </w:r>
            <w:r>
              <w:rPr>
                <w:rFonts w:ascii="仿宋_GB2312" w:hAnsi="仿宋_GB2312" w:cs="仿宋_GB2312" w:eastAsia="仿宋_GB2312"/>
                <w:sz w:val="24"/>
              </w:rPr>
              <w:t>24</w:t>
            </w:r>
            <w:r>
              <w:rPr>
                <w:rFonts w:ascii="仿宋_GB2312" w:hAnsi="仿宋_GB2312" w:cs="仿宋_GB2312" w:eastAsia="仿宋_GB2312"/>
                <w:sz w:val="24"/>
              </w:rPr>
              <w:t>小时运行。</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12）物业管理区域设有水景、水系的，应及时维护、定期换水、定时开放。</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13）对可能危及人身安全隐患的设施设备、场所，设有明显警示标识和防范措施。</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14）对雨、污水管道每月检查一次，每年对公共雨、污水管道全面疏通一次，确保排水通畅。</w:t>
            </w:r>
          </w:p>
          <w:p>
            <w:pPr>
              <w:pStyle w:val="null3"/>
              <w:spacing w:after="195"/>
              <w:ind w:firstLine="480"/>
              <w:jc w:val="both"/>
            </w:pPr>
            <w:r>
              <w:rPr>
                <w:rFonts w:ascii="仿宋_GB2312" w:hAnsi="仿宋_GB2312" w:cs="仿宋_GB2312" w:eastAsia="仿宋_GB2312"/>
                <w:sz w:val="24"/>
              </w:rPr>
              <w:t>（</w:t>
            </w:r>
            <w:r>
              <w:rPr>
                <w:rFonts w:ascii="仿宋_GB2312" w:hAnsi="仿宋_GB2312" w:cs="仿宋_GB2312" w:eastAsia="仿宋_GB2312"/>
                <w:sz w:val="24"/>
              </w:rPr>
              <w:t>15）对化粪池每月检查一次，每年清掏</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次；该费用另行约定。</w:t>
            </w:r>
          </w:p>
          <w:p>
            <w:pPr>
              <w:pStyle w:val="null3"/>
              <w:spacing w:after="195"/>
              <w:ind w:firstLine="480"/>
              <w:jc w:val="both"/>
            </w:pPr>
            <w:r>
              <w:rPr>
                <w:rFonts w:ascii="仿宋_GB2312" w:hAnsi="仿宋_GB2312" w:cs="仿宋_GB2312" w:eastAsia="仿宋_GB2312"/>
                <w:sz w:val="24"/>
              </w:rPr>
              <w:t>3、人员配置：</w:t>
            </w:r>
          </w:p>
          <w:p>
            <w:pPr>
              <w:pStyle w:val="null3"/>
            </w:pPr>
            <w:r>
              <w:rPr>
                <w:rFonts w:ascii="仿宋_GB2312" w:hAnsi="仿宋_GB2312" w:cs="仿宋_GB2312" w:eastAsia="仿宋_GB2312"/>
                <w:sz w:val="24"/>
              </w:rPr>
              <w:t>供应商中标后须按采购人要求</w:t>
            </w:r>
            <w:r>
              <w:rPr>
                <w:rFonts w:ascii="仿宋_GB2312" w:hAnsi="仿宋_GB2312" w:cs="仿宋_GB2312" w:eastAsia="仿宋_GB2312"/>
                <w:sz w:val="24"/>
              </w:rPr>
              <w:t>为</w:t>
            </w:r>
            <w:r>
              <w:rPr>
                <w:rFonts w:ascii="仿宋_GB2312" w:hAnsi="仿宋_GB2312" w:cs="仿宋_GB2312" w:eastAsia="仿宋_GB2312"/>
                <w:sz w:val="24"/>
              </w:rPr>
              <w:t>本项</w:t>
            </w:r>
            <w:r>
              <w:rPr>
                <w:rFonts w:ascii="仿宋_GB2312" w:hAnsi="仿宋_GB2312" w:cs="仿宋_GB2312" w:eastAsia="仿宋_GB2312"/>
                <w:sz w:val="24"/>
              </w:rPr>
              <w:t>目配备不少于</w:t>
            </w:r>
            <w:r>
              <w:rPr>
                <w:rFonts w:ascii="仿宋_GB2312" w:hAnsi="仿宋_GB2312" w:cs="仿宋_GB2312" w:eastAsia="仿宋_GB2312"/>
                <w:sz w:val="24"/>
              </w:rPr>
              <w:t>1名维修员，要求身体健康，需着统一制服，上岗后需持相关证件上岗。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服务费按月结算，服务期每满一个月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1.本项目所属行业为：物业管理。从业人员1000人以下或营业收入5000万元以下的为中小微型企业。其中，从业人员300人及以上，且营业收入1000万元及以上的为中型企业。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具有独立承担民事责任能力的法人、其他组织或自然人，提供合法有效的统一社会信用代码的营业执照（事业单位提供事业单位法人证书，自然人应提供身份证）；</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提交法定代表人身份证明，法定代表人授权代理人参加磋商的，须出具法定代表人授权书及被授权委托代理人本单位的证明（提供磋商截止时间前六个月内任意一个月在本单位的社保缴纳证明）；</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不要求供应商提供，以采购代理机构在开标现场查询为准）。</w:t>
            </w:r>
          </w:p>
        </w:tc>
        <w:tc>
          <w:tcPr>
            <w:tcW w:type="dxa" w:w="1661"/>
          </w:tcPr>
          <w:p>
            <w:pPr>
              <w:pStyle w:val="null3"/>
            </w:pPr>
            <w:r>
              <w:rPr>
                <w:rFonts w:ascii="仿宋_GB2312" w:hAnsi="仿宋_GB2312" w:cs="仿宋_GB2312" w:eastAsia="仿宋_GB2312"/>
              </w:rPr>
              <w:t>供应商特殊资格证明文件.docx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供应商特殊资格证明文件.docx 服务响应偏差表.docx 供应商承诺书.docx 商务响应表.docx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供应商针对本项目提供保洁服务方案，包含①服务内容及标准、②工作流程及工作计划、③人员配备管理制度等。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②工作流程及工作计划：每完全满足一个评审标准得1分，满分3分； ③人员配备管理制度：每完全满足一个评审标准得1分，满分3分。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磋商响应方案--保洁服务方案.docx</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一、评审内容： 供应商针对本项目提供安防服务方案，包含①服务内容及标准、②工作流程及计划、③人员配备及校园安全管理制度等。 二、评审标准： 1、完整性：方案须全面，对评审内容中的各项要求有详细描述及说明； 2、可实施性：切合本项目实际情况，实施步骤清晰、合理； 3、针对性：方案能够紧扣项目实际情况，内容科学合理。 三、赋分标准（满分9分）： ①服务内容及标准：每完全满足一个评审标准得1分，满分3分； ②工作流程及计划：每完全满足一个评审标准得1分，满分3分； ③人员配备及校园安全管理制度：每完全满足一个评审标准得1分，满分3分。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磋商响应方案--安防服务方案.docx</w:t>
            </w:r>
          </w:p>
        </w:tc>
      </w:tr>
      <w:tr>
        <w:tc>
          <w:tcPr>
            <w:tcW w:type="dxa" w:w="831"/>
            <w:vMerge/>
          </w:tcPr>
          <w:p/>
        </w:tc>
        <w:tc>
          <w:tcPr>
            <w:tcW w:type="dxa" w:w="1661"/>
          </w:tcPr>
          <w:p>
            <w:pPr>
              <w:pStyle w:val="null3"/>
            </w:pPr>
            <w:r>
              <w:rPr>
                <w:rFonts w:ascii="仿宋_GB2312" w:hAnsi="仿宋_GB2312" w:cs="仿宋_GB2312" w:eastAsia="仿宋_GB2312"/>
              </w:rPr>
              <w:t>综合维修服务方案</w:t>
            </w:r>
          </w:p>
        </w:tc>
        <w:tc>
          <w:tcPr>
            <w:tcW w:type="dxa" w:w="2492"/>
          </w:tcPr>
          <w:p>
            <w:pPr>
              <w:pStyle w:val="null3"/>
            </w:pPr>
            <w:r>
              <w:rPr>
                <w:rFonts w:ascii="仿宋_GB2312" w:hAnsi="仿宋_GB2312" w:cs="仿宋_GB2312" w:eastAsia="仿宋_GB2312"/>
              </w:rPr>
              <w:t>一、评审内容： 供应商针对本项目提供综合维修服务方案，包含①维修内容及标准、②维修进度及维修计划、③人员配置管理方案、④维修安全及应急措施等。 二、评审标准： 1、完整性：方案须全面，对评审内容中的各项要求有详细描述及说明； 2、可实施性及针对性：方案能够紧扣项目实际情况，实施步骤清晰、合理，内容科学合理。 三、赋分标准（满分8分）： ①维修内容及标准：每完全满足一个评审标准得1分，满分2分； ②维修进度及维修计划：每完全满足一个评审标准得1分，满分2分； ③人员配置管理方案：每完全满足一个评审标准得1分，满分2分； ④维修安全及应急措施：每完全满足一个评审标准得1分，满分2分。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磋商响应方案--综合维修服务方案.docx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供应商针对本项目提供管理制度，包含①内控和人员管理制度、②考核制度、③奖惩激励制度等。 二、评审标准： 1、完整性：方案须全面，对评审内容中的各项要求有详细描述及说明； 2、可实施性：切合本项目实际情况，实施步骤清晰、合理； 3、针对性：方案能够紧扣项目实际情况，内容科学合理。 三、赋分标准（满分9分）： ①内控和人员管理制度：每完全满足一个评审标准得1分，满分3分； ②考核制度：每完全满足一个评审标准得1分，满分3分； ③奖惩激励制度：每完全满足一个评审标准得1分，满分3分。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磋商响应方案--管理制度.docx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供应商针对本项目提供人员配备方案，包含①项目组织架构、②岗位职责、③岗位人员配置清单、④工装服饰管理及形象管理等。 二、评审标准： 1、完整性：方案须全面，对评审内容中的各项要求有详细描述及说明； 2、可实施性及针对性：方案能够紧扣项目实际情况，实施步骤清晰、合理，内容科学合理。 三、赋分标准（满分8分）： ①项目组织架构：每完全满足一个评审标准得1分，满分2分； ②岗位职责：每完全满足一个评审标准得1分，满分2分； ③岗位人员配置清单：每完全满足一个评审标准得1分，满分2分； ④工装服饰管理及形象管理：每完全满足一个评审标准得1分，满分2分。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供应商针对本项目提供服务质量保证措施，包含①服务质量保证措施、②服务协调措施、③质量保证承诺等。 二、评审标准： 1、完整性：方案须全面，对评审内容中的各项要求有详细描述及说明； 2、可实施性：切合本项目实际情况，实施步骤清晰、合理； 3、针对性：方案能够紧扣项目实际情况，内容科学合理。 三、赋分标准（满分9分）： ①服务质量保证措施：每完全满足一个评审标准得1分，满分3分； ②服务协调措施：每完全满足一个评审标准得1分，满分3分； ③质量保证承诺：每完全满足一个评审标准得1分，满分3分。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磋商响应方案--服务质量保证措施.docx</w:t>
            </w:r>
          </w:p>
        </w:tc>
      </w:tr>
      <w:tr>
        <w:tc>
          <w:tcPr>
            <w:tcW w:type="dxa" w:w="831"/>
            <w:vMerge/>
          </w:tcPr>
          <w:p/>
        </w:tc>
        <w:tc>
          <w:tcPr>
            <w:tcW w:type="dxa" w:w="1661"/>
          </w:tcPr>
          <w:p>
            <w:pPr>
              <w:pStyle w:val="null3"/>
            </w:pPr>
            <w:r>
              <w:rPr>
                <w:rFonts w:ascii="仿宋_GB2312" w:hAnsi="仿宋_GB2312" w:cs="仿宋_GB2312" w:eastAsia="仿宋_GB2312"/>
              </w:rPr>
              <w:t>安全预防管理</w:t>
            </w:r>
          </w:p>
        </w:tc>
        <w:tc>
          <w:tcPr>
            <w:tcW w:type="dxa" w:w="2492"/>
          </w:tcPr>
          <w:p>
            <w:pPr>
              <w:pStyle w:val="null3"/>
            </w:pPr>
            <w:r>
              <w:rPr>
                <w:rFonts w:ascii="仿宋_GB2312" w:hAnsi="仿宋_GB2312" w:cs="仿宋_GB2312" w:eastAsia="仿宋_GB2312"/>
              </w:rPr>
              <w:t>一、评审内容： 供应商针对本项目提供安全预防管理方案，包含①传染性疾病预防、②重大卫生防控方案、③重大事故预防方案等。 二、评审标准： 1、完整性：方案须全面，对评审内容中的各项要求有详细描述及说明； 2、可实施性及针对性：方案能够紧扣项目实际情况，实施步骤清晰、合理，内容科学合理。 三、赋分标准（满分6分）： ①传染性疾病预防：每完全满足一个评审标准得1分，满分2分； ②重大卫生防控方案：每完全满足一个评审标准得1分，满分2分； ③重大事故预防方案：每完全满足一个评审标准得1分，满分2分。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磋商响应方案--安全预防管理.docx</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一、评审内容： 供应商针对本项目提供设施设备管理方案，包含①作业工具的说明、②物料的存放、发放、更换制度等。 二、评审标准： 1、完整性：方案须全面，对评审内容中的各项要求有详细描述及说明； 2、可实施性及针对性：方案能够紧扣项目实际情况，实施步骤清晰、合理，内容科学合理。 三、赋分标准（满分4分）： ①作业工具的说明：每完全满足一个评审标准得1分，满分2分； ②物料的存放、发放、更换制度：每完全满足一个评审标准得1分，满分2分。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磋商响应方案--设施设备管理.docx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供应商针对本项目提供培训方案，包含①培训内容及方式、②培训计划及考核方式等。 二、评审标准： 1、完整性：方案须全面，对评审内容中的各项要求有详细描述及说明； 2、可实施性及针对性：方案能够紧扣项目实际情况，实施步骤清晰、合理，内容科学合理。 三、赋分标准（满分4分）： ①培训内容及方式：每完全满足一个评审标准得1分，满分2分； ②培训计划及考核方式：每完全满足一个评审标准得1分，满分2分。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预案，包含①恶劣天气、停水停电、火灾、水浸、防火等应急预案、②重大活动、紧急事件及临时性任务应急预案、③违法事件（防盗、打架斗殴、寻衅滋事等）应急预案、④重大人事变动应急预案等。 二、评审标准： 1、完整性：方案须全面，对评审内容中的各项要求有详细描述及说明； 2、可实施性及针对性：方案能够紧扣项目实际情况，实施步骤清晰、合理，内容科学合理。 三、赋分标准（满分8分）： ①恶劣天气、停水停电、火灾、水浸、防火等应急预案：每完全满足一个评审标准得1分，满分2分； ②重大活动、紧急事件及临时性任务应急预案：每完全满足一个评审标准得1分，满分2分； ③违法事件（防盗、打架斗殴、寻衅滋事等）应急预案：每完全满足一个评审标准得1分，满分2分； ④重大人事变动应急预案：每完全满足一个评审标准得1分，满分2分。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供应商针对本项目提供服务承诺，包含：①卫生保洁承诺、②安防承诺、③整体服务质量承诺等。 二、评审标准： 1、完整性：方案须全面，对评审内容中的各项要求有详细描述及说明； 2、可实施性及针对性：方案能够紧扣项目实际情况，实施步骤清晰、合理，内容科学合理。 三、赋分标准（满分6分）： ①卫生保洁承诺：每完全满足一个评审标准得1分，满分2分； ②安防承诺：每完全满足一个评审标准得1分，满分2分； ③整体服务质量承诺：每完全满足一个评审标准得1分，满分2分。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供应商提供2022年10月1日至响应文件递交截止日类似项目业绩（以合同签订时间为准，须提供完整合同复印件），每提供一份有效业绩得2分，最高得10分。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采用低价优先法计算，即满足磋商文件要求且磋商报价最低的报价为基准价，其价格分为满分。 磋商报价得分=（评标基准价/磋商报价）×10 备注：当磋商小组认为某个供应商的报价明显低于其他通过符合性审查供应商的报价，有可能影响服务质量和不能诚信履约的，应要求该供应商在评审现场合理的时间内提供书面说明，必要时提交相关证明材料；供应商不能证明其报价合理的，磋商小组会将其作为无效文件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详见附件：供应商特殊资格证明文件.docx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详见附件：磋商响应方案--保洁服务方案.docx</w:t>
      </w:r>
    </w:p>
    <w:p>
      <w:pPr>
        <w:pStyle w:val="null3"/>
        <w:ind w:firstLine="960"/>
      </w:pPr>
      <w:r>
        <w:rPr>
          <w:rFonts w:ascii="仿宋_GB2312" w:hAnsi="仿宋_GB2312" w:cs="仿宋_GB2312" w:eastAsia="仿宋_GB2312"/>
        </w:rPr>
        <w:t>详见附件：磋商响应方案--安防服务方案.docx</w:t>
      </w:r>
    </w:p>
    <w:p>
      <w:pPr>
        <w:pStyle w:val="null3"/>
        <w:ind w:firstLine="960"/>
      </w:pPr>
      <w:r>
        <w:rPr>
          <w:rFonts w:ascii="仿宋_GB2312" w:hAnsi="仿宋_GB2312" w:cs="仿宋_GB2312" w:eastAsia="仿宋_GB2312"/>
        </w:rPr>
        <w:t>详见附件：磋商响应方案--综合维修服务方案.docx</w:t>
      </w:r>
    </w:p>
    <w:p>
      <w:pPr>
        <w:pStyle w:val="null3"/>
        <w:ind w:firstLine="960"/>
      </w:pPr>
      <w:r>
        <w:rPr>
          <w:rFonts w:ascii="仿宋_GB2312" w:hAnsi="仿宋_GB2312" w:cs="仿宋_GB2312" w:eastAsia="仿宋_GB2312"/>
        </w:rPr>
        <w:t>详见附件：磋商响应方案--管理制度.docx</w:t>
      </w:r>
    </w:p>
    <w:p>
      <w:pPr>
        <w:pStyle w:val="null3"/>
        <w:ind w:firstLine="960"/>
      </w:pPr>
      <w:r>
        <w:rPr>
          <w:rFonts w:ascii="仿宋_GB2312" w:hAnsi="仿宋_GB2312" w:cs="仿宋_GB2312" w:eastAsia="仿宋_GB2312"/>
        </w:rPr>
        <w:t>详见附件：磋商响应方案--人员配备方案.docx</w:t>
      </w:r>
    </w:p>
    <w:p>
      <w:pPr>
        <w:pStyle w:val="null3"/>
        <w:ind w:firstLine="960"/>
      </w:pPr>
      <w:r>
        <w:rPr>
          <w:rFonts w:ascii="仿宋_GB2312" w:hAnsi="仿宋_GB2312" w:cs="仿宋_GB2312" w:eastAsia="仿宋_GB2312"/>
        </w:rPr>
        <w:t>详见附件：磋商响应方案--服务质量保证措施.docx</w:t>
      </w:r>
    </w:p>
    <w:p>
      <w:pPr>
        <w:pStyle w:val="null3"/>
        <w:ind w:firstLine="960"/>
      </w:pPr>
      <w:r>
        <w:rPr>
          <w:rFonts w:ascii="仿宋_GB2312" w:hAnsi="仿宋_GB2312" w:cs="仿宋_GB2312" w:eastAsia="仿宋_GB2312"/>
        </w:rPr>
        <w:t>详见附件：磋商响应方案--安全预防管理.docx</w:t>
      </w:r>
    </w:p>
    <w:p>
      <w:pPr>
        <w:pStyle w:val="null3"/>
        <w:ind w:firstLine="960"/>
      </w:pPr>
      <w:r>
        <w:rPr>
          <w:rFonts w:ascii="仿宋_GB2312" w:hAnsi="仿宋_GB2312" w:cs="仿宋_GB2312" w:eastAsia="仿宋_GB2312"/>
        </w:rPr>
        <w:t>详见附件：磋商响应方案--设施设备管理.docx</w:t>
      </w:r>
    </w:p>
    <w:p>
      <w:pPr>
        <w:pStyle w:val="null3"/>
        <w:ind w:firstLine="960"/>
      </w:pPr>
      <w:r>
        <w:rPr>
          <w:rFonts w:ascii="仿宋_GB2312" w:hAnsi="仿宋_GB2312" w:cs="仿宋_GB2312" w:eastAsia="仿宋_GB2312"/>
        </w:rPr>
        <w:t>详见附件：磋商响应方案--培训方案.docx</w:t>
      </w:r>
    </w:p>
    <w:p>
      <w:pPr>
        <w:pStyle w:val="null3"/>
        <w:ind w:firstLine="960"/>
      </w:pPr>
      <w:r>
        <w:rPr>
          <w:rFonts w:ascii="仿宋_GB2312" w:hAnsi="仿宋_GB2312" w:cs="仿宋_GB2312" w:eastAsia="仿宋_GB2312"/>
        </w:rPr>
        <w:t>详见附件：磋商响应方案--应急预案.docx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