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7A7BD">
      <w:pPr>
        <w:pStyle w:val="16"/>
        <w:jc w:val="center"/>
        <w:outlineLvl w:val="1"/>
      </w:pPr>
      <w:r>
        <w:rPr>
          <w:rFonts w:ascii="仿宋_GB2312" w:hAnsi="仿宋_GB2312" w:eastAsia="仿宋_GB2312" w:cs="仿宋_GB2312"/>
          <w:b/>
          <w:sz w:val="36"/>
        </w:rPr>
        <w:t>拟签订采购合同文本</w:t>
      </w:r>
    </w:p>
    <w:p w14:paraId="7FE6F941">
      <w:pPr>
        <w:widowControl w:val="0"/>
        <w:spacing w:line="360" w:lineRule="auto"/>
        <w:jc w:val="center"/>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（此合同样本仅供参考，合同具体细则以双方协定为准）</w:t>
      </w:r>
    </w:p>
    <w:p w14:paraId="7E95D716">
      <w:pPr>
        <w:widowControl w:val="0"/>
        <w:spacing w:line="360" w:lineRule="auto"/>
        <w:ind w:left="0" w:leftChars="0"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合同编号：</w:t>
      </w:r>
    </w:p>
    <w:p w14:paraId="3BECBE57">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 xml:space="preserve">签订地点： </w:t>
      </w:r>
    </w:p>
    <w:p w14:paraId="69958C35">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签订时间：</w:t>
      </w:r>
    </w:p>
    <w:p w14:paraId="030C11E4">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采购人（甲方）：</w:t>
      </w:r>
    </w:p>
    <w:p w14:paraId="61F545FA">
      <w:pPr>
        <w:widowControl w:val="0"/>
        <w:spacing w:line="360" w:lineRule="auto"/>
        <w:ind w:firstLine="400" w:firstLineChars="2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成交供应商（乙方）：</w:t>
      </w:r>
    </w:p>
    <w:p w14:paraId="5C097EF3">
      <w:pPr>
        <w:widowControl w:val="0"/>
        <w:spacing w:before="156" w:beforeLines="50" w:line="360" w:lineRule="auto"/>
        <w:ind w:left="199" w:leftChars="95" w:firstLine="200" w:firstLineChars="100"/>
        <w:jc w:val="both"/>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根据《中华人民共和国民法典》、《中华人民共和国政府采购法》及实施条例和甲方</w:t>
      </w:r>
      <w:r>
        <w:rPr>
          <w:rFonts w:hint="eastAsia" w:ascii="仿宋" w:hAnsi="仿宋" w:eastAsia="仿宋" w:cs="仿宋"/>
          <w:color w:val="auto"/>
          <w:kern w:val="2"/>
          <w:sz w:val="20"/>
          <w:szCs w:val="20"/>
          <w:highlight w:val="none"/>
          <w:u w:val="single"/>
          <w:lang w:val="en-US" w:eastAsia="zh-CN" w:bidi="ar-SA"/>
        </w:rPr>
        <w:t xml:space="preserve">                     项目</w:t>
      </w:r>
      <w:r>
        <w:rPr>
          <w:rFonts w:hint="eastAsia" w:ascii="仿宋" w:hAnsi="仿宋" w:eastAsia="仿宋" w:cs="仿宋"/>
          <w:color w:val="auto"/>
          <w:kern w:val="2"/>
          <w:sz w:val="20"/>
          <w:szCs w:val="20"/>
          <w:highlight w:val="none"/>
          <w:lang w:val="en-US" w:eastAsia="zh-CN" w:bidi="ar-SA"/>
        </w:rPr>
        <w:t>的磋商文件、磋商响应文件等有关规定，为确保甲方采购项目的顺利实施，甲、乙双方在平等自愿原则下签订本合同，并共同遵守如下条款：</w:t>
      </w:r>
    </w:p>
    <w:p w14:paraId="47887153">
      <w:pPr>
        <w:pStyle w:val="6"/>
        <w:keepNext w:val="0"/>
        <w:keepLines w:val="0"/>
        <w:pageBreakBefore w:val="0"/>
        <w:kinsoku/>
        <w:wordWrap/>
        <w:overflowPunct/>
        <w:topLinePunct w:val="0"/>
        <w:bidi w:val="0"/>
        <w:snapToGrid w:val="0"/>
        <w:spacing w:line="360" w:lineRule="auto"/>
        <w:ind w:firstLine="402" w:firstLineChars="200"/>
        <w:textAlignment w:val="auto"/>
        <w:rPr>
          <w:rFonts w:hint="eastAsia" w:ascii="仿宋" w:hAnsi="仿宋" w:eastAsia="仿宋" w:cs="仿宋"/>
          <w:b/>
          <w:bCs/>
          <w:sz w:val="20"/>
          <w:szCs w:val="20"/>
        </w:rPr>
      </w:pPr>
      <w:r>
        <w:rPr>
          <w:rFonts w:hint="eastAsia" w:ascii="仿宋" w:hAnsi="仿宋" w:eastAsia="仿宋" w:cs="仿宋"/>
          <w:b/>
          <w:bCs/>
          <w:sz w:val="20"/>
          <w:szCs w:val="20"/>
        </w:rPr>
        <w:t>一、合同价款</w:t>
      </w:r>
    </w:p>
    <w:p w14:paraId="3141433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rPr>
        <w:t>（一）合同总价款为人民币（大写）</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 xml:space="preserve"> ）。</w:t>
      </w:r>
    </w:p>
    <w:p w14:paraId="4131A50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bCs/>
          <w:sz w:val="20"/>
          <w:szCs w:val="20"/>
        </w:rPr>
        <w:t>（二）合同总价包括：</w:t>
      </w:r>
      <w:r>
        <w:rPr>
          <w:rFonts w:hint="eastAsia" w:ascii="仿宋" w:hAnsi="仿宋" w:eastAsia="仿宋" w:cs="仿宋"/>
          <w:bCs/>
          <w:sz w:val="20"/>
          <w:szCs w:val="20"/>
          <w:highlight w:val="none"/>
        </w:rPr>
        <w:t>合同期内服务实施费用、人工费、材料费、</w:t>
      </w:r>
      <w:r>
        <w:rPr>
          <w:rFonts w:hint="eastAsia" w:ascii="仿宋" w:hAnsi="仿宋" w:eastAsia="仿宋" w:cs="仿宋"/>
          <w:bCs/>
          <w:sz w:val="20"/>
          <w:szCs w:val="20"/>
          <w:highlight w:val="none"/>
          <w:lang w:val="en-US" w:eastAsia="zh-CN"/>
        </w:rPr>
        <w:t>按约定的所有维修费用、</w:t>
      </w:r>
      <w:r>
        <w:rPr>
          <w:rFonts w:hint="eastAsia" w:ascii="仿宋" w:hAnsi="仿宋" w:eastAsia="仿宋" w:cs="仿宋"/>
          <w:bCs/>
          <w:sz w:val="20"/>
          <w:szCs w:val="20"/>
          <w:highlight w:val="none"/>
        </w:rPr>
        <w:t>交通费、住宿费、管理费、税金</w:t>
      </w:r>
      <w:r>
        <w:rPr>
          <w:rFonts w:hint="eastAsia" w:ascii="仿宋" w:hAnsi="仿宋" w:eastAsia="仿宋" w:cs="仿宋"/>
          <w:bCs/>
          <w:sz w:val="20"/>
          <w:szCs w:val="20"/>
          <w:highlight w:val="none"/>
          <w:lang w:val="zh-CN"/>
        </w:rPr>
        <w:t>以及国家按现行税率征收的一切税费等所有费用。</w:t>
      </w:r>
    </w:p>
    <w:p w14:paraId="649DE11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rPr>
        <w:t>（三）合同总价一次性包死，不受市场价格变化因素的影响。</w:t>
      </w:r>
    </w:p>
    <w:p w14:paraId="3F2B1A1A">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lang w:eastAsia="zh-CN"/>
        </w:rPr>
        <w:t>二</w:t>
      </w:r>
      <w:r>
        <w:rPr>
          <w:rFonts w:hint="eastAsia" w:ascii="仿宋" w:hAnsi="仿宋" w:eastAsia="仿宋" w:cs="仿宋"/>
          <w:b/>
          <w:bCs/>
          <w:sz w:val="20"/>
          <w:szCs w:val="20"/>
          <w:highlight w:val="none"/>
        </w:rPr>
        <w:t>、款项结算</w:t>
      </w:r>
    </w:p>
    <w:p w14:paraId="39EC2C77">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default"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w:t>
      </w:r>
      <w:r>
        <w:rPr>
          <w:rFonts w:hint="eastAsia" w:ascii="仿宋" w:hAnsi="仿宋" w:eastAsia="仿宋" w:cs="仿宋"/>
          <w:b w:val="0"/>
          <w:bCs/>
          <w:sz w:val="20"/>
          <w:szCs w:val="20"/>
          <w:highlight w:val="none"/>
        </w:rPr>
        <w:t>付款方式：</w:t>
      </w:r>
      <w:r>
        <w:rPr>
          <w:rFonts w:hint="eastAsia" w:ascii="仿宋" w:hAnsi="仿宋" w:eastAsia="仿宋" w:cs="仿宋"/>
          <w:b w:val="0"/>
          <w:bCs/>
          <w:sz w:val="20"/>
          <w:szCs w:val="20"/>
          <w:highlight w:val="none"/>
          <w:lang w:val="en-US" w:eastAsia="zh-CN"/>
        </w:rPr>
        <w:t>服务费按月结算，服务期每满一个月，达到付款条件起 10 日内支付相应的服务费。</w:t>
      </w:r>
    </w:p>
    <w:p w14:paraId="2E0B5A31">
      <w:pPr>
        <w:keepNext w:val="0"/>
        <w:keepLines w:val="0"/>
        <w:pageBreakBefore w:val="0"/>
        <w:widowControl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结算方式：银行转账。</w:t>
      </w:r>
      <w:r>
        <w:rPr>
          <w:rFonts w:hint="eastAsia" w:ascii="仿宋" w:hAnsi="仿宋" w:eastAsia="仿宋" w:cs="仿宋"/>
          <w:bCs/>
          <w:sz w:val="20"/>
          <w:szCs w:val="20"/>
          <w:highlight w:val="none"/>
          <w:lang w:val="en-US" w:eastAsia="zh-CN"/>
        </w:rPr>
        <w:t xml:space="preserve"> </w:t>
      </w:r>
    </w:p>
    <w:p w14:paraId="72F4C21A">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eastAsia="zh-CN"/>
        </w:rPr>
        <w:t>三</w:t>
      </w:r>
      <w:r>
        <w:rPr>
          <w:rFonts w:hint="eastAsia" w:ascii="仿宋" w:hAnsi="仿宋" w:eastAsia="仿宋" w:cs="仿宋"/>
          <w:b/>
          <w:sz w:val="20"/>
          <w:szCs w:val="20"/>
          <w:highlight w:val="none"/>
        </w:rPr>
        <w:t>、</w:t>
      </w:r>
      <w:r>
        <w:rPr>
          <w:rFonts w:hint="eastAsia" w:ascii="仿宋" w:hAnsi="仿宋" w:eastAsia="仿宋" w:cs="仿宋"/>
          <w:b/>
          <w:sz w:val="20"/>
          <w:szCs w:val="20"/>
          <w:highlight w:val="none"/>
          <w:lang w:val="en-US" w:eastAsia="zh-CN"/>
        </w:rPr>
        <w:t>服务</w:t>
      </w:r>
      <w:r>
        <w:rPr>
          <w:rFonts w:hint="eastAsia" w:ascii="仿宋" w:hAnsi="仿宋" w:eastAsia="仿宋" w:cs="仿宋"/>
          <w:b/>
          <w:bCs/>
          <w:sz w:val="20"/>
          <w:szCs w:val="20"/>
          <w:highlight w:val="none"/>
        </w:rPr>
        <w:t>地点及</w:t>
      </w:r>
      <w:r>
        <w:rPr>
          <w:rFonts w:hint="eastAsia" w:ascii="仿宋" w:hAnsi="仿宋" w:eastAsia="仿宋" w:cs="仿宋"/>
          <w:b/>
          <w:bCs/>
          <w:sz w:val="20"/>
          <w:szCs w:val="20"/>
          <w:highlight w:val="none"/>
          <w:lang w:val="en-US" w:eastAsia="zh-CN"/>
        </w:rPr>
        <w:t>服务期限</w:t>
      </w:r>
    </w:p>
    <w:p w14:paraId="66E0951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default"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w:t>
      </w:r>
      <w:r>
        <w:rPr>
          <w:rFonts w:hint="eastAsia" w:ascii="仿宋" w:hAnsi="仿宋" w:eastAsia="仿宋" w:cs="仿宋"/>
          <w:b w:val="0"/>
          <w:bCs/>
          <w:sz w:val="20"/>
          <w:szCs w:val="20"/>
          <w:highlight w:val="none"/>
        </w:rPr>
        <w:t>地点</w:t>
      </w:r>
      <w:r>
        <w:rPr>
          <w:rFonts w:hint="eastAsia" w:ascii="仿宋" w:hAnsi="仿宋" w:eastAsia="仿宋" w:cs="仿宋"/>
          <w:b w:val="0"/>
          <w:bCs/>
          <w:sz w:val="20"/>
          <w:szCs w:val="20"/>
          <w:highlight w:val="none"/>
          <w:lang w:eastAsia="zh-CN"/>
        </w:rPr>
        <w:t>：</w:t>
      </w:r>
      <w:r>
        <w:rPr>
          <w:rFonts w:hint="eastAsia" w:ascii="仿宋" w:hAnsi="仿宋" w:eastAsia="仿宋" w:cs="仿宋"/>
          <w:b w:val="0"/>
          <w:bCs/>
          <w:sz w:val="20"/>
          <w:szCs w:val="20"/>
          <w:highlight w:val="none"/>
          <w:lang w:val="en-US" w:eastAsia="zh-CN"/>
        </w:rPr>
        <w:t>采购人指定地点。</w:t>
      </w:r>
    </w:p>
    <w:p w14:paraId="29A844BD">
      <w:pPr>
        <w:keepNext w:val="0"/>
        <w:keepLines w:val="0"/>
        <w:pageBreakBefore w:val="0"/>
        <w:tabs>
          <w:tab w:val="left" w:pos="7899"/>
        </w:tabs>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w:t>
      </w:r>
      <w:r>
        <w:rPr>
          <w:rFonts w:hint="eastAsia" w:ascii="仿宋" w:hAnsi="仿宋" w:eastAsia="仿宋" w:cs="仿宋"/>
          <w:b w:val="0"/>
          <w:bCs w:val="0"/>
          <w:sz w:val="20"/>
          <w:szCs w:val="20"/>
          <w:highlight w:val="none"/>
        </w:rPr>
        <w:t>服务期限：合同签订后一年</w:t>
      </w:r>
      <w:r>
        <w:rPr>
          <w:rFonts w:hint="eastAsia" w:ascii="仿宋" w:hAnsi="仿宋" w:eastAsia="仿宋" w:cs="仿宋"/>
          <w:b w:val="0"/>
          <w:bCs w:val="0"/>
          <w:sz w:val="20"/>
          <w:szCs w:val="20"/>
          <w:highlight w:val="none"/>
          <w:lang w:eastAsia="zh-CN"/>
        </w:rPr>
        <w:t>。</w:t>
      </w:r>
      <w:r>
        <w:rPr>
          <w:rFonts w:hint="eastAsia" w:ascii="仿宋" w:hAnsi="仿宋" w:eastAsia="仿宋" w:cs="仿宋"/>
          <w:color w:val="auto"/>
          <w:sz w:val="20"/>
          <w:szCs w:val="20"/>
          <w:highlight w:val="none"/>
          <w:shd w:val="clear" w:color="auto" w:fill="auto"/>
          <w:lang w:val="en-US" w:eastAsia="zh-CN"/>
        </w:rPr>
        <w:tab/>
      </w:r>
    </w:p>
    <w:p w14:paraId="557A2EA5">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eastAsia="zh-CN"/>
        </w:rPr>
        <w:t>四</w:t>
      </w:r>
      <w:r>
        <w:rPr>
          <w:rFonts w:hint="eastAsia" w:ascii="仿宋" w:hAnsi="仿宋" w:eastAsia="仿宋" w:cs="仿宋"/>
          <w:b/>
          <w:sz w:val="20"/>
          <w:szCs w:val="20"/>
          <w:highlight w:val="none"/>
        </w:rPr>
        <w:t>、</w:t>
      </w:r>
      <w:r>
        <w:rPr>
          <w:rFonts w:hint="eastAsia" w:ascii="仿宋" w:hAnsi="仿宋" w:eastAsia="仿宋" w:cs="仿宋"/>
          <w:b/>
          <w:sz w:val="20"/>
          <w:szCs w:val="20"/>
          <w:highlight w:val="none"/>
          <w:lang w:val="en-US" w:eastAsia="zh-CN"/>
        </w:rPr>
        <w:t>服务内容</w:t>
      </w:r>
    </w:p>
    <w:p w14:paraId="133648FC">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sz w:val="20"/>
          <w:szCs w:val="20"/>
          <w:highlight w:val="none"/>
          <w:lang w:val="en-US" w:eastAsia="zh-CN"/>
        </w:rPr>
        <w:t>（一）保洁服务</w:t>
      </w:r>
    </w:p>
    <w:p w14:paraId="65F1F15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1.服务区域：</w:t>
      </w:r>
    </w:p>
    <w:p w14:paraId="60ED8AE9">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（1）室外：校园环境、操场、公共区域座椅及各种辅助设施的清洁及日常保洁。</w:t>
      </w:r>
    </w:p>
    <w:p w14:paraId="76CF716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（2）室内：学校教学楼、办公楼、体育馆、报告厅、公共区域、卫生间的保洁工作。</w:t>
      </w:r>
    </w:p>
    <w:p w14:paraId="0F6B016D">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（3）其他：办公区垃圾、卫生间垃圾转运至校园垃圾台，做到垃圾“四分类”，对校园垃圾站垃圾必须保证每天装车、清运。学校重大活动及时响应，做好卫生工作。</w:t>
      </w:r>
    </w:p>
    <w:p w14:paraId="2812610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75888F3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（1）执行“5段2遍6清洁”标准化流程（即分5个时段、每日2次全面保洁、重点完成6类清洁任务）。</w:t>
      </w:r>
    </w:p>
    <w:p w14:paraId="63AE6CF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（2）每月至少进行1次以上全面消杀（含蚊蝇防治），特定时期按校方要求增加频次。</w:t>
      </w:r>
    </w:p>
    <w:p w14:paraId="5738842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（3）室内服务区域每天清洁地面、擦拭楼梯扶手、栏杆、瓷砖墙面、垃圾桶，每周擦拭门窗，保持地面清洁无垃圾污渍，墙壁无浮灰、蜘蛛网、污迹。</w:t>
      </w:r>
    </w:p>
    <w:p w14:paraId="269737F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（4）卫生间每天清扫冲洗两次，上午、下午上课前各一次，其余时间巡回清扫，保持厕所卫生清洁无异味，便池水池地面管道无积水、无堵塞，无垃圾存放现象。</w:t>
      </w:r>
    </w:p>
    <w:p w14:paraId="27816E92">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（5）服务期间需在保洁区域巡视，及时清扫捡拾杂物，确保路面场地绿化区无垃圾、杂物，无卫生死角。室外展板、宣传栏等设施定期擦拭，达到无明显灰尘。</w:t>
      </w:r>
    </w:p>
    <w:p w14:paraId="2634DB4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（6）每周负责操场、体育馆、报告厅等卫生整理一次。</w:t>
      </w:r>
    </w:p>
    <w:p w14:paraId="402B822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（7）遇有重要活动承担礼宾工作，精神饱满，举止得体。</w:t>
      </w:r>
    </w:p>
    <w:p w14:paraId="6FB85A5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w:t>
      </w:r>
    </w:p>
    <w:p w14:paraId="4FFBA635">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配备不少于5名专职保洁人员，年龄≤50岁。须持有效健康证，统一着装，言行规范，身体健康，无不良嗜好，须提供统一制服及岗位使用工具。</w:t>
      </w:r>
    </w:p>
    <w:p w14:paraId="0CE65FF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（二）安防服务</w:t>
      </w:r>
    </w:p>
    <w:p w14:paraId="5F9E0AD2">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1.服务区域：校门岗、校园巡逻、监控室值守及突发事件先期处置，配合学校做好其它相关工作。</w:t>
      </w:r>
    </w:p>
    <w:p w14:paraId="39CBC30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2F01281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（1）保证校园内安全和正常工作、生活秩序，做好协防保卫，做好车辆、车库、道路及安全秩序管理等。</w:t>
      </w:r>
    </w:p>
    <w:p w14:paraId="551428E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（2）实行全天候24小时值班制度，严格执行外来人员/车辆登记、查验制度。</w:t>
      </w:r>
    </w:p>
    <w:p w14:paraId="3A127DD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（3）协防设置门岗和巡逻岗，对外来人员，建立询问登记制度，礼貌用语、文明用语、热情服务，按照采购人要求进行出入管理服务，每日安全巡逻不少于6次，并做好电子及纸质记录。</w:t>
      </w:r>
    </w:p>
    <w:p w14:paraId="0FD54B2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（4）保证区域内安全秩序良好，道路通畅，引导指挥车辆停放有序，上下学高峰时段，协助维持校门口秩序，构成“护学岗”一部分。</w:t>
      </w:r>
    </w:p>
    <w:p w14:paraId="4AB5E94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（5）根据采购人要求，服从总务处工作人员调配，做好各项活动的秩序维护工作。</w:t>
      </w:r>
    </w:p>
    <w:p w14:paraId="0E91DF9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6）制定安全管理服务预案，完善责任制，遇突发事件能应急处理，积极主动协调处理校内治安等方面的突发事件，迅速排除各种险情，及时制止违法犯罪行为，及时向总务处报告各类案件、事故及其他重大问题和重要情况，做好110接警工作。</w:t>
      </w:r>
    </w:p>
    <w:p w14:paraId="2F9F451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（7）能及时发现和处理各种事故隐患，确保不发生安全方面的问题，能迅速有效处置突发事件，熟练操作一键报警系统、视频系统及消防器材，具备应急处置能力。</w:t>
      </w:r>
    </w:p>
    <w:p w14:paraId="6935266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（8）学校遇有重大活动、会议、招聘活动等需要增配、抽调人员协助时，应无偿按照校方要求执行，工作时应着统一服装及标志，精神饱满，举止得体。</w:t>
      </w:r>
    </w:p>
    <w:p w14:paraId="553785E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w:t>
      </w:r>
    </w:p>
    <w:p w14:paraId="20D5DA9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配备不少于6名专职保安人员，年龄≤50岁。持有保安员证，政审合格，统一着装，言行规范，身体健康，无不良嗜好，须提供统一制服及岗位使用设备，定期进行军事化队列及应急演练。</w:t>
      </w:r>
    </w:p>
    <w:p w14:paraId="7FC7F0A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（三）设备维修维护：</w:t>
      </w:r>
      <w:bookmarkStart w:id="3" w:name="_GoBack"/>
      <w:bookmarkEnd w:id="3"/>
    </w:p>
    <w:p w14:paraId="57BD8E5F">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1.服务区域：校内基础设施、设备、公共设施的维修与维护。</w:t>
      </w:r>
    </w:p>
    <w:p w14:paraId="5254DD8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p>
    <w:p w14:paraId="4098B43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2、服务要求：</w:t>
      </w:r>
    </w:p>
    <w:p w14:paraId="1A95CDE8">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（1）按合同约定，制订物业管理区域共用设施设备年度、月度养护及维修计划，保养和维修记录齐全。</w:t>
      </w:r>
    </w:p>
    <w:p w14:paraId="2E28E9B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（2）有完善的设备安全运行、维修养护、设备巡查和设备用房卫生清洁制度并在工作场所明示。设施设备标识齐全、规范，责任人明确。有设备台帐、运行记录和巡查记录。</w:t>
      </w:r>
    </w:p>
    <w:p w14:paraId="4A091B4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（3）.设备运行严格执行操作规程，无重大管理责任事故，有突发事件应急处置预案和处理记录。</w:t>
      </w:r>
    </w:p>
    <w:p w14:paraId="319CD75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（4）设备用房应保持整洁、通风，无跑、冒、滴、漏和鼠害现象。</w:t>
      </w:r>
    </w:p>
    <w:p w14:paraId="6426BFF3">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（5）定期检查消防设施设备，可随时启用；消防通道畅通。</w:t>
      </w:r>
    </w:p>
    <w:p w14:paraId="6EE552E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（6）每日至少2次对一般共用设施设备进行巡检，巡检记录规范齐全。特种设备的巡检按相关标准执行。</w:t>
      </w:r>
    </w:p>
    <w:p w14:paraId="47939A87">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（7）共用设施设备需要维修或者更新改造的，及时编制维修、更新改造计划，向学校提出报告与建议，根据学校的决定和国家相关规定，组织维修或者更新改造。</w:t>
      </w:r>
    </w:p>
    <w:p w14:paraId="7D47129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（8）实行24小时值班报修制度。急修半小时内到达现场，一般维修12小时之内或在双方约定时间到达现场。</w:t>
      </w:r>
    </w:p>
    <w:p w14:paraId="01CB914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（9）共用照明设施完好率95%以上，并按规定时间开关。</w:t>
      </w:r>
    </w:p>
    <w:p w14:paraId="0CE9696D">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（10）物业管理区域道路平整，主要道路及地面车位、地下车库交通标识齐全、规范。</w:t>
      </w:r>
    </w:p>
    <w:p w14:paraId="1BCAD67C">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（11）载人电梯24小时运行。</w:t>
      </w:r>
    </w:p>
    <w:p w14:paraId="406494FD">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（12）物业管理区域设有水景、水系的，应及时维护、定期换水、定时开放。</w:t>
      </w:r>
    </w:p>
    <w:p w14:paraId="4B244D8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（13）对可能危及人身安全隐患的设施设备、场所，设有明显警示标识和防范措施。</w:t>
      </w:r>
    </w:p>
    <w:p w14:paraId="60E78931">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（14）对雨、污水管道每月检查一次，每年对公共雨、污水管道全面疏通一次，确保排水通畅。</w:t>
      </w:r>
    </w:p>
    <w:p w14:paraId="14645500">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（15）对化粪池每月检查一次，每年清掏1—2次；该费用另行约定。</w:t>
      </w:r>
    </w:p>
    <w:p w14:paraId="04AADD5D">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3、人员配置：</w:t>
      </w:r>
    </w:p>
    <w:p w14:paraId="4302EC2B">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
          <w:sz w:val="20"/>
          <w:szCs w:val="20"/>
          <w:highlight w:val="none"/>
          <w:lang w:val="en-US" w:eastAsia="zh-CN"/>
        </w:rPr>
      </w:pPr>
      <w:r>
        <w:rPr>
          <w:rFonts w:hint="eastAsia" w:ascii="仿宋" w:hAnsi="仿宋" w:eastAsia="仿宋" w:cs="仿宋"/>
          <w:b w:val="0"/>
          <w:bCs/>
          <w:sz w:val="20"/>
          <w:szCs w:val="20"/>
          <w:highlight w:val="none"/>
          <w:lang w:val="en-US" w:eastAsia="zh-CN"/>
        </w:rPr>
        <w:t>供应商需为本项目配备1名以上维修员，要求身体健康，需着统一制服，持相关证件上岗。</w:t>
      </w:r>
    </w:p>
    <w:p w14:paraId="7888BAB9">
      <w:pPr>
        <w:autoSpaceDE w:val="0"/>
        <w:autoSpaceDN w:val="0"/>
        <w:adjustRightInd w:val="0"/>
        <w:snapToGri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五、服务保证</w:t>
      </w:r>
    </w:p>
    <w:p w14:paraId="7F2481A6">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1.所供的成果报告必须保证是符合国家相关程序相关规定。</w:t>
      </w:r>
    </w:p>
    <w:p w14:paraId="7AE548DA">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outlineLvl w:val="0"/>
        <w:rPr>
          <w:rFonts w:hint="eastAsia" w:ascii="仿宋" w:hAnsi="仿宋" w:eastAsia="仿宋" w:cs="仿宋"/>
          <w:b w:val="0"/>
          <w:bCs/>
          <w:sz w:val="20"/>
          <w:szCs w:val="20"/>
          <w:highlight w:val="none"/>
          <w:lang w:val="en-US" w:eastAsia="zh-CN"/>
        </w:rPr>
      </w:pPr>
      <w:r>
        <w:rPr>
          <w:rFonts w:hint="eastAsia" w:ascii="仿宋" w:hAnsi="仿宋" w:eastAsia="仿宋" w:cs="仿宋"/>
          <w:b w:val="0"/>
          <w:bCs/>
          <w:sz w:val="20"/>
          <w:szCs w:val="20"/>
          <w:highlight w:val="none"/>
          <w:lang w:val="en-US" w:eastAsia="zh-CN"/>
        </w:rPr>
        <w:t>2.供应商提供相关成果报告确保真实性、可靠性。</w:t>
      </w:r>
    </w:p>
    <w:p w14:paraId="009F9060">
      <w:pPr>
        <w:autoSpaceDE w:val="0"/>
        <w:autoSpaceDN w:val="0"/>
        <w:adjustRightInd w:val="0"/>
        <w:snapToGri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六、知识产权</w:t>
      </w:r>
    </w:p>
    <w:p w14:paraId="45625743">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1.</w:t>
      </w:r>
      <w:r>
        <w:rPr>
          <w:rFonts w:hint="eastAsia" w:ascii="仿宋" w:hAnsi="仿宋" w:eastAsia="仿宋" w:cs="仿宋"/>
          <w:sz w:val="20"/>
          <w:szCs w:val="20"/>
        </w:rPr>
        <w:t>本项目所涉及到的所有成果的知识产权归</w:t>
      </w:r>
      <w:r>
        <w:rPr>
          <w:rFonts w:hint="eastAsia" w:ascii="仿宋" w:hAnsi="仿宋" w:eastAsia="仿宋" w:cs="仿宋"/>
          <w:sz w:val="20"/>
          <w:szCs w:val="20"/>
          <w:lang w:eastAsia="zh-CN"/>
        </w:rPr>
        <w:t>采购人</w:t>
      </w:r>
      <w:r>
        <w:rPr>
          <w:rFonts w:hint="eastAsia" w:ascii="仿宋" w:hAnsi="仿宋" w:eastAsia="仿宋" w:cs="仿宋"/>
          <w:sz w:val="20"/>
          <w:szCs w:val="20"/>
        </w:rPr>
        <w:t xml:space="preserve">所有。 </w:t>
      </w:r>
    </w:p>
    <w:p w14:paraId="5B423A56">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2.</w:t>
      </w:r>
      <w:r>
        <w:rPr>
          <w:rFonts w:hint="eastAsia" w:ascii="仿宋" w:hAnsi="仿宋" w:eastAsia="仿宋" w:cs="仿宋"/>
          <w:sz w:val="20"/>
          <w:szCs w:val="20"/>
          <w:lang w:eastAsia="zh-CN"/>
        </w:rPr>
        <w:t>供应商</w:t>
      </w:r>
      <w:r>
        <w:rPr>
          <w:rFonts w:hint="eastAsia" w:ascii="仿宋" w:hAnsi="仿宋" w:eastAsia="仿宋" w:cs="仿宋"/>
          <w:sz w:val="20"/>
          <w:szCs w:val="20"/>
        </w:rPr>
        <w:t>无论出于任何目的如在其他地方使用该成果，必须经</w:t>
      </w:r>
      <w:r>
        <w:rPr>
          <w:rFonts w:hint="eastAsia" w:ascii="仿宋" w:hAnsi="仿宋" w:eastAsia="仿宋" w:cs="仿宋"/>
          <w:sz w:val="20"/>
          <w:szCs w:val="20"/>
          <w:lang w:eastAsia="zh-CN"/>
        </w:rPr>
        <w:t>采购人</w:t>
      </w:r>
      <w:r>
        <w:rPr>
          <w:rFonts w:hint="eastAsia" w:ascii="仿宋" w:hAnsi="仿宋" w:eastAsia="仿宋" w:cs="仿宋"/>
          <w:sz w:val="20"/>
          <w:szCs w:val="20"/>
        </w:rPr>
        <w:t>同意方可使用。否则，贵</w:t>
      </w:r>
      <w:r>
        <w:rPr>
          <w:rFonts w:hint="eastAsia" w:ascii="仿宋" w:hAnsi="仿宋" w:eastAsia="仿宋" w:cs="仿宋"/>
          <w:sz w:val="20"/>
          <w:szCs w:val="20"/>
          <w:lang w:eastAsia="zh-CN"/>
        </w:rPr>
        <w:t>采购人</w:t>
      </w:r>
      <w:r>
        <w:rPr>
          <w:rFonts w:hint="eastAsia" w:ascii="仿宋" w:hAnsi="仿宋" w:eastAsia="仿宋" w:cs="仿宋"/>
          <w:sz w:val="20"/>
          <w:szCs w:val="20"/>
        </w:rPr>
        <w:t xml:space="preserve">有权要求终止涉及到该中标知识产权的任何使用活动并保留追究卖方相应的法律责任的权利。 </w:t>
      </w:r>
    </w:p>
    <w:p w14:paraId="55DF460B">
      <w:pPr>
        <w:autoSpaceDE w:val="0"/>
        <w:autoSpaceDN w:val="0"/>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3.</w:t>
      </w:r>
      <w:r>
        <w:rPr>
          <w:rFonts w:hint="eastAsia" w:ascii="仿宋" w:hAnsi="仿宋" w:eastAsia="仿宋" w:cs="仿宋"/>
          <w:sz w:val="20"/>
          <w:szCs w:val="20"/>
          <w:lang w:eastAsia="zh-CN"/>
        </w:rPr>
        <w:t>供应商</w:t>
      </w:r>
      <w:r>
        <w:rPr>
          <w:rFonts w:hint="eastAsia" w:ascii="仿宋" w:hAnsi="仿宋" w:eastAsia="仿宋" w:cs="仿宋"/>
          <w:sz w:val="20"/>
          <w:szCs w:val="20"/>
        </w:rPr>
        <w:t>为执行本合同而提供的技术资料使用权归</w:t>
      </w:r>
      <w:r>
        <w:rPr>
          <w:rFonts w:hint="eastAsia" w:ascii="仿宋" w:hAnsi="仿宋" w:eastAsia="仿宋" w:cs="仿宋"/>
          <w:sz w:val="20"/>
          <w:szCs w:val="20"/>
          <w:lang w:eastAsia="zh-CN"/>
        </w:rPr>
        <w:t>采购人</w:t>
      </w:r>
      <w:r>
        <w:rPr>
          <w:rFonts w:hint="eastAsia" w:ascii="仿宋" w:hAnsi="仿宋" w:eastAsia="仿宋" w:cs="仿宋"/>
          <w:sz w:val="20"/>
          <w:szCs w:val="20"/>
        </w:rPr>
        <w:t>所有。</w:t>
      </w:r>
    </w:p>
    <w:p w14:paraId="32403D59">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rPr>
      </w:pPr>
      <w:r>
        <w:rPr>
          <w:rFonts w:hint="eastAsia" w:ascii="仿宋" w:hAnsi="仿宋" w:eastAsia="仿宋" w:cs="仿宋"/>
          <w:b/>
          <w:bCs w:val="0"/>
          <w:sz w:val="20"/>
          <w:szCs w:val="20"/>
          <w:lang w:val="en-US" w:eastAsia="zh-CN"/>
        </w:rPr>
        <w:t>七</w:t>
      </w:r>
      <w:r>
        <w:rPr>
          <w:rFonts w:hint="eastAsia" w:ascii="仿宋" w:hAnsi="仿宋" w:eastAsia="仿宋" w:cs="仿宋"/>
          <w:b/>
          <w:bCs w:val="0"/>
          <w:sz w:val="20"/>
          <w:szCs w:val="20"/>
        </w:rPr>
        <w:t>、其它事项</w:t>
      </w:r>
    </w:p>
    <w:p w14:paraId="41950214">
      <w:pPr>
        <w:keepNext w:val="0"/>
        <w:keepLines w:val="0"/>
        <w:pageBreakBefore w:val="0"/>
        <w:kinsoku/>
        <w:wordWrap/>
        <w:overflowPunct/>
        <w:topLinePunct w:val="0"/>
        <w:autoSpaceDE w:val="0"/>
        <w:autoSpaceDN w:val="0"/>
        <w:bidi w:val="0"/>
        <w:adjustRightInd w:val="0"/>
        <w:snapToGrid w:val="0"/>
        <w:spacing w:line="360" w:lineRule="auto"/>
        <w:ind w:firstLine="400" w:firstLineChars="200"/>
        <w:textAlignment w:val="auto"/>
        <w:rPr>
          <w:rFonts w:hint="eastAsia" w:ascii="仿宋" w:hAnsi="仿宋" w:eastAsia="仿宋" w:cs="仿宋"/>
          <w:bCs/>
          <w:sz w:val="20"/>
          <w:szCs w:val="20"/>
        </w:rPr>
      </w:pPr>
      <w:r>
        <w:rPr>
          <w:rFonts w:hint="eastAsia" w:ascii="仿宋" w:hAnsi="仿宋" w:eastAsia="仿宋" w:cs="仿宋"/>
          <w:bCs/>
          <w:sz w:val="20"/>
          <w:szCs w:val="20"/>
          <w:lang w:val="en-US" w:eastAsia="zh-CN"/>
        </w:rPr>
        <w:t>1.</w:t>
      </w:r>
      <w:r>
        <w:rPr>
          <w:rFonts w:hint="eastAsia" w:ascii="仿宋" w:hAnsi="仿宋" w:eastAsia="仿宋" w:cs="仿宋"/>
          <w:bCs/>
          <w:sz w:val="20"/>
          <w:szCs w:val="20"/>
        </w:rPr>
        <w:t>乙方不得转让、分包给其它单位或个人。</w:t>
      </w:r>
    </w:p>
    <w:p w14:paraId="4A1E4721">
      <w:pPr>
        <w:spacing w:line="36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lang w:val="en-US" w:eastAsia="zh-CN"/>
        </w:rPr>
        <w:t>2.</w:t>
      </w:r>
      <w:r>
        <w:rPr>
          <w:rFonts w:hint="eastAsia" w:ascii="仿宋" w:hAnsi="仿宋" w:eastAsia="仿宋" w:cs="仿宋"/>
          <w:bCs/>
          <w:sz w:val="20"/>
          <w:szCs w:val="20"/>
        </w:rPr>
        <w:t>乙方的投标文件和承诺等内容将列入合同。</w:t>
      </w:r>
    </w:p>
    <w:p w14:paraId="48951625">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r>
        <w:rPr>
          <w:rFonts w:hint="eastAsia" w:ascii="仿宋" w:hAnsi="仿宋" w:eastAsia="仿宋" w:cs="仿宋"/>
          <w:b/>
          <w:bCs w:val="0"/>
          <w:sz w:val="20"/>
          <w:szCs w:val="20"/>
          <w:lang w:val="en-US" w:eastAsia="zh-CN"/>
        </w:rPr>
        <w:t>八、违约责任</w:t>
      </w:r>
    </w:p>
    <w:p w14:paraId="644F669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1、按《</w:t>
      </w:r>
      <w:r>
        <w:rPr>
          <w:rFonts w:hint="eastAsia" w:ascii="仿宋" w:hAnsi="仿宋" w:eastAsia="仿宋" w:cs="仿宋"/>
          <w:color w:val="auto"/>
          <w:sz w:val="20"/>
          <w:szCs w:val="20"/>
          <w:highlight w:val="none"/>
        </w:rPr>
        <w:t>中华人民共和国</w:t>
      </w:r>
      <w:r>
        <w:rPr>
          <w:rFonts w:hint="eastAsia" w:ascii="仿宋" w:hAnsi="仿宋" w:eastAsia="仿宋" w:cs="仿宋"/>
          <w:color w:val="auto"/>
          <w:sz w:val="20"/>
          <w:szCs w:val="20"/>
          <w:highlight w:val="none"/>
          <w:lang w:val="en-US" w:eastAsia="zh-CN"/>
        </w:rPr>
        <w:t>民法典》中的相关条款执行。</w:t>
      </w:r>
    </w:p>
    <w:p w14:paraId="178E7384">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2、乙方履约延误</w:t>
      </w:r>
    </w:p>
    <w:p w14:paraId="602FADA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2-1、如乙方事先未征得甲方同意并得到甲方的谅解而单方面延迟服务期，将按违约终止合同。</w:t>
      </w:r>
    </w:p>
    <w:p w14:paraId="5B24C3B5">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1EB52CB">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3、因采购人原因导制变更、中止或者终止政府采购合同的，采购人应当依照合同约定对供应商受到的损失予以赔偿或者补偿。</w:t>
      </w:r>
    </w:p>
    <w:p w14:paraId="4F62E32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3、违约终止合同：未按合同要求提供服务或不能满足技术要求，甲方会同监督机构有权终止合同，对乙方违约行为进行追究，同时按政府采购法的有关规定进行相应的处罚。</w:t>
      </w:r>
    </w:p>
    <w:p w14:paraId="117C4776">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bookmarkStart w:id="0" w:name="_Toc3479854"/>
      <w:r>
        <w:rPr>
          <w:rFonts w:hint="eastAsia" w:ascii="仿宋" w:hAnsi="仿宋" w:eastAsia="仿宋" w:cs="仿宋"/>
          <w:b/>
          <w:bCs w:val="0"/>
          <w:sz w:val="20"/>
          <w:szCs w:val="20"/>
          <w:lang w:val="en-US" w:eastAsia="zh-CN"/>
        </w:rPr>
        <w:t>九、合同组成</w:t>
      </w:r>
      <w:bookmarkEnd w:id="0"/>
    </w:p>
    <w:p w14:paraId="3D4D206A">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bCs/>
          <w:sz w:val="20"/>
          <w:szCs w:val="20"/>
        </w:rPr>
        <w:t>成交通知书、合同文件、竞争性磋商文件、磋商响应文件、国家相关规范及标准等</w:t>
      </w:r>
    </w:p>
    <w:p w14:paraId="00022BD9">
      <w:pPr>
        <w:keepNext w:val="0"/>
        <w:keepLines w:val="0"/>
        <w:pageBreakBefore w:val="0"/>
        <w:kinsoku/>
        <w:wordWrap/>
        <w:overflowPunct/>
        <w:topLinePunct w:val="0"/>
        <w:autoSpaceDE w:val="0"/>
        <w:autoSpaceDN w:val="0"/>
        <w:bidi w:val="0"/>
        <w:adjustRightInd w:val="0"/>
        <w:snapToGrid w:val="0"/>
        <w:spacing w:line="360" w:lineRule="auto"/>
        <w:ind w:firstLine="402" w:firstLineChars="200"/>
        <w:textAlignment w:val="auto"/>
        <w:rPr>
          <w:rFonts w:hint="eastAsia" w:ascii="仿宋" w:hAnsi="仿宋" w:eastAsia="仿宋" w:cs="仿宋"/>
          <w:b/>
          <w:bCs w:val="0"/>
          <w:sz w:val="20"/>
          <w:szCs w:val="20"/>
          <w:lang w:val="en-US" w:eastAsia="zh-CN"/>
        </w:rPr>
      </w:pPr>
      <w:bookmarkStart w:id="1" w:name="_Toc3479855"/>
      <w:r>
        <w:rPr>
          <w:rFonts w:hint="eastAsia" w:ascii="仿宋" w:hAnsi="仿宋" w:eastAsia="仿宋" w:cs="仿宋"/>
          <w:b/>
          <w:bCs w:val="0"/>
          <w:sz w:val="20"/>
          <w:szCs w:val="20"/>
          <w:lang w:val="en-US" w:eastAsia="zh-CN"/>
        </w:rPr>
        <w:t>十、解决争议的方法</w:t>
      </w:r>
      <w:bookmarkEnd w:id="1"/>
    </w:p>
    <w:p w14:paraId="33268BAD">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凡因本合同引起的或与本合同有关的争议，双方应友好协商解决。协商不成时，双方均同意采用以下第（  ）种争议解决方式：</w:t>
      </w:r>
    </w:p>
    <w:p w14:paraId="6FEAE707">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（1）甲、乙双方均同意向（甲方所在地人民法院）提起诉讼。</w:t>
      </w:r>
    </w:p>
    <w:p w14:paraId="216D68AC">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（2）甲、乙双方均同意向（</w:t>
      </w:r>
      <w:r>
        <w:rPr>
          <w:rFonts w:hint="eastAsia" w:ascii="仿宋" w:hAnsi="仿宋" w:eastAsia="仿宋" w:cs="仿宋"/>
          <w:color w:val="auto"/>
          <w:sz w:val="20"/>
          <w:szCs w:val="20"/>
          <w:highlight w:val="none"/>
          <w:lang w:val="en-US" w:eastAsia="zh-CN"/>
        </w:rPr>
        <w:fldChar w:fldCharType="begin"/>
      </w:r>
      <w:r>
        <w:rPr>
          <w:rFonts w:hint="eastAsia" w:ascii="仿宋" w:hAnsi="仿宋" w:eastAsia="仿宋" w:cs="仿宋"/>
          <w:color w:val="auto"/>
          <w:sz w:val="20"/>
          <w:szCs w:val="20"/>
          <w:highlight w:val="none"/>
          <w:lang w:val="en-US" w:eastAsia="zh-CN"/>
        </w:rPr>
        <w:instrText xml:space="preserve"> HYPERLINK "http://www.baidu.com/s?wd=%E4%BB%B2%E8%A3%81%E5%A7%94%E5%91%98%E4%BC%9A&amp;tn=SE_PcZhidaonwhc_ngpagmjz&amp;rsv_dl=gh_pc_zhidao" \t "_blank" </w:instrText>
      </w:r>
      <w:r>
        <w:rPr>
          <w:rFonts w:hint="eastAsia" w:ascii="仿宋" w:hAnsi="仿宋" w:eastAsia="仿宋" w:cs="仿宋"/>
          <w:color w:val="auto"/>
          <w:sz w:val="20"/>
          <w:szCs w:val="20"/>
          <w:highlight w:val="none"/>
          <w:lang w:val="en-US" w:eastAsia="zh-CN"/>
        </w:rPr>
        <w:fldChar w:fldCharType="separate"/>
      </w:r>
      <w:r>
        <w:rPr>
          <w:rFonts w:hint="eastAsia" w:ascii="仿宋" w:hAnsi="仿宋" w:eastAsia="仿宋" w:cs="仿宋"/>
          <w:color w:val="auto"/>
          <w:sz w:val="20"/>
          <w:szCs w:val="20"/>
          <w:highlight w:val="none"/>
          <w:lang w:val="en-US" w:eastAsia="zh-CN"/>
        </w:rPr>
        <w:t>仲裁委员会</w:t>
      </w:r>
      <w:r>
        <w:rPr>
          <w:rFonts w:hint="eastAsia" w:ascii="仿宋" w:hAnsi="仿宋" w:eastAsia="仿宋" w:cs="仿宋"/>
          <w:color w:val="auto"/>
          <w:sz w:val="20"/>
          <w:szCs w:val="20"/>
          <w:highlight w:val="none"/>
          <w:lang w:val="en-US" w:eastAsia="zh-CN"/>
        </w:rPr>
        <w:fldChar w:fldCharType="end"/>
      </w:r>
      <w:r>
        <w:rPr>
          <w:rFonts w:hint="eastAsia" w:ascii="仿宋" w:hAnsi="仿宋" w:eastAsia="仿宋" w:cs="仿宋"/>
          <w:color w:val="auto"/>
          <w:sz w:val="20"/>
          <w:szCs w:val="20"/>
          <w:highlight w:val="none"/>
          <w:lang w:val="en-US" w:eastAsia="zh-CN"/>
        </w:rPr>
        <w:t>）提起仲裁。</w:t>
      </w:r>
    </w:p>
    <w:p w14:paraId="718466AE">
      <w:pPr>
        <w:spacing w:line="360" w:lineRule="auto"/>
        <w:ind w:firstLine="400" w:firstLineChars="200"/>
        <w:rPr>
          <w:rFonts w:hint="eastAsia" w:ascii="仿宋" w:hAnsi="仿宋" w:eastAsia="仿宋" w:cs="仿宋"/>
          <w:color w:val="auto"/>
          <w:sz w:val="20"/>
          <w:szCs w:val="20"/>
          <w:highlight w:val="none"/>
          <w:lang w:val="en-US" w:eastAsia="zh-CN"/>
        </w:rPr>
      </w:pPr>
      <w:bookmarkStart w:id="2" w:name="_Toc3479856"/>
      <w:r>
        <w:rPr>
          <w:rFonts w:hint="eastAsia" w:ascii="仿宋" w:hAnsi="仿宋" w:eastAsia="仿宋" w:cs="仿宋"/>
          <w:color w:val="auto"/>
          <w:sz w:val="20"/>
          <w:szCs w:val="20"/>
          <w:highlight w:val="none"/>
          <w:lang w:val="en-US" w:eastAsia="zh-CN"/>
        </w:rPr>
        <w:t>九、合同生效及其它</w:t>
      </w:r>
      <w:bookmarkEnd w:id="2"/>
    </w:p>
    <w:p w14:paraId="3E20390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1、合同未尽事宜、由甲、乙双方协商，作为合同补充，与原合同具有同等法律效力。</w:t>
      </w:r>
    </w:p>
    <w:p w14:paraId="0C88BC7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2、本合同正本一式</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份，甲方执</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份，乙方执</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份，备案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份。</w:t>
      </w:r>
    </w:p>
    <w:p w14:paraId="0B99A318">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3、合同经甲乙双方盖章、签字后生效，合同签订地点为</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w:t>
      </w:r>
    </w:p>
    <w:p w14:paraId="1BF67326">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4、生效时间：   年  月  日</w:t>
      </w:r>
    </w:p>
    <w:tbl>
      <w:tblPr>
        <w:tblStyle w:val="8"/>
        <w:tblW w:w="8882" w:type="dxa"/>
        <w:jc w:val="center"/>
        <w:tblLayout w:type="fixed"/>
        <w:tblCellMar>
          <w:top w:w="0" w:type="dxa"/>
          <w:left w:w="108" w:type="dxa"/>
          <w:bottom w:w="0" w:type="dxa"/>
          <w:right w:w="108" w:type="dxa"/>
        </w:tblCellMar>
      </w:tblPr>
      <w:tblGrid>
        <w:gridCol w:w="4192"/>
        <w:gridCol w:w="4690"/>
      </w:tblGrid>
      <w:tr w14:paraId="0BC3BF80">
        <w:tblPrEx>
          <w:tblCellMar>
            <w:top w:w="0" w:type="dxa"/>
            <w:left w:w="108" w:type="dxa"/>
            <w:bottom w:w="0" w:type="dxa"/>
            <w:right w:w="108" w:type="dxa"/>
          </w:tblCellMar>
        </w:tblPrEx>
        <w:trPr>
          <w:trHeight w:val="2855" w:hRule="atLeast"/>
          <w:jc w:val="center"/>
        </w:trPr>
        <w:tc>
          <w:tcPr>
            <w:tcW w:w="4192" w:type="dxa"/>
            <w:noWrap w:val="0"/>
            <w:vAlign w:val="top"/>
          </w:tcPr>
          <w:p w14:paraId="645946AE">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甲方名称</w:t>
            </w:r>
            <w:r>
              <w:rPr>
                <w:rFonts w:hint="eastAsia" w:ascii="仿宋" w:hAnsi="仿宋" w:eastAsia="仿宋" w:cs="仿宋"/>
                <w:color w:val="auto"/>
                <w:spacing w:val="-20"/>
                <w:kern w:val="0"/>
                <w:sz w:val="20"/>
                <w:szCs w:val="20"/>
                <w:highlight w:val="none"/>
              </w:rPr>
              <w:t>（盖章）</w:t>
            </w:r>
            <w:r>
              <w:rPr>
                <w:rFonts w:hint="eastAsia" w:ascii="仿宋" w:hAnsi="仿宋" w:eastAsia="仿宋" w:cs="仿宋"/>
                <w:color w:val="auto"/>
                <w:kern w:val="0"/>
                <w:sz w:val="20"/>
                <w:szCs w:val="20"/>
                <w:highlight w:val="none"/>
                <w:lang w:eastAsia="zh-CN"/>
              </w:rPr>
              <w:t>：</w:t>
            </w:r>
          </w:p>
          <w:p w14:paraId="37A4F569">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地址：</w:t>
            </w:r>
          </w:p>
          <w:p w14:paraId="28F2769C">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代表人（签字）：</w:t>
            </w:r>
          </w:p>
          <w:p w14:paraId="7CA597F7">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电话：</w:t>
            </w:r>
          </w:p>
          <w:p w14:paraId="39B3B5E5">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开户银行：</w:t>
            </w:r>
          </w:p>
          <w:p w14:paraId="3CE0CD06">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账号：</w:t>
            </w:r>
          </w:p>
        </w:tc>
        <w:tc>
          <w:tcPr>
            <w:tcW w:w="4690" w:type="dxa"/>
            <w:noWrap w:val="0"/>
            <w:vAlign w:val="top"/>
          </w:tcPr>
          <w:p w14:paraId="24ED0698">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rPr>
              <w:t>乙方名称</w:t>
            </w:r>
            <w:r>
              <w:rPr>
                <w:rFonts w:hint="eastAsia" w:ascii="仿宋" w:hAnsi="仿宋" w:eastAsia="仿宋" w:cs="仿宋"/>
                <w:color w:val="auto"/>
                <w:spacing w:val="-20"/>
                <w:kern w:val="0"/>
                <w:sz w:val="20"/>
                <w:szCs w:val="20"/>
                <w:highlight w:val="none"/>
              </w:rPr>
              <w:t>（盖章）</w:t>
            </w:r>
            <w:r>
              <w:rPr>
                <w:rFonts w:hint="eastAsia" w:ascii="仿宋" w:hAnsi="仿宋" w:eastAsia="仿宋" w:cs="仿宋"/>
                <w:color w:val="auto"/>
                <w:spacing w:val="-20"/>
                <w:kern w:val="0"/>
                <w:sz w:val="20"/>
                <w:szCs w:val="20"/>
                <w:highlight w:val="none"/>
                <w:lang w:eastAsia="zh-CN"/>
              </w:rPr>
              <w:t>：</w:t>
            </w:r>
          </w:p>
          <w:p w14:paraId="35241F42">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地址：</w:t>
            </w:r>
          </w:p>
          <w:p w14:paraId="0B9C3AD1">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代表人（签字）：</w:t>
            </w:r>
          </w:p>
          <w:p w14:paraId="7096A7A5">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电话：</w:t>
            </w:r>
          </w:p>
          <w:p w14:paraId="20AF0BBD">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开户银行：</w:t>
            </w:r>
          </w:p>
          <w:p w14:paraId="4693AAF9">
            <w:pPr>
              <w:widowControl/>
              <w:autoSpaceDE w:val="0"/>
              <w:autoSpaceDN w:val="0"/>
              <w:snapToGrid w:val="0"/>
              <w:spacing w:line="360" w:lineRule="auto"/>
              <w:ind w:right="-154"/>
              <w:textAlignment w:val="bottom"/>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账号：</w:t>
            </w:r>
          </w:p>
        </w:tc>
      </w:tr>
    </w:tbl>
    <w:p w14:paraId="42D3BDFA">
      <w:pPr>
        <w:pStyle w:val="16"/>
        <w:spacing w:line="360" w:lineRule="auto"/>
        <w:rPr>
          <w:rFonts w:hint="eastAsia" w:ascii="仿宋" w:hAnsi="仿宋" w:eastAsia="仿宋" w:cs="仿宋"/>
          <w:sz w:val="20"/>
          <w:szCs w:val="20"/>
          <w:lang w:val="en-US" w:eastAsia="zh-Hans"/>
        </w:rPr>
      </w:pPr>
    </w:p>
    <w:p w14:paraId="051629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55177A"/>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BD12DCA"/>
    <w:rsid w:val="1C382B5F"/>
    <w:rsid w:val="1CB93D9D"/>
    <w:rsid w:val="1D48524C"/>
    <w:rsid w:val="1D840B24"/>
    <w:rsid w:val="1ECD5B85"/>
    <w:rsid w:val="21CF61DE"/>
    <w:rsid w:val="22B43433"/>
    <w:rsid w:val="22F664C5"/>
    <w:rsid w:val="24A00C56"/>
    <w:rsid w:val="24CA4BBB"/>
    <w:rsid w:val="25273966"/>
    <w:rsid w:val="257E4A9D"/>
    <w:rsid w:val="25E32F85"/>
    <w:rsid w:val="261A74C7"/>
    <w:rsid w:val="26603F1B"/>
    <w:rsid w:val="27C120C7"/>
    <w:rsid w:val="283050FB"/>
    <w:rsid w:val="28F04CA6"/>
    <w:rsid w:val="293F0948"/>
    <w:rsid w:val="2975156E"/>
    <w:rsid w:val="2C1D0BC2"/>
    <w:rsid w:val="2CD87928"/>
    <w:rsid w:val="2D665C1C"/>
    <w:rsid w:val="2D7C41E1"/>
    <w:rsid w:val="2DD80BA8"/>
    <w:rsid w:val="2DE17B90"/>
    <w:rsid w:val="2E071D1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7A005BF"/>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6F557B1F"/>
    <w:rsid w:val="704260BE"/>
    <w:rsid w:val="709231C5"/>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 w:val="7E551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autoRedefine/>
    <w:qFormat/>
    <w:uiPriority w:val="0"/>
    <w:pPr>
      <w:keepNext/>
      <w:keepLines/>
      <w:spacing w:before="120" w:beforeLines="0" w:after="120" w:afterLines="0" w:line="360" w:lineRule="auto"/>
      <w:jc w:val="center"/>
      <w:outlineLvl w:val="0"/>
    </w:pPr>
    <w:rPr>
      <w:rFonts w:ascii="Times New Roman" w:hAnsi="Times New Roman" w:eastAsia="宋体" w:cs="Times New Roman"/>
      <w:b/>
      <w:bCs/>
      <w:kern w:val="44"/>
      <w:sz w:val="30"/>
      <w:szCs w:val="44"/>
      <w:lang w:eastAsia="zh-CN"/>
    </w:rPr>
  </w:style>
  <w:style w:type="paragraph" w:styleId="3">
    <w:name w:val="heading 2"/>
    <w:basedOn w:val="1"/>
    <w:next w:val="1"/>
    <w:link w:val="12"/>
    <w:autoRedefine/>
    <w:semiHidden/>
    <w:unhideWhenUsed/>
    <w:qFormat/>
    <w:uiPriority w:val="0"/>
    <w:pPr>
      <w:keepNext/>
      <w:widowControl w:val="0"/>
      <w:spacing w:line="720" w:lineRule="exact"/>
      <w:jc w:val="left"/>
      <w:outlineLvl w:val="1"/>
    </w:pPr>
    <w:rPr>
      <w:rFonts w:ascii="黑体" w:hAnsi="黑体" w:eastAsia="宋体" w:cs="Times New Roman"/>
      <w:b/>
      <w:kern w:val="2"/>
      <w:sz w:val="28"/>
      <w:szCs w:val="24"/>
      <w:lang w:eastAsia="zh-CN"/>
    </w:rPr>
  </w:style>
  <w:style w:type="paragraph" w:styleId="4">
    <w:name w:val="heading 3"/>
    <w:basedOn w:val="3"/>
    <w:next w:val="1"/>
    <w:link w:val="13"/>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Cs/>
      <w:kern w:val="0"/>
      <w:sz w:val="30"/>
      <w:szCs w:val="27"/>
      <w:lang w:bidi="ar"/>
    </w:rPr>
  </w:style>
  <w:style w:type="paragraph" w:styleId="5">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9">
    <w:name w:val="Default Paragraph Font"/>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customStyle="1" w:styleId="11">
    <w:name w:val="标题 1 Char"/>
    <w:basedOn w:val="9"/>
    <w:link w:val="2"/>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2">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3">
    <w:name w:val="标题 3 Char"/>
    <w:link w:val="4"/>
    <w:autoRedefine/>
    <w:qFormat/>
    <w:uiPriority w:val="0"/>
    <w:rPr>
      <w:rFonts w:ascii="宋体" w:hAnsi="宋体" w:eastAsia="宋体" w:cs="宋体"/>
      <w:b/>
      <w:kern w:val="2"/>
      <w:sz w:val="30"/>
      <w:szCs w:val="28"/>
      <w:lang w:val="en-US" w:eastAsia="zh-CN" w:bidi="ar-SA"/>
    </w:rPr>
  </w:style>
  <w:style w:type="paragraph" w:customStyle="1" w:styleId="14">
    <w:name w:val="Heading #3|1"/>
    <w:basedOn w:val="1"/>
    <w:link w:val="15"/>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5">
    <w:name w:val="Heading #3|1_"/>
    <w:basedOn w:val="9"/>
    <w:link w:val="14"/>
    <w:qFormat/>
    <w:uiPriority w:val="0"/>
    <w:rPr>
      <w:rFonts w:ascii="宋体" w:hAnsi="宋体" w:eastAsia="宋体" w:cs="宋体"/>
      <w:sz w:val="32"/>
      <w:szCs w:val="32"/>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2706</Words>
  <Characters>2738</Characters>
  <Lines>0</Lines>
  <Paragraphs>0</Paragraphs>
  <TotalTime>9</TotalTime>
  <ScaleCrop>false</ScaleCrop>
  <LinksUpToDate>false</LinksUpToDate>
  <CharactersWithSpaces>2810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2025-12-11T09:45:00Z</dcterms:created>
  <dc:creator>Lucalulu</dc:creator>
  <cp:lastModifiedBy>王天鹏</cp:lastModifiedBy>
  <dcterms:modified xsi:type="dcterms:W3CDTF">2025-12-26T01:23:56Z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83660E1191D848BF9BDFA9CD0A89D463_13</vt:lpwstr>
  </property>
  <property fmtid="{D5CDD505-2E9C-101B-9397-08002B2CF9AE}" pid="4" name="KSOTemplateDocerSaveRecord">
    <vt:lpwstr>eyJoZGlkIjoiNDVlODY3YTM5NjFkMjIwNDJhN2YwYWMzODRmOWMyMDMiLCJ1c2VySWQiOiIzOTg2MDAyMTkifQ==</vt:lpwstr>
  </property>
</Properties>
</file>