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版本号：THXZB2025-108620251226001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细柳街道三角村农村生活污水治理项目(二次)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THXZB2025-1086</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细柳街道三角村农村生活污水治理项目(二次)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细柳街道三角村农村生活污水治理项目(二次)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细柳街道三角村位于细柳街道辖区南侧，村内地理情况分为南北两个自然村，常住人口有394户，其中不乏周边工地流动人口，本次采用分散式污水处理方式及大规模集中处理相结合的方式，结合资源化利用，并在主街道实施规模化管网设计，就近排放至市政管网，本次项目改造治理覆盖约350户左右。（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2、法定代表人授权书：法定代表人直接磋商须提交法定代表人证明书，法定代表人授权代表参加磋商的，须出具授权书、授权代表本单位的证明（授权代表提供有效的近三个月社保缴纳证明）， 供应商需在项目电子化交易系统中按要求填写并进行电子签章；</w:t>
      </w:r>
    </w:p>
    <w:p>
      <w:pPr>
        <w:pStyle w:val="null3"/>
      </w:pPr>
      <w:r>
        <w:rPr>
          <w:rFonts w:ascii="仿宋_GB2312" w:hAnsi="仿宋_GB2312" w:cs="仿宋_GB2312" w:eastAsia="仿宋_GB2312"/>
        </w:rPr>
        <w:t>3、公司资质要求：具备建设行政主管部门颁发的市政公用工程施工总承包三级及以上资质，同时具有合格有效的安全生产许可证，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4、项目经理要求：拟派项目经理须具有市政公用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029-85912310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采购包1：2,738,097.05元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代理服务费收费标准：参照国家发展和改革委员会《招标代理服务收费暂行办法》（计价格[2002]1980号）和国家发展改革委（发改价格[2003]857号）文件规定计取，以成交金额作为基数，差额累进法进行计算。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2,738,097.05</w:t>
      </w:r>
    </w:p>
    <w:p>
      <w:pPr>
        <w:pStyle w:val="null3"/>
      </w:pPr>
      <w:r>
        <w:rPr>
          <w:rFonts w:ascii="仿宋_GB2312" w:hAnsi="仿宋_GB2312" w:cs="仿宋_GB2312" w:eastAsia="仿宋_GB2312"/>
        </w:rPr>
        <w:t>采购包最高限价（元）: 2,738,097.05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采购金额2738097.05元</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2,738,097.05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标的名称：采购金额2738097.05元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1、工程名称：细柳街道三角村农村生活污水治理项目 2、预算金额：2738097.05元 招标最高限价：2738097.05元 3、工程地点：细柳街道三角村 4、工程内容：细柳街道三角村位于细柳街道辖区南侧，村内地理情况分为南北两个自然村，常住人口有394户，其中不乏周边工地流动人口，本次采用分散式污水处理方式及大规模集中处理相结合的方式，结合资源化利用，并在主街道实施规模化管网设计，就近排放至市政管网，本次项目改造治理覆盖约350户左右。（具体详见工程量清单及图纸）。二、工期要求：施工合同签订之日起40个日历天内完成。三、工程质量要求：按国家有关验收规范和验评标准，工程质量达到合格标准。 四、施工要求 1、严格执行国家现行规范、标准，严格按照设计要求组织施工。2、明确职责，严格岗位责任，齐心协力做好工作，确保工程按计划行。3、加强管理，确保施工中的人员安全。五、付款方式：1、付款方式：待工程全部完工由发包人验收合格确认并进行财政评审后，支付至合同暂定总价的97％，剩余3％做为工程质保金。施工结束后一年，经验收无质量问题后进行拨付。2、本工程无预付款。六、其他说明事宜：1、本项目属性为：工程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3、成交供应商需在领取中标通知书时提供纸质响应文件正本壹份、副本贰份、电子版壹份（U盘壹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公司资质要求</w:t>
            </w:r>
          </w:p>
        </w:tc>
        <w:tc>
          <w:tcPr>
            <w:tcW w:type="dxa" w:w="3322"/>
          </w:tcPr>
          <w:p>
            <w:pPr>
              <w:pStyle w:val="null3"/>
            </w:pPr>
            <w:r>
              <w:rPr>
                <w:rFonts w:ascii="仿宋_GB2312" w:hAnsi="仿宋_GB2312" w:cs="仿宋_GB2312" w:eastAsia="仿宋_GB2312"/>
              </w:rPr>
              <w:t>具备建设行政主管部门颁发的市政公用工程施工总承包三级及以上资质，同时具有合格有效的安全生产许可证，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市政公用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磋商响应文件中项目名称、项目编号、包号与本项目一致，无遗漏</w:t>
            </w:r>
          </w:p>
        </w:tc>
        <w:tc>
          <w:tcPr>
            <w:tcW w:type="dxa" w:w="3322"/>
          </w:tcPr>
          <w:p>
            <w:pPr>
              <w:pStyle w:val="null3"/>
            </w:pPr>
            <w:r>
              <w:rPr>
                <w:rFonts w:ascii="仿宋_GB2312" w:hAnsi="仿宋_GB2312" w:cs="仿宋_GB2312" w:eastAsia="仿宋_GB2312"/>
              </w:rPr>
              <w:t>磋商响应文件中项目名称、项目编号、包号与本项目一致，无遗漏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磋商报价未超出采购预算或采购最高限价的</w:t>
            </w:r>
          </w:p>
        </w:tc>
        <w:tc>
          <w:tcPr>
            <w:tcW w:type="dxa" w:w="3322"/>
          </w:tcPr>
          <w:p>
            <w:pPr>
              <w:pStyle w:val="null3"/>
            </w:pPr>
            <w:r>
              <w:rPr>
                <w:rFonts w:ascii="仿宋_GB2312" w:hAnsi="仿宋_GB2312" w:cs="仿宋_GB2312" w:eastAsia="仿宋_GB2312"/>
              </w:rPr>
              <w:t>磋商报价未超出采购预算或采购最高限价的</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供应商承诺书.docx 强制优先采购产品承诺函 响应文件封面 项目管理机构组成表 残疾人福利性单位声明函 报价函 技术标响应方案.docx 标的清单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1.施工总体方案</w:t>
            </w:r>
          </w:p>
        </w:tc>
        <w:tc>
          <w:tcPr>
            <w:tcW w:type="dxa" w:w="2492"/>
          </w:tcPr>
          <w:p>
            <w:pPr>
              <w:pStyle w:val="null3"/>
            </w:pPr>
            <w:r>
              <w:rPr>
                <w:rFonts w:ascii="仿宋_GB2312" w:hAnsi="仿宋_GB2312" w:cs="仿宋_GB2312" w:eastAsia="仿宋_GB2312"/>
              </w:rPr>
              <w:t>总体方案内容至少包括①施工准备；②施工进度安排;③施工方法；④重点难点工程分析及解决措施； ⑤影响正常施工外在因素分析及对应预案等。 以上内容专门针对本项目且阐述明晰、全面、合理得 10 分，每缺一项内容扣 2 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2.工程质量的技术组织措施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 工作流程；②工程质量保障方案；③工程质量控制体系； ④材料和构配件的质量控制等；⑤施工检测及工序交验方案等。 以上内容专门针对本项目且阐述明晰、全面、合理 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3.安全生产技术组织措施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 理制度；②配置安全组织机构；③安全隐患排查、整改制度；④应急救援机制等。 以上内容专门针对本项目且阐述明晰、全面、合理 得10分，每缺一项内容扣 2 .5分，若上述内容存在瑕疵，每出存在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4.文明施工及环境保护组织措施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 ②防尘降噪措施； ③节能减排措施； ④文明及环境保护施工监督检查机制等。 以上内容专门针对本项目且阐述明晰、全面、合理得 10分，每缺一项内容扣 2 .5分，若上述内容存在瑕疵，每存在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5.施工组织和项目管理机构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 机构图;②岗位安排及职责（配备施工员、安全员、资料 员、材料员、质量员）；③管理制度；④相应的协调措 施等。 以上内容专门针对本项目且阐述明晰、全面、合理 得 10 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6.施工部署与进度计划</w:t>
            </w:r>
          </w:p>
        </w:tc>
        <w:tc>
          <w:tcPr>
            <w:tcW w:type="dxa" w:w="2492"/>
          </w:tcPr>
          <w:p>
            <w:pPr>
              <w:pStyle w:val="null3"/>
            </w:pPr>
            <w:r>
              <w:rPr>
                <w:rFonts w:ascii="仿宋_GB2312" w:hAnsi="仿宋_GB2312" w:cs="仿宋_GB2312" w:eastAsia="仿宋_GB2312"/>
              </w:rPr>
              <w:t>施工部署与进度计划内容至少包括①施工总平面布 置； ②进度安排计划； ③工期目标控制和保证措施； ④ 材料供应措施； ⑤成品、半成品保护监管措施等。 以上内容专门针对本项目且阐述明晰、全面、合理 得 5分，每缺一项内容扣 1分，若上述内容存在瑕疵， 每存在 1 处瑕疵扣 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7.施工机械配置 和材料投入计划</w:t>
            </w:r>
          </w:p>
        </w:tc>
        <w:tc>
          <w:tcPr>
            <w:tcW w:type="dxa" w:w="2492"/>
          </w:tcPr>
          <w:p>
            <w:pPr>
              <w:pStyle w:val="null3"/>
            </w:pPr>
            <w:r>
              <w:rPr>
                <w:rFonts w:ascii="仿宋_GB2312" w:hAnsi="仿宋_GB2312" w:cs="仿宋_GB2312" w:eastAsia="仿宋_GB2312"/>
              </w:rPr>
              <w:t>施工机械配置和材料投入计划内容至少包括①施工 机械配置计划； ②施工材料投入计划； ③施工机械的维 护保养和材料的贮存； ④施工机械、材料的监督和检查等。 以上内容专门针对本项目且阐述明晰、全面、合理 得 10分，每缺一项内容扣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提供近三年（2022年12月1日至今） 类似项目业绩，每提供一个类似项目业绩计2.5分，满分5分（以施工合同为准，时间以合同内时间为准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详见附件：项目经理无在建工程、无不良记录承诺书.docx</w:t>
      </w:r>
    </w:p>
    <w:p>
      <w:pPr>
        <w:pStyle w:val="null3"/>
        <w:ind w:firstLine="960"/>
      </w:pPr>
      <w:r>
        <w:rPr>
          <w:rFonts w:ascii="仿宋_GB2312" w:hAnsi="仿宋_GB2312" w:cs="仿宋_GB2312" w:eastAsia="仿宋_GB2312"/>
        </w:rPr>
        <w:t>详见附件：其他需满足的资格条款.docx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