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版本号：ZYJY-【2025】CS129920251229001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白沙路派出所修缮项目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ZYJY-【2025】CS1299</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白沙路派出所修缮项目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ZYJY-【2025】CS1299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白沙路派出所修缮项目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西安市公安局高新技术产业开发区分局白沙路派出所修缮项目，包含拆除工程、装饰装修工程、给排水工程、电气设备安装工程、通风空调工程等。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采购包1（西安市公安局高新技术产业开发区分局白沙路派出所修缮项目）：属于专门面向中小企业采购。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w:t>
      </w:r>
    </w:p>
    <w:p>
      <w:pPr>
        <w:pStyle w:val="null3"/>
      </w:pPr>
      <w:r>
        <w:rPr>
          <w:rFonts w:ascii="仿宋_GB2312" w:hAnsi="仿宋_GB2312" w:cs="仿宋_GB2312" w:eastAsia="仿宋_GB2312"/>
        </w:rPr>
        <w:t>3、信用记录：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pPr>
        <w:pStyle w:val="null3"/>
      </w:pPr>
      <w:r>
        <w:rPr>
          <w:rFonts w:ascii="仿宋_GB2312" w:hAnsi="仿宋_GB2312" w:cs="仿宋_GB2312" w:eastAsia="仿宋_GB2312"/>
        </w:rPr>
        <w:t>4、供应商资质：供应商须具备建筑工程施工总承包三级及以上资质证书或建筑装修装饰工程专业承包二级及以上资质，具有有效的安全生产许可证；</w:t>
      </w:r>
    </w:p>
    <w:p>
      <w:pPr>
        <w:pStyle w:val="null3"/>
      </w:pPr>
      <w:r>
        <w:rPr>
          <w:rFonts w:ascii="仿宋_GB2312" w:hAnsi="仿宋_GB2312" w:cs="仿宋_GB2312" w:eastAsia="仿宋_GB2312"/>
        </w:rPr>
        <w:t>5、拟派项目经理资格：拟派项目经理具有建筑工程专业二级及以上注册建造师执业资格，并具有合法有效的安全生产考核合格证（建安B证），须在本单位注册，无不良信用记录，且未担任其他在建工程项目的项目经理，提供无在建工程承诺书；</w:t>
      </w:r>
    </w:p>
    <w:p>
      <w:pPr>
        <w:pStyle w:val="null3"/>
      </w:pPr>
      <w:r>
        <w:rPr>
          <w:rFonts w:ascii="仿宋_GB2312" w:hAnsi="仿宋_GB2312" w:cs="仿宋_GB2312" w:eastAsia="仿宋_GB2312"/>
        </w:rPr>
        <w:t>6、建筑企业信息查询：供应商基本信息及项目经理的基本信息在“全国建筑市场监管公共服务平台”可查询；</w:t>
      </w:r>
    </w:p>
    <w:p>
      <w:pPr>
        <w:pStyle w:val="null3"/>
      </w:pPr>
      <w:r>
        <w:rPr>
          <w:rFonts w:ascii="仿宋_GB2312" w:hAnsi="仿宋_GB2312" w:cs="仿宋_GB2312" w:eastAsia="仿宋_GB2312"/>
        </w:rPr>
        <w:t>7、非联合体投标：本项目不接受联合体投标。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西安市高新区科技二路72号兰基中心10楼1003室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 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采购包1：3,376,362.84元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大便器、空调器、其他空调设备</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大便器、淋浴器、普通灯具、空调器、其他空调设备</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墙面涂料、防水涂料、水泥、混凝土、木质门带套、普通灯具、塑料管</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发展改革委关于进一步放开建设项目专业服务价格的通知》（发改价格（2015）299号）文件的要求，结合市场实际情况，以预算金额为基准，由中标（成交）供应商向陕西知源集易招标代理有限公司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3,376,362.84</w:t>
      </w:r>
    </w:p>
    <w:p>
      <w:pPr>
        <w:pStyle w:val="null3"/>
      </w:pPr>
      <w:r>
        <w:rPr>
          <w:rFonts w:ascii="仿宋_GB2312" w:hAnsi="仿宋_GB2312" w:cs="仿宋_GB2312" w:eastAsia="仿宋_GB2312"/>
        </w:rPr>
        <w:t>采购包最高限价（元）: 3,376,362.84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白沙路派出所修缮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3,376,362.84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标的名称：白沙路派出所修缮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FF"/>
              </w:rPr>
              <w:t>一、项目概况</w:t>
            </w:r>
          </w:p>
          <w:p>
            <w:pPr>
              <w:pStyle w:val="null3"/>
              <w:jc w:val="both"/>
            </w:pPr>
            <w:r>
              <w:rPr>
                <w:rFonts w:ascii="仿宋_GB2312" w:hAnsi="仿宋_GB2312" w:cs="仿宋_GB2312" w:eastAsia="仿宋_GB2312"/>
                <w:sz w:val="21"/>
                <w:color w:val="0000FF"/>
              </w:rPr>
              <w:t>（一）项目名称：白沙路派出所</w:t>
            </w:r>
            <w:r>
              <w:rPr>
                <w:rFonts w:ascii="仿宋_GB2312" w:hAnsi="仿宋_GB2312" w:cs="仿宋_GB2312" w:eastAsia="仿宋_GB2312"/>
                <w:sz w:val="21"/>
                <w:color w:val="0000FF"/>
              </w:rPr>
              <w:t>修缮</w:t>
            </w:r>
            <w:r>
              <w:rPr>
                <w:rFonts w:ascii="仿宋_GB2312" w:hAnsi="仿宋_GB2312" w:cs="仿宋_GB2312" w:eastAsia="仿宋_GB2312"/>
                <w:sz w:val="21"/>
                <w:color w:val="0000FF"/>
              </w:rPr>
              <w:t>项目。</w:t>
            </w:r>
          </w:p>
          <w:p>
            <w:pPr>
              <w:pStyle w:val="null3"/>
              <w:jc w:val="both"/>
            </w:pPr>
            <w:r>
              <w:rPr>
                <w:rFonts w:ascii="仿宋_GB2312" w:hAnsi="仿宋_GB2312" w:cs="仿宋_GB2312" w:eastAsia="仿宋_GB2312"/>
                <w:sz w:val="21"/>
                <w:color w:val="0000FF"/>
              </w:rPr>
              <w:t>（二）工期：自合同签订之日起</w:t>
            </w:r>
            <w:r>
              <w:rPr>
                <w:rFonts w:ascii="仿宋_GB2312" w:hAnsi="仿宋_GB2312" w:cs="仿宋_GB2312" w:eastAsia="仿宋_GB2312"/>
                <w:sz w:val="21"/>
                <w:color w:val="0000FF"/>
              </w:rPr>
              <w:t>55</w:t>
            </w:r>
            <w:r>
              <w:rPr>
                <w:rFonts w:ascii="仿宋_GB2312" w:hAnsi="仿宋_GB2312" w:cs="仿宋_GB2312" w:eastAsia="仿宋_GB2312"/>
                <w:sz w:val="21"/>
                <w:color w:val="0000FF"/>
              </w:rPr>
              <w:t>个日历日内完成。</w:t>
            </w:r>
          </w:p>
          <w:p>
            <w:pPr>
              <w:pStyle w:val="null3"/>
              <w:jc w:val="both"/>
            </w:pPr>
            <w:r>
              <w:rPr>
                <w:rFonts w:ascii="仿宋_GB2312" w:hAnsi="仿宋_GB2312" w:cs="仿宋_GB2312" w:eastAsia="仿宋_GB2312"/>
                <w:sz w:val="21"/>
                <w:color w:val="0000FF"/>
              </w:rPr>
              <w:t>（三）保修期：自竣工验收合格之日起贰年，防水工程保修五年。</w:t>
            </w:r>
          </w:p>
          <w:p>
            <w:pPr>
              <w:pStyle w:val="null3"/>
              <w:jc w:val="both"/>
            </w:pPr>
            <w:r>
              <w:rPr>
                <w:rFonts w:ascii="仿宋_GB2312" w:hAnsi="仿宋_GB2312" w:cs="仿宋_GB2312" w:eastAsia="仿宋_GB2312"/>
                <w:sz w:val="21"/>
                <w:color w:val="0000FF"/>
              </w:rPr>
              <w:t>（四）施工地点：采购人指定的地点。</w:t>
            </w:r>
          </w:p>
          <w:p>
            <w:pPr>
              <w:pStyle w:val="null3"/>
              <w:jc w:val="left"/>
            </w:pPr>
            <w:r>
              <w:rPr>
                <w:rFonts w:ascii="仿宋_GB2312" w:hAnsi="仿宋_GB2312" w:cs="仿宋_GB2312" w:eastAsia="仿宋_GB2312"/>
                <w:sz w:val="21"/>
                <w:color w:val="0000FF"/>
              </w:rPr>
              <w:t>（五）付款</w:t>
            </w:r>
            <w:r>
              <w:rPr>
                <w:rFonts w:ascii="仿宋_GB2312" w:hAnsi="仿宋_GB2312" w:cs="仿宋_GB2312" w:eastAsia="仿宋_GB2312"/>
                <w:sz w:val="21"/>
                <w:color w:val="0000FF"/>
              </w:rPr>
              <w:t>方式：</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1）本项目在合同签订后，14个工作日内支付合同总价款的30%预付款。</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2）装饰装修基础工程施工完成且验收合格后，14个工作日内支付合同总价款的40%。</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3）项目竣工并经验收合格后，达到付款条件起14个工作日内，支付合同总价款的20%；</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4）结算资料报齐且经审定后，甲方支付至审计价款的100% ，达到付款条件起14个工作日内，支付剩余工程款。</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六</w:t>
            </w:r>
            <w:r>
              <w:rPr>
                <w:rFonts w:ascii="仿宋_GB2312" w:hAnsi="仿宋_GB2312" w:cs="仿宋_GB2312" w:eastAsia="仿宋_GB2312"/>
                <w:sz w:val="21"/>
                <w:color w:val="0000FF"/>
              </w:rPr>
              <w:t>）质量标准：符合国家现行有关施工质量验收规范</w:t>
            </w:r>
            <w:r>
              <w:rPr>
                <w:rFonts w:ascii="仿宋_GB2312" w:hAnsi="仿宋_GB2312" w:cs="仿宋_GB2312" w:eastAsia="仿宋_GB2312"/>
                <w:sz w:val="21"/>
                <w:color w:val="0000FF"/>
              </w:rPr>
              <w:t>“合格”要求。</w:t>
            </w:r>
          </w:p>
          <w:p>
            <w:pPr>
              <w:pStyle w:val="null3"/>
              <w:jc w:val="both"/>
            </w:pPr>
            <w:r>
              <w:rPr>
                <w:rFonts w:ascii="仿宋_GB2312" w:hAnsi="仿宋_GB2312" w:cs="仿宋_GB2312" w:eastAsia="仿宋_GB2312"/>
                <w:sz w:val="21"/>
                <w:color w:val="0000FF"/>
              </w:rPr>
              <w:t>二、工程取费依据：</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1）陕西省工程建设标准《建设工程工程量清单计价标准》DB61/T 5126-2025；</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2）陕西省工程建设标准《房屋建筑与装饰工程工程量计算标准》DB61/T 5129-2025、陕西省工程建设标准《通用安装工程工程量计算标准》DB61/T 5130-2025、陕西省工程建设标准《市政工程工程量计算标准》DB61/T 5128-2025、陕西省工程建设标准《园林绿化工程工程量计算标准》DB61/T 5131-2025；</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3）《陕西省建设工程费用规则》（2025）；</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4）《陕西省房屋建筑与装饰工程消耗量定额》（2025）、《陕西省通用安装工程消耗量定额》（2025）、《陕西省市政工程消耗量定额》（2025）、《陕西省园林绿化工程消耗量定额》(2025)；</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5）《陕西省房屋建筑与装饰工程基价表》(2025)、《陕西省通用安装工程基价表》(2025)、《陕西省市政工程基价表》(2025）、《陕西省园林绿化工程基价表》(2025)；</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6）《陕西省建设工程施工机械台班费用定额》（2025）、《陕西省建设工程施工仪器仪表台班费用定额》（2025）；</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7）税率依据：依据陕建发（2019）45号文件；安全文明措施：依据陕建发（2019）1246号文件；规费：依据陕建发（2020）1097号文件；养老保险：依据陕建发（2021）1021号文件；</w:t>
            </w:r>
          </w:p>
          <w:p>
            <w:pPr>
              <w:pStyle w:val="null3"/>
            </w:pPr>
            <w:r>
              <w:rPr>
                <w:rFonts w:ascii="仿宋_GB2312" w:hAnsi="仿宋_GB2312" w:cs="仿宋_GB2312" w:eastAsia="仿宋_GB2312"/>
                <w:sz w:val="21"/>
                <w:color w:val="0000FF"/>
              </w:rPr>
              <w:t>三、编制范围：采购人明确的全部工程内容，具体详见工程量清单。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按磋商文件、合同约定执行。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纸质版文件要求：成交供应商在领取成交通知书前，须向采购代理机构提供纸质版响应文件正本壹份，副本叁份，且提供的响应文件必须与在陕西省政府采购综合管理平台的项目电子化交易系统中递交的电子响应文件内容一致，纸质版响应文件必须装订成册签字盖章，并在书脊处标注项目名称和项目编号。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2024年度完整版的财务审计报告，成立时间至提交投标文件截止时间不足一年的可提供成立后任意时段的资产负债表；或投标时间前六个月内基本账户银行出具的资信证明或提供《基本资格条件承诺函》；2.税收缴纳证明：提供投标截止之日前六个月内任意一个月的的缴纳凭据（任意税种，依法免税的单位应提供相关证明材料）或提供《基本资格条件承诺函》；3.社会保障资金缴纳证明：提供投标截止之日前六个月内任意一个月的社会保障资金缴存单据或社保机构开具的社会保险参保缴费情况证明（依法不需要缴纳社会保障资金的供应商应提供相关证明）或提供《基本资格条件承诺函》；4.提供具有履行本合同所必需的设备和专业技术能力的承诺函（加盖供应商公章）或提供《基本资格条件承诺函》； 5.提供参加政府采购活动前三年内在经营活动中没有重大违法记录的书面声明（加盖供应商公章）或提供《基本资格条件承诺函》。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提供2024年度完整版的财务审计报告，成立时间至提交投标文件截止时间不足一年的可提供成立后任意时段的资产负债表；或投标时间前六个月内基本账户银行出具的资信证明或提供《基本资格条件承诺函》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供应商须具备建筑工程施工总承包三级及以上资质证书或建筑装修装饰工程专业承包二级及以上资质，具有有效的安全生产许可证；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具有建筑工程专业二级及以上注册建造师执业资格，并具有合法有效的安全生产考核合格证（建安B证），须在本单位注册，无不良信用记录，且未担任其他在建工程项目的项目经理，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建筑企业信息查询</w:t>
            </w:r>
          </w:p>
        </w:tc>
        <w:tc>
          <w:tcPr>
            <w:tcW w:type="dxa" w:w="3322"/>
          </w:tcPr>
          <w:p>
            <w:pPr>
              <w:pStyle w:val="null3"/>
            </w:pPr>
            <w:r>
              <w:rPr>
                <w:rFonts w:ascii="仿宋_GB2312" w:hAnsi="仿宋_GB2312" w:cs="仿宋_GB2312" w:eastAsia="仿宋_GB2312"/>
              </w:rPr>
              <w:t>供应商基本信息及项目经理的基本信息在“全国建筑市场监管公共服务平台”可查询；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报价函 技术、服务、商务要求应答表.docx 标的清单 承诺书.docx 响应函 强制优先采购产品承诺函 磋商方案.docx 业绩的有关证明材料.docx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商务要求是否满足实质性要求的（工期、付款方式等满足采购要求）。</w:t>
            </w:r>
          </w:p>
        </w:tc>
        <w:tc>
          <w:tcPr>
            <w:tcW w:type="dxa" w:w="1661"/>
          </w:tcPr>
          <w:p>
            <w:pPr>
              <w:pStyle w:val="null3"/>
            </w:pPr>
            <w:r>
              <w:rPr>
                <w:rFonts w:ascii="仿宋_GB2312" w:hAnsi="仿宋_GB2312" w:cs="仿宋_GB2312" w:eastAsia="仿宋_GB2312"/>
              </w:rPr>
              <w:t>响应文件封面 技术、服务、商务要求应答表.docx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1.磋商响应文件是否按照磋商文件要求的格式编写；2.响应文件内容是否符合国家法律法规。</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报价函 技术、服务、商务要求应答表.docx 标的清单 承诺书.docx 响应函 强制优先采购产品承诺函 磋商方案.docx 业绩的有关证明材料.docx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施工目标:成本目标、工期目标、质量目标②施工准备:技术准备、材料准备、机械准备、机具准备③施工平面布置与安排:现场围挡及出入口管理、交通组织安排、消防及道路安排等。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供应商针对本项目编制完善的施工进度计划，内容包含:①进度计划保证措施②施工进度计划横道图③工期保证措施等。 以上内容专门针对本项目且阐述明晰、全面、合理得4.5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供应商针对本项目编制完善的分部分项工程施工方案，内容包含:①工程重难点及解决措施②分部分项工程施工方法等。 以上内容专门针对本项目且阐述明晰、全面、合理得6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供应商针对本项目编制完善的质量保证措施，内容包含:①质量管理体系②确保质量的技术组织措施③施工质量控制措施等。 以上内容专门针对本项目且阐述明晰、全面、合理得4.5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供应商针对本项目编制完善的资源配置计划，内容包含:①劳动力资源配置②施工机械设备投入计划③主要施工材料供应计划等。 以上内容专门针对本项目且阐述明晰、全面、合理得4.5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供应商针对本项目编制完整的安全施工措施，内容包含:①安全生产管理制度②安全施工措施③安全应急预案④安全生产教育等。 以上内容专门针对本项目且阐述明晰、全面、合理得6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供应商针对本项目编制完整的文明施工措施，内容包含:①文明施工管理目标及技术措施②文明施工现场管理:材料管理、扰民措施。 以上内容专门针对本项目且阐述明晰、全面、合理得3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供应商针对本项目编制主要管理措施，内容包含:①成品保护措施②季节性施工措施③消防措施④环境保护措施等。 以上内容专门针对本项目且阐述明晰、全面、合理得6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结合本项目的实际，供应商应依据国家相关规定对工程质量编制保修方案，内容包含:①工程验收②维修措施③保修承诺等。 以上内容专门针对本项目且阐述明晰、全面、合理得4.5分，每缺一项内容扣1.5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项目团队管理人员</w:t>
            </w:r>
          </w:p>
        </w:tc>
        <w:tc>
          <w:tcPr>
            <w:tcW w:type="dxa" w:w="2492"/>
          </w:tcPr>
          <w:p>
            <w:pPr>
              <w:pStyle w:val="null3"/>
            </w:pPr>
            <w:r>
              <w:rPr>
                <w:rFonts w:ascii="仿宋_GB2312" w:hAnsi="仿宋_GB2312" w:cs="仿宋_GB2312" w:eastAsia="仿宋_GB2312"/>
              </w:rPr>
              <w:t>内容至少包括①项目管理机构图;②岗位安排及职责（项目副经理、技术负责人、合同商务负责人、专职安全生产管理人员、资料员、材料员、质量员等）;③管理制度;④相应的协调措施等。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针对实际需求，在保证完成本项目的基础上，对降低工程造价、缩短施工周期提供实质性承诺，每提供一条得1分，满分2分。不提供不得分。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提供2022年12月1日至今类似项目业绩(以合同签订日期为准)，每提供一份业绩计2分，满分10分。 赋分依据:需同提供合同关键页，不提供不得分。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满足磋商文件要求且最后报价最低的供应商的投标报价为评审基准价，其价格分为满分。其他供应商的价格分统一按照下列公式计算：投标报价得分=（评审基准价/最后报价）×价格权值×100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详见附件：技术、服务、商务要求应答表.docx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