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版本号：DS2025-CS-04120251203001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兴隆街道GX3-27-15地块（润之宸）文勘渣土内倒工程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DS2025-CS-041</w:t>
      </w:r>
      <w:r>
        <w:br/>
      </w:r>
      <w:r>
        <w:br/>
      </w:r>
      <w:r>
        <w:br/>
      </w:r>
    </w:p>
    <w:p>
      <w:pPr>
        <w:pStyle w:val="null3"/>
        <w:jc w:val="center"/>
        <w:outlineLvl w:val="2"/>
      </w:pPr>
      <w:r>
        <w:rPr>
          <w:rFonts w:ascii="仿宋_GB2312" w:hAnsi="仿宋_GB2312" w:cs="仿宋_GB2312" w:eastAsia="仿宋_GB2312"/>
          <w:sz w:val="28"/>
          <w:b/>
        </w:rPr>
        <w:t>西安市长安区兴隆街道办事处</w:t>
      </w:r>
    </w:p>
    <w:p>
      <w:pPr>
        <w:pStyle w:val="null3"/>
        <w:jc w:val="center"/>
        <w:outlineLvl w:val="2"/>
      </w:pPr>
      <w:r>
        <w:rPr>
          <w:rFonts w:ascii="仿宋_GB2312" w:hAnsi="仿宋_GB2312" w:cs="仿宋_GB2312" w:eastAsia="仿宋_GB2312"/>
          <w:sz w:val="28"/>
          <w:b/>
        </w:rPr>
        <w:t>陕西顶晟招标代理服务有限公司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陕西顶晟招标代理服务有限公司</w:t>
      </w:r>
      <w:r>
        <w:rPr>
          <w:rFonts w:ascii="仿宋_GB2312" w:hAnsi="仿宋_GB2312" w:cs="仿宋_GB2312" w:eastAsia="仿宋_GB2312"/>
        </w:rPr>
        <w:t>（以下简称“代理机构”）受</w:t>
      </w:r>
      <w:r>
        <w:rPr>
          <w:rFonts w:ascii="仿宋_GB2312" w:hAnsi="仿宋_GB2312" w:cs="仿宋_GB2312" w:eastAsia="仿宋_GB2312"/>
        </w:rPr>
        <w:t>西安市长安区兴隆街道办事处</w:t>
      </w:r>
      <w:r>
        <w:rPr>
          <w:rFonts w:ascii="仿宋_GB2312" w:hAnsi="仿宋_GB2312" w:cs="仿宋_GB2312" w:eastAsia="仿宋_GB2312"/>
        </w:rPr>
        <w:t>委托，拟对</w:t>
      </w:r>
      <w:r>
        <w:rPr>
          <w:rFonts w:ascii="仿宋_GB2312" w:hAnsi="仿宋_GB2312" w:cs="仿宋_GB2312" w:eastAsia="仿宋_GB2312"/>
        </w:rPr>
        <w:t>兴隆街道GX3-27-15地块（润之宸）文勘渣土内倒工程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DS2025-CS-041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兴隆街道GX3-27-15地块（润之宸）文勘渣土内倒工程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西安市高新区兴隆街道终南大道以南、堰渡大道以西。拟定采用挖掘机配合推土机、渣土车对场地内影响文勘作业的渣土垃圾进行开挖清理使场地达到文勘要求，完成文勘工作后，土方回填；包含但不限于绿网覆盖、治污减霾等措施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采购包1（兴隆街道GX3-27-15地块（润之宸）文勘渣土内倒工程）：属于专门面向中小企业采购。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1、法定代表人证明及法定代表人授权书：法定代表人直接参加磋商的提供法定代表人证明及其身份证；授权代表参与磋商的提供法定代表人授权书（附法定代表人及授权代表身份证）；非法人单位参照执行。</w:t>
      </w:r>
    </w:p>
    <w:p>
      <w:pPr>
        <w:pStyle w:val="null3"/>
      </w:pPr>
      <w:r>
        <w:rPr>
          <w:rFonts w:ascii="仿宋_GB2312" w:hAnsi="仿宋_GB2312" w:cs="仿宋_GB2312" w:eastAsia="仿宋_GB2312"/>
        </w:rPr>
        <w:t>2、企业资质：供应商具备建设行政主管部门颁发的建筑工程施工总承包三级及以上资质，同时具有合格有效的安全生产许可证。</w:t>
      </w:r>
    </w:p>
    <w:p>
      <w:pPr>
        <w:pStyle w:val="null3"/>
      </w:pPr>
      <w:r>
        <w:rPr>
          <w:rFonts w:ascii="仿宋_GB2312" w:hAnsi="仿宋_GB2312" w:cs="仿宋_GB2312" w:eastAsia="仿宋_GB2312"/>
        </w:rPr>
        <w:t>3、项目经理：拟派项目经理须具有建筑工程专业二级及以上注册建造师证书和有效的安全生产考核证书（B证）在本单位注册且无在建工程（提供无在建承诺）。</w:t>
      </w:r>
    </w:p>
    <w:p>
      <w:pPr>
        <w:pStyle w:val="null3"/>
      </w:pPr>
      <w:r>
        <w:rPr>
          <w:rFonts w:ascii="仿宋_GB2312" w:hAnsi="仿宋_GB2312" w:cs="仿宋_GB2312" w:eastAsia="仿宋_GB2312"/>
        </w:rPr>
        <w:t>4、信用要求：未被列入“信用中国”及“中国政府采购网”失信行为记录。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西安市长安区兴隆街道办事处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西安市高新区兴隆街道西太路与南横线交叉口西北角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陕西顶晟招标代理服务有限公司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陕西省西安市雁塔区科技西路2825号绿地鸿海大厦7幢20704室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17309277028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国家发展和改革委员会办公厅关于招标代理服务收费有关问题的通知》（发改办价格〔2003〕857号）及（发改办价格〔2011〕534号）规定工程类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西安市长安区兴隆街道办事处</w:t>
      </w:r>
      <w:r>
        <w:rPr>
          <w:rFonts w:ascii="仿宋_GB2312" w:hAnsi="仿宋_GB2312" w:cs="仿宋_GB2312" w:eastAsia="仿宋_GB2312"/>
        </w:rPr>
        <w:t>和</w:t>
      </w:r>
      <w:r>
        <w:rPr>
          <w:rFonts w:ascii="仿宋_GB2312" w:hAnsi="仿宋_GB2312" w:cs="仿宋_GB2312" w:eastAsia="仿宋_GB2312"/>
        </w:rPr>
        <w:t>陕西顶晟招标代理服务有限公司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西安市长安区兴隆街道办事处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陕西顶晟招标代理服务有限公司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西安市长安区兴隆街道办事处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陕西顶晟招标代理服务有限公司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工后，供应商向采购人提交验收申请。2）采购人收到验收申请后组织验收，验收时供应商应无条件予以配合并提供及移交项目所需的全部资料；若供应商不配合或者未在规定工期内完工的，采购人将拒绝验收。3）验收依据：磋商文件、响应文件、合同文本、国内相应的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陕西顶晟招标代理服务有限公司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陕西顶晟招标代理服务有限公司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陕西顶晟招标代理服务有限公司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联系电话：17309277028</w:t>
      </w:r>
    </w:p>
    <w:p>
      <w:pPr>
        <w:pStyle w:val="null3"/>
      </w:pPr>
      <w:r>
        <w:rPr>
          <w:rFonts w:ascii="仿宋_GB2312" w:hAnsi="仿宋_GB2312" w:cs="仿宋_GB2312" w:eastAsia="仿宋_GB2312"/>
        </w:rPr>
        <w:t>地址：陕西省西安市雁塔区科技西路2825号绿地鸿海大厦7幢20704</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660,750.00</w:t>
      </w:r>
    </w:p>
    <w:p>
      <w:pPr>
        <w:pStyle w:val="null3"/>
      </w:pPr>
      <w:r>
        <w:rPr>
          <w:rFonts w:ascii="仿宋_GB2312" w:hAnsi="仿宋_GB2312" w:cs="仿宋_GB2312" w:eastAsia="仿宋_GB2312"/>
        </w:rPr>
        <w:t>采购包最高限价（元）: 660,750.00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配合文勘工作，工地平整和清理</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660,750.00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标的名称：配合文勘工作，工地平整和清理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、工程情况：</w:t>
            </w:r>
          </w:p>
          <w:p>
            <w:pPr>
              <w:pStyle w:val="null3"/>
              <w:ind w:firstLine="480"/>
              <w:jc w:val="both"/>
            </w:pPr>
            <w:r>
              <w:rPr>
                <w:rFonts w:ascii="仿宋_GB2312" w:hAnsi="仿宋_GB2312" w:cs="仿宋_GB2312" w:eastAsia="仿宋_GB2312"/>
                <w:sz w:val="24"/>
              </w:rPr>
              <w:t>该项目位于西安市高新区兴隆街道终南大道以南、堰渡大道以西。因响应政府治污减霾要求，对施工现场环境整治和扬尘污染治理工作常抓不懈，故对本工程施工要求：符合现行《安全生产管理条例》的标准；符合西安市建筑工地创卫达标条件和高新区环卫部门要求。</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工程内容：</w:t>
            </w:r>
          </w:p>
          <w:p>
            <w:pPr>
              <w:pStyle w:val="null3"/>
              <w:ind w:firstLine="480"/>
              <w:jc w:val="both"/>
            </w:pPr>
            <w:r>
              <w:rPr>
                <w:rFonts w:ascii="仿宋_GB2312" w:hAnsi="仿宋_GB2312" w:cs="仿宋_GB2312" w:eastAsia="仿宋_GB2312"/>
                <w:sz w:val="24"/>
              </w:rPr>
              <w:t>拟定采用挖掘机配合推土机、渣土车对场地内影响文勘作业的渣土垃圾进行开挖清理使场地达到文勘要求，完成文勘工作后，土方回填；包含但不限于绿网覆盖、治污减霾等措施要求。</w:t>
            </w:r>
          </w:p>
          <w:p>
            <w:pPr>
              <w:pStyle w:val="null3"/>
              <w:jc w:val="both"/>
            </w:pPr>
            <w:r>
              <w:rPr>
                <w:rFonts w:ascii="仿宋_GB2312" w:hAnsi="仿宋_GB2312" w:cs="仿宋_GB2312" w:eastAsia="仿宋_GB2312"/>
                <w:sz w:val="24"/>
              </w:rPr>
              <w:t>三、工程量清单</w:t>
            </w:r>
          </w:p>
          <w:tbl>
            <w:tblPr>
              <w:tblBorders>
                <w:top w:val="none" w:color="000000" w:sz="4"/>
                <w:left w:val="none" w:color="000000" w:sz="4"/>
                <w:bottom w:val="none" w:color="000000" w:sz="4"/>
                <w:right w:val="none" w:color="000000" w:sz="4"/>
                <w:insideH w:val="none"/>
                <w:insideV w:val="none"/>
              </w:tblBorders>
            </w:tblPr>
            <w:tblGrid>
              <w:gridCol w:w="288"/>
              <w:gridCol w:w="1185"/>
              <w:gridCol w:w="276"/>
              <w:gridCol w:w="555"/>
              <w:gridCol w:w="248"/>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清单项目</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工程量</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挖掘机</w:t>
                  </w:r>
                  <w:r>
                    <w:rPr>
                      <w:rFonts w:ascii="仿宋_GB2312" w:hAnsi="仿宋_GB2312" w:cs="仿宋_GB2312" w:eastAsia="仿宋_GB2312"/>
                      <w:sz w:val="24"/>
                    </w:rPr>
                    <w:t>(350型)</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台班</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挖掘机</w:t>
                  </w:r>
                  <w:r>
                    <w:rPr>
                      <w:rFonts w:ascii="仿宋_GB2312" w:hAnsi="仿宋_GB2312" w:cs="仿宋_GB2312" w:eastAsia="仿宋_GB2312"/>
                      <w:sz w:val="24"/>
                    </w:rPr>
                    <w:t>(225型)</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台班</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推土机</w:t>
                  </w:r>
                  <w:r>
                    <w:rPr>
                      <w:rFonts w:ascii="仿宋_GB2312" w:hAnsi="仿宋_GB2312" w:cs="仿宋_GB2312" w:eastAsia="仿宋_GB2312"/>
                      <w:sz w:val="24"/>
                    </w:rPr>
                    <w:t>(综合)</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台班</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渣土车</w:t>
                  </w:r>
                  <w:r>
                    <w:rPr>
                      <w:rFonts w:ascii="仿宋_GB2312" w:hAnsi="仿宋_GB2312" w:cs="仿宋_GB2312" w:eastAsia="仿宋_GB2312"/>
                      <w:sz w:val="24"/>
                    </w:rPr>
                    <w:t>(满载)</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台班</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渣土车</w:t>
                  </w:r>
                  <w:r>
                    <w:rPr>
                      <w:rFonts w:ascii="仿宋_GB2312" w:hAnsi="仿宋_GB2312" w:cs="仿宋_GB2312" w:eastAsia="仿宋_GB2312"/>
                      <w:sz w:val="24"/>
                    </w:rPr>
                    <w:t>(满载)</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台班</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光轮压路机</w:t>
                  </w:r>
                  <w:r>
                    <w:rPr>
                      <w:rFonts w:ascii="仿宋_GB2312" w:hAnsi="仿宋_GB2312" w:cs="仿宋_GB2312" w:eastAsia="仿宋_GB2312"/>
                      <w:sz w:val="24"/>
                    </w:rPr>
                    <w:t>(内燃)机械双</w:t>
                  </w:r>
                  <w:r>
                    <w:rPr>
                      <w:rFonts w:ascii="仿宋_GB2312" w:hAnsi="仿宋_GB2312" w:cs="仿宋_GB2312" w:eastAsia="仿宋_GB2312"/>
                      <w:sz w:val="24"/>
                    </w:rPr>
                    <w:t>筒</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台班</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注：本工程量为拟定数量，最终以实际工程量为准结算。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范围：工程量清单全部内容。2.工期：10日历天。3.质量标准：合格。4.付款方式：1）项目进场后，达到付款条件起10日内，支付合同总金额的40%。2）整体项目施工完成后，达到付款条件起10日内，支付合同总金额的40%。3）最终财政结算评审后无质量争议，达到付款条件起10日内，支付合同总金额的20%。5.售后要求：接到采购人售后要求后，6小时内远程响应，24小时内给出解决方案，若远程无法解决问题72小时内安排专人到达现场。6.供应商负责完成本项目建设相关工作，凡涉及与本项目相关的施工、设备安装、人员保险、税金、验收等，所有费用一次性计入投标总价，合同履约过程中采购人不再支付其他额外费用。7.知识产权归属和处理方式：供应商应保证所建工程及所投的货物及服务不会出现因第三方提出侵犯其专利权、商标权或其它知识产权而引发法律或经济纠纷，否则由供应商承担全部责任。8.验收：1）项目完工后，供应商向采购人提交验收申请。2）采购人收到验收申请后组织验收，验收时供应商应无条件予以配合并提供及移交项目所需的全部资料；若供应商不配合或者未在规定工期内完工的，采购人将拒绝验收。3）验收依据：磋商文件、响应文件、合同文本、国内相应的标准、规范。9.违约责任与解决争议的方法：1）按照《中华人民共和国民法典》中的相关条款执行。2）供应商提供的工程及服务未达到合同约定标准，或未在约定的工期内完工的，采购人有权终止合同，由此对采购人造成经济损失的，采购人有权要求供应商进行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2）具有履行合同所必需的设备和专业技术能力；3）有依法缴纳税收和社会保障资金的良好记录；4）参加政府采购活动前三年内，在经营活动中没有重大违法记录；5）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本采购包是专门面向中小企业预留，参与供应商由符合政策要求的中小企业承接；监狱企业及残疾人福利性单位，视同小、微型企业。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法定代表人证明及法定代表人授权书</w:t>
            </w:r>
          </w:p>
        </w:tc>
        <w:tc>
          <w:tcPr>
            <w:tcW w:type="dxa" w:w="3322"/>
          </w:tcPr>
          <w:p>
            <w:pPr>
              <w:pStyle w:val="null3"/>
            </w:pPr>
            <w:r>
              <w:rPr>
                <w:rFonts w:ascii="仿宋_GB2312" w:hAnsi="仿宋_GB2312" w:cs="仿宋_GB2312" w:eastAsia="仿宋_GB2312"/>
              </w:rPr>
              <w:t>法定代表人直接参加磋商的提供法定代表人证明及其身份证；授权代表参与磋商的提供法定代表人授权书（附法定代表人及授权代表身份证）；非法人单位参照执行。</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拟派项目经理须具有建筑工程专业二级及以上注册建造师证书和有效的安全生产考核证书（B证）在本单位注册且无在建工程（提供无在建承诺）。</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按磋商文件要求编制响应文件，满足磋商文件第二章实质性要求条款。</w:t>
            </w:r>
          </w:p>
        </w:tc>
        <w:tc>
          <w:tcPr>
            <w:tcW w:type="dxa" w:w="1661"/>
          </w:tcPr>
          <w:p>
            <w:pPr>
              <w:pStyle w:val="null3"/>
            </w:pPr>
            <w:r>
              <w:rPr>
                <w:rFonts w:ascii="仿宋_GB2312" w:hAnsi="仿宋_GB2312" w:cs="仿宋_GB2312" w:eastAsia="仿宋_GB2312"/>
              </w:rPr>
              <w:t>响应文件封面 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响应报价唯一，且不高于最高限价。</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响应文件（格式）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施工总体方案内容至少包括：①项目理解；②施工准备;③施工方法；④重点难点工程分析及解决措施；⑤影响正常施工外在因素分析及对应预案等。此项共5项。1.各条方案内容完全满足采购需求计3分，最高15分；2.方案内容基本满足但不完善计2分；3.方案内容不详尽或不适用于本项目计1分；满分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此项共5项。1.各条方案内容完全满足采购需求计2分，最高10分；2.方案内容基本满足但不完善计1分；3.方案内容不详尽或不适用于本项目计0.5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管理制度；②配置安全组织机构；③安全隐患排查、整改制度；④人员行为规范；⑤应急救援机制等。此项共5项。1.各条方案内容完全满足采购需求计2分，最高10分；2.方案内容基本满足但不完善计1分；3.方案内容不详尽或不适用于本项目计0.5分；满分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②防尘降噪措施；③节能减排措施；④文明及环境保护施工监督检查机制等。此项共4项。1.投标人提供的方案及措施内容完全满足采购需求，每项计2分，最高8分；2.投标人提供的方案及措施基本满足需求，每项计1分；3.投标人提供的方案及措施内容不详尽或不适用于本项目每项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配备施工员、安全员、资料员、材料员、质量员）；③管理制度；④相应的协调措施等。此项共4项。1.各条方案内容完全满足采购需求计2分，最高8分；2.方案内容基本满足但不完善计1分；3.方案内容不详尽或不适用于本项目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施工进度安排；③工期目标控制和保证措施；④材料供应措施。此项共4项。1.投标人提供的方案及措施内容完全满足采购需求，每项计2分，最高8分；2.投标人提供的方案及措施基本满足需求，每项计1分；3.投标人提供的方案及措施内容不详尽或不适用于本项目每项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施工机械配置和材料投入计划内容至少包括：①施工机械配置计划；②施工材料投入计划；③施工机械的维护保养和材料的贮存；④施工机械、材料的监督和检查等。此项共4项。1.各条方案内容完全满足采购需求计2分，最高8分；2.方案内容基本满足但不完善计1分；3.方案内容不详尽或不适用于本项目计0.5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以合同复印件形式提供供应商2022年1月1日至磋商前类似业绩，每份计3分，计满3分为止。注：供应商需提供施工合同（含首页、施工内容页、签字盖章页）复印件，否则业绩不予认可。</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30×（磋商基准价/最后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