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版本号：SXSYGK-20250120120251208001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后勤服务外包项目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SXSYGK-202501201</w:t>
      </w:r>
      <w:r>
        <w:br/>
      </w:r>
      <w:r>
        <w:br/>
      </w:r>
      <w:r>
        <w:br/>
      </w:r>
    </w:p>
    <w:p>
      <w:pPr>
        <w:pStyle w:val="null3"/>
        <w:jc w:val="center"/>
        <w:outlineLvl w:val="2"/>
      </w:pPr>
      <w:r>
        <w:rPr>
          <w:rFonts w:ascii="仿宋_GB2312" w:hAnsi="仿宋_GB2312" w:cs="仿宋_GB2312" w:eastAsia="仿宋_GB2312"/>
          <w:sz w:val="28"/>
          <w:b/>
        </w:rPr>
        <w:t>西安高新第五小学</w:t>
      </w:r>
    </w:p>
    <w:p>
      <w:pPr>
        <w:pStyle w:val="null3"/>
        <w:jc w:val="center"/>
        <w:outlineLvl w:val="2"/>
      </w:pPr>
      <w:r>
        <w:rPr>
          <w:rFonts w:ascii="仿宋_GB2312" w:hAnsi="仿宋_GB2312" w:cs="仿宋_GB2312" w:eastAsia="仿宋_GB2312"/>
          <w:sz w:val="28"/>
          <w:b/>
        </w:rPr>
        <w:t>陕西陕源项目管理有限公司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陕西陕源项目管理有限公司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西安高新第五小学</w:t>
      </w:r>
      <w:r>
        <w:rPr>
          <w:rFonts w:ascii="仿宋_GB2312" w:hAnsi="仿宋_GB2312" w:cs="仿宋_GB2312" w:eastAsia="仿宋_GB2312"/>
        </w:rPr>
        <w:t>委托，拟对</w:t>
      </w:r>
      <w:r>
        <w:rPr>
          <w:rFonts w:ascii="仿宋_GB2312" w:hAnsi="仿宋_GB2312" w:cs="仿宋_GB2312" w:eastAsia="仿宋_GB2312"/>
        </w:rPr>
        <w:t>后勤服务外包项目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SXSYGK-202501201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后勤服务外包项目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高新第五小学校园区域内的后勤服务。项目总占地面积13061.30㎡，建筑面积19658.21㎡，包含校园区域内的围墙、道路、绿化、车库、运动场地等，以及教学楼内的所有教室、办公室、部室、卫生间、走廊、楼梯等。</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采购包1（后勤服务外包项目）：属于专门面向中小企业采购。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p>
      <w:pPr>
        <w:pStyle w:val="null3"/>
      </w:pPr>
      <w:r>
        <w:rPr>
          <w:rFonts w:ascii="仿宋_GB2312" w:hAnsi="仿宋_GB2312" w:cs="仿宋_GB2312" w:eastAsia="仿宋_GB2312"/>
        </w:rPr>
        <w:t>2、信用信息：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西安高新第五小学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西安市雁塔区丈八五路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13022812216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陕西陕源项目管理有限公司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陕西省西安市莲湖区土门坊6号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18066870135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采购包1：672,000.00元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印发的《招标代理服务收费管理暂行办法》（计价格〔2002〕1980号）和国家发展和改革委员会办公厅印发的《关于招标代理服务收费有关问题的通知》（发改办价格〔2003〕857号）的有关规定执行。 （2）中标单位在领取中标通知书前，须向采购代理机构一次性支付招标代理服务费。 （3）招标代理服务费账户 户名：陕西陕源项目管理有限公司 开户行：中国工商银行西安土门支行 账号：3700021809200554301 转账备注：（项目名称/项目编号）招标代理服务费 请中标供应商按照要求将招标代理服务费转入以上指定账户，如因自身原因发生错误，产生的不利后果均由供应商自行承担。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西安高新第五小学</w:t>
      </w:r>
      <w:r>
        <w:rPr>
          <w:rFonts w:ascii="仿宋_GB2312" w:hAnsi="仿宋_GB2312" w:cs="仿宋_GB2312" w:eastAsia="仿宋_GB2312"/>
        </w:rPr>
        <w:t>和</w:t>
      </w:r>
      <w:r>
        <w:rPr>
          <w:rFonts w:ascii="仿宋_GB2312" w:hAnsi="仿宋_GB2312" w:cs="仿宋_GB2312" w:eastAsia="仿宋_GB2312"/>
        </w:rPr>
        <w:t>陕西陕源项目管理有限公司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西安高新第五小学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陕西陕源项目管理有限公司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西安高新第五小学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陕西陕源项目管理有限公司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陕西陕源项目管理有限公司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联系人：杨革</w:t>
      </w:r>
    </w:p>
    <w:p>
      <w:pPr>
        <w:pStyle w:val="null3"/>
      </w:pPr>
      <w:r>
        <w:rPr>
          <w:rFonts w:ascii="仿宋_GB2312" w:hAnsi="仿宋_GB2312" w:cs="仿宋_GB2312" w:eastAsia="仿宋_GB2312"/>
        </w:rPr>
        <w:t>联系电话：18066870135</w:t>
      </w:r>
    </w:p>
    <w:p>
      <w:pPr>
        <w:pStyle w:val="null3"/>
      </w:pPr>
      <w:r>
        <w:rPr>
          <w:rFonts w:ascii="仿宋_GB2312" w:hAnsi="仿宋_GB2312" w:cs="仿宋_GB2312" w:eastAsia="仿宋_GB2312"/>
        </w:rPr>
        <w:t>地址：陕西省西安市莲湖区土门坊6号</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高新第五小学校园区域内的后勤服务。项目总占地面积13061.30㎡，建筑面积19658.21㎡，包含校园区域内的围墙、道路、绿化、车库、运动场地等，以及教学楼内的所有教室、办公室、部室、卫生间、走廊、楼梯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672,000.00</w:t>
      </w:r>
    </w:p>
    <w:p>
      <w:pPr>
        <w:pStyle w:val="null3"/>
      </w:pPr>
      <w:r>
        <w:rPr>
          <w:rFonts w:ascii="仿宋_GB2312" w:hAnsi="仿宋_GB2312" w:cs="仿宋_GB2312" w:eastAsia="仿宋_GB2312"/>
        </w:rPr>
        <w:t>采购包最高限价（元）: 672,000.00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后勤服务外包项目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672,000.00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标的名称：后勤服务外包项目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服务范围</w:t>
            </w:r>
          </w:p>
          <w:p>
            <w:pPr>
              <w:pStyle w:val="null3"/>
              <w:ind w:firstLine="400"/>
              <w:jc w:val="both"/>
            </w:pPr>
            <w:r>
              <w:rPr>
                <w:rFonts w:ascii="仿宋_GB2312" w:hAnsi="仿宋_GB2312" w:cs="仿宋_GB2312" w:eastAsia="仿宋_GB2312"/>
                <w:sz w:val="20"/>
              </w:rPr>
              <w:t>教学</w:t>
            </w:r>
            <w:r>
              <w:rPr>
                <w:rFonts w:ascii="仿宋_GB2312" w:hAnsi="仿宋_GB2312" w:cs="仿宋_GB2312" w:eastAsia="仿宋_GB2312"/>
                <w:sz w:val="20"/>
              </w:rPr>
              <w:t>楼</w:t>
            </w:r>
            <w:r>
              <w:rPr>
                <w:rFonts w:ascii="仿宋_GB2312" w:hAnsi="仿宋_GB2312" w:cs="仿宋_GB2312" w:eastAsia="仿宋_GB2312"/>
                <w:sz w:val="20"/>
              </w:rPr>
              <w:t>1-</w:t>
            </w:r>
            <w:r>
              <w:rPr>
                <w:rFonts w:ascii="仿宋_GB2312" w:hAnsi="仿宋_GB2312" w:cs="仿宋_GB2312" w:eastAsia="仿宋_GB2312"/>
                <w:sz w:val="20"/>
              </w:rPr>
              <w:t>5</w:t>
            </w:r>
            <w:r>
              <w:rPr>
                <w:rFonts w:ascii="仿宋_GB2312" w:hAnsi="仿宋_GB2312" w:cs="仿宋_GB2312" w:eastAsia="仿宋_GB2312"/>
                <w:sz w:val="20"/>
              </w:rPr>
              <w:t>层</w:t>
            </w:r>
            <w:r>
              <w:rPr>
                <w:rFonts w:ascii="仿宋_GB2312" w:hAnsi="仿宋_GB2312" w:cs="仿宋_GB2312" w:eastAsia="仿宋_GB2312"/>
                <w:sz w:val="20"/>
              </w:rPr>
              <w:t>（启新楼、致远楼、羚跃楼等</w:t>
            </w:r>
            <w:r>
              <w:rPr>
                <w:rFonts w:ascii="仿宋_GB2312" w:hAnsi="仿宋_GB2312" w:cs="仿宋_GB2312" w:eastAsia="仿宋_GB2312"/>
                <w:sz w:val="20"/>
              </w:rPr>
              <w:t>3座教学楼、综合楼）</w:t>
            </w:r>
            <w:r>
              <w:rPr>
                <w:rFonts w:ascii="仿宋_GB2312" w:hAnsi="仿宋_GB2312" w:cs="仿宋_GB2312" w:eastAsia="仿宋_GB2312"/>
                <w:sz w:val="20"/>
              </w:rPr>
              <w:t>，管理面积</w:t>
            </w:r>
            <w:r>
              <w:rPr>
                <w:rFonts w:ascii="仿宋_GB2312" w:hAnsi="仿宋_GB2312" w:cs="仿宋_GB2312" w:eastAsia="仿宋_GB2312"/>
                <w:sz w:val="20"/>
              </w:rPr>
              <w:t>19658.21</w:t>
            </w:r>
            <w:r>
              <w:rPr>
                <w:rFonts w:ascii="仿宋_GB2312" w:hAnsi="仿宋_GB2312" w:cs="仿宋_GB2312" w:eastAsia="仿宋_GB2312"/>
                <w:sz w:val="20"/>
              </w:rPr>
              <w:t>㎡</w:t>
            </w:r>
            <w:r>
              <w:rPr>
                <w:rFonts w:ascii="仿宋_GB2312" w:hAnsi="仿宋_GB2312" w:cs="仿宋_GB2312" w:eastAsia="仿宋_GB2312"/>
                <w:sz w:val="20"/>
              </w:rPr>
              <w:t>；教学楼</w:t>
            </w:r>
            <w:r>
              <w:rPr>
                <w:rFonts w:ascii="仿宋_GB2312" w:hAnsi="仿宋_GB2312" w:cs="仿宋_GB2312" w:eastAsia="仿宋_GB2312"/>
                <w:sz w:val="20"/>
              </w:rPr>
              <w:t>室外</w:t>
            </w:r>
            <w:r>
              <w:rPr>
                <w:rFonts w:ascii="仿宋_GB2312" w:hAnsi="仿宋_GB2312" w:cs="仿宋_GB2312" w:eastAsia="仿宋_GB2312"/>
                <w:sz w:val="20"/>
              </w:rPr>
              <w:t>道路及</w:t>
            </w:r>
            <w:r>
              <w:rPr>
                <w:rFonts w:ascii="仿宋_GB2312" w:hAnsi="仿宋_GB2312" w:cs="仿宋_GB2312" w:eastAsia="仿宋_GB2312"/>
                <w:sz w:val="20"/>
              </w:rPr>
              <w:t>绿化养护面积</w:t>
            </w:r>
            <w:r>
              <w:rPr>
                <w:rFonts w:ascii="仿宋_GB2312" w:hAnsi="仿宋_GB2312" w:cs="仿宋_GB2312" w:eastAsia="仿宋_GB2312"/>
                <w:sz w:val="20"/>
              </w:rPr>
              <w:t>8163.21</w:t>
            </w:r>
            <w:r>
              <w:rPr>
                <w:rFonts w:ascii="仿宋_GB2312" w:hAnsi="仿宋_GB2312" w:cs="仿宋_GB2312" w:eastAsia="仿宋_GB2312"/>
                <w:sz w:val="20"/>
              </w:rPr>
              <w:t>㎡</w:t>
            </w:r>
            <w:r>
              <w:rPr>
                <w:rFonts w:ascii="仿宋_GB2312" w:hAnsi="仿宋_GB2312" w:cs="仿宋_GB2312" w:eastAsia="仿宋_GB2312"/>
                <w:sz w:val="20"/>
              </w:rPr>
              <w:t>；屋面运动场面积</w:t>
            </w:r>
            <w:r>
              <w:rPr>
                <w:rFonts w:ascii="仿宋_GB2312" w:hAnsi="仿宋_GB2312" w:cs="仿宋_GB2312" w:eastAsia="仿宋_GB2312"/>
                <w:sz w:val="20"/>
              </w:rPr>
              <w:t>2620.19㎡；其他校园区域内的场所。</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服务要求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1）服务内容：西安高新第五小学校园内的围墙、道路、绿化、车库等区域的卫生清洁，垃圾房的卫生清运，教学楼内的所有教室、办公室、部室、卫生间、走廊、楼梯等区域的卫生清洁</w:t>
            </w:r>
            <w:r>
              <w:rPr>
                <w:rFonts w:ascii="仿宋_GB2312" w:hAnsi="仿宋_GB2312" w:cs="仿宋_GB2312" w:eastAsia="仿宋_GB2312"/>
                <w:sz w:val="20"/>
              </w:rPr>
              <w:t>；</w:t>
            </w:r>
            <w:r>
              <w:rPr>
                <w:rFonts w:ascii="仿宋_GB2312" w:hAnsi="仿宋_GB2312" w:cs="仿宋_GB2312" w:eastAsia="仿宋_GB2312"/>
                <w:sz w:val="20"/>
              </w:rPr>
              <w:t>24小时安保、门岗值守验证登记、来人来访的</w:t>
            </w:r>
            <w:r>
              <w:rPr>
                <w:rFonts w:ascii="仿宋_GB2312" w:hAnsi="仿宋_GB2312" w:cs="仿宋_GB2312" w:eastAsia="仿宋_GB2312"/>
                <w:sz w:val="20"/>
              </w:rPr>
              <w:t>上</w:t>
            </w:r>
            <w:r>
              <w:rPr>
                <w:rFonts w:ascii="仿宋_GB2312" w:hAnsi="仿宋_GB2312" w:cs="仿宋_GB2312" w:eastAsia="仿宋_GB2312"/>
                <w:sz w:val="20"/>
              </w:rPr>
              <w:t>报、</w:t>
            </w:r>
            <w:r>
              <w:rPr>
                <w:rFonts w:ascii="仿宋_GB2312" w:hAnsi="仿宋_GB2312" w:cs="仿宋_GB2312" w:eastAsia="仿宋_GB2312"/>
                <w:sz w:val="20"/>
              </w:rPr>
              <w:t>地下车库</w:t>
            </w:r>
            <w:r>
              <w:rPr>
                <w:rFonts w:ascii="仿宋_GB2312" w:hAnsi="仿宋_GB2312" w:cs="仿宋_GB2312" w:eastAsia="仿宋_GB2312"/>
                <w:sz w:val="20"/>
              </w:rPr>
              <w:t>机动车、</w:t>
            </w:r>
            <w:r>
              <w:rPr>
                <w:rFonts w:ascii="仿宋_GB2312" w:hAnsi="仿宋_GB2312" w:cs="仿宋_GB2312" w:eastAsia="仿宋_GB2312"/>
                <w:sz w:val="20"/>
              </w:rPr>
              <w:t>车棚</w:t>
            </w:r>
            <w:r>
              <w:rPr>
                <w:rFonts w:ascii="仿宋_GB2312" w:hAnsi="仿宋_GB2312" w:cs="仿宋_GB2312" w:eastAsia="仿宋_GB2312"/>
                <w:sz w:val="20"/>
              </w:rPr>
              <w:t>非机动车停放管理</w:t>
            </w:r>
            <w:r>
              <w:rPr>
                <w:rFonts w:ascii="仿宋_GB2312" w:hAnsi="仿宋_GB2312" w:cs="仿宋_GB2312" w:eastAsia="仿宋_GB2312"/>
                <w:sz w:val="20"/>
              </w:rPr>
              <w:t>、消防巡查打卡</w:t>
            </w:r>
            <w:r>
              <w:rPr>
                <w:rFonts w:ascii="仿宋_GB2312" w:hAnsi="仿宋_GB2312" w:cs="仿宋_GB2312" w:eastAsia="仿宋_GB2312"/>
                <w:sz w:val="20"/>
              </w:rPr>
              <w:t>等公共治安秩序维护及巡查；</w:t>
            </w:r>
            <w:r>
              <w:rPr>
                <w:rFonts w:ascii="仿宋_GB2312" w:hAnsi="仿宋_GB2312" w:cs="仿宋_GB2312" w:eastAsia="仿宋_GB2312"/>
                <w:sz w:val="20"/>
              </w:rPr>
              <w:t>小型水电维修；</w:t>
            </w:r>
            <w:r>
              <w:rPr>
                <w:rFonts w:ascii="仿宋_GB2312" w:hAnsi="仿宋_GB2312" w:cs="仿宋_GB2312" w:eastAsia="仿宋_GB2312"/>
                <w:sz w:val="20"/>
              </w:rPr>
              <w:t>绿化区域日常维护和病虫害防治等临勤服务</w:t>
            </w:r>
            <w:r>
              <w:rPr>
                <w:rFonts w:ascii="仿宋_GB2312" w:hAnsi="仿宋_GB2312" w:cs="仿宋_GB2312" w:eastAsia="仿宋_GB2312"/>
                <w:sz w:val="20"/>
              </w:rPr>
              <w:t>；适应学校需求的其它服务（例如课桌椅搬运，会议、活动的秩序维护等）</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2）服务标准：</w:t>
            </w:r>
          </w:p>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人员素质及现场服务员工仪容仪表标准：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注重个人仪容仪表；</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上班前确保着装干净整洁；</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如无紧急情况不可离岗；</w:t>
            </w:r>
          </w:p>
          <w:p>
            <w:pPr>
              <w:pStyle w:val="null3"/>
              <w:jc w:val="both"/>
            </w:pPr>
            <w:r>
              <w:rPr>
                <w:rFonts w:ascii="仿宋_GB2312" w:hAnsi="仿宋_GB2312" w:cs="仿宋_GB2312" w:eastAsia="仿宋_GB2312"/>
                <w:sz w:val="20"/>
              </w:rPr>
              <w:t>2）、卫生</w:t>
            </w:r>
            <w:r>
              <w:rPr>
                <w:rFonts w:ascii="仿宋_GB2312" w:hAnsi="仿宋_GB2312" w:cs="仿宋_GB2312" w:eastAsia="仿宋_GB2312"/>
                <w:sz w:val="20"/>
              </w:rPr>
              <w:t>清洁服务的要求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地面清洁：无垃圾杂物、积尘、积水，无明显的拖布擦拭痕迹；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w:t>
            </w:r>
            <w:r>
              <w:rPr>
                <w:rFonts w:ascii="仿宋_GB2312" w:hAnsi="仿宋_GB2312" w:cs="仿宋_GB2312" w:eastAsia="仿宋_GB2312"/>
                <w:sz w:val="20"/>
              </w:rPr>
              <w:t>室内墙壁：无灰尘、污迹，无乱张贴；</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走廊扶手：固定完好，无灰尘、污迹，随时发现有脏、污立即清抹；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w:t>
            </w:r>
            <w:r>
              <w:rPr>
                <w:rFonts w:ascii="仿宋_GB2312" w:hAnsi="仿宋_GB2312" w:cs="仿宋_GB2312" w:eastAsia="仿宋_GB2312"/>
                <w:sz w:val="20"/>
              </w:rPr>
              <w:t>门：无灰尘、污迹，拉手洁净；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窗：窗框无灰尘、污迹，拉手洁净，玻璃上无污渍；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洗手池：池壁无污垢、痰迹、头发等不洁物，镜子镜面洁净，无污垢、水垢；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w:t>
            </w:r>
            <w:r>
              <w:rPr>
                <w:rFonts w:ascii="仿宋_GB2312" w:hAnsi="仿宋_GB2312" w:cs="仿宋_GB2312" w:eastAsia="仿宋_GB2312"/>
                <w:sz w:val="20"/>
              </w:rPr>
              <w:t>水龙头：光亮洁净，无任何污垢、水垢；</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w:t>
            </w:r>
            <w:r>
              <w:rPr>
                <w:rFonts w:ascii="仿宋_GB2312" w:hAnsi="仿宋_GB2312" w:cs="仿宋_GB2312" w:eastAsia="仿宋_GB2312"/>
                <w:sz w:val="20"/>
              </w:rPr>
              <w:t>小便器：无尿碱、水锈印迹（黄渍）、无污垢，喷水嘴应洁净；</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大便器：内外洁净，无大便痕迹，无污垢黄渍；</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w:t>
            </w:r>
            <w:r>
              <w:rPr>
                <w:rFonts w:ascii="仿宋_GB2312" w:hAnsi="仿宋_GB2312" w:cs="仿宋_GB2312" w:eastAsia="仿宋_GB2312"/>
                <w:sz w:val="20"/>
              </w:rPr>
              <w:t>手纸</w:t>
            </w:r>
            <w:r>
              <w:rPr>
                <w:rFonts w:ascii="仿宋_GB2312" w:hAnsi="仿宋_GB2312" w:cs="仿宋_GB2312" w:eastAsia="仿宋_GB2312"/>
                <w:sz w:val="20"/>
              </w:rPr>
              <w:t>盒</w:t>
            </w:r>
            <w:r>
              <w:rPr>
                <w:rFonts w:ascii="仿宋_GB2312" w:hAnsi="仿宋_GB2312" w:cs="仿宋_GB2312" w:eastAsia="仿宋_GB2312"/>
                <w:sz w:val="20"/>
              </w:rPr>
              <w:t>：光亮洁净，无手印；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w:t>
            </w:r>
            <w:r>
              <w:rPr>
                <w:rFonts w:ascii="仿宋_GB2312" w:hAnsi="仿宋_GB2312" w:cs="仿宋_GB2312" w:eastAsia="仿宋_GB2312"/>
                <w:sz w:val="20"/>
              </w:rPr>
              <w:t>垃圾桶：外表干净，每日清倒</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12</w:t>
            </w:r>
            <w:r>
              <w:rPr>
                <w:rFonts w:ascii="仿宋_GB2312" w:hAnsi="仿宋_GB2312" w:cs="仿宋_GB2312" w:eastAsia="仿宋_GB2312"/>
                <w:sz w:val="20"/>
              </w:rPr>
              <w:t>）</w:t>
            </w:r>
            <w:r>
              <w:rPr>
                <w:rFonts w:ascii="仿宋_GB2312" w:hAnsi="仿宋_GB2312" w:cs="仿宋_GB2312" w:eastAsia="仿宋_GB2312"/>
                <w:sz w:val="20"/>
              </w:rPr>
              <w:t>公共卫生间确保卫生清洁、干净、无异味；</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13）</w:t>
            </w:r>
            <w:r>
              <w:rPr>
                <w:rFonts w:ascii="仿宋_GB2312" w:hAnsi="仿宋_GB2312" w:cs="仿宋_GB2312" w:eastAsia="仿宋_GB2312"/>
                <w:sz w:val="20"/>
              </w:rPr>
              <w:t>清洁剂、清扫工具等按要求分类放置；</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14）</w:t>
            </w:r>
            <w:r>
              <w:rPr>
                <w:rFonts w:ascii="仿宋_GB2312" w:hAnsi="仿宋_GB2312" w:cs="仿宋_GB2312" w:eastAsia="仿宋_GB2312"/>
                <w:sz w:val="20"/>
              </w:rPr>
              <w:t>楼梯清洁标准：地面洁净无尘土、烟头、痰迹、垃圾、杂物，扶手无尘土；</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15）</w:t>
            </w:r>
            <w:r>
              <w:rPr>
                <w:rFonts w:ascii="仿宋_GB2312" w:hAnsi="仿宋_GB2312" w:cs="仿宋_GB2312" w:eastAsia="仿宋_GB2312"/>
                <w:sz w:val="20"/>
              </w:rPr>
              <w:t>消防设备：表面洁净、无尘土；</w:t>
            </w:r>
          </w:p>
          <w:p>
            <w:pPr>
              <w:pStyle w:val="null3"/>
              <w:jc w:val="both"/>
            </w:pPr>
            <w:r>
              <w:rPr>
                <w:rFonts w:ascii="仿宋_GB2312" w:hAnsi="仿宋_GB2312" w:cs="仿宋_GB2312" w:eastAsia="仿宋_GB2312"/>
                <w:sz w:val="20"/>
              </w:rPr>
              <w:t>3)、安保</w:t>
            </w:r>
            <w:r>
              <w:rPr>
                <w:rFonts w:ascii="仿宋_GB2312" w:hAnsi="仿宋_GB2312" w:cs="仿宋_GB2312" w:eastAsia="仿宋_GB2312"/>
                <w:sz w:val="20"/>
              </w:rPr>
              <w:t>服务的要求</w:t>
            </w:r>
          </w:p>
          <w:p>
            <w:pPr>
              <w:pStyle w:val="null3"/>
              <w:spacing w:after="150"/>
              <w:ind w:firstLine="4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1）24小时值守，校园周界及校园安全巡查；</w:t>
            </w:r>
          </w:p>
          <w:p>
            <w:pPr>
              <w:pStyle w:val="null3"/>
              <w:spacing w:after="150"/>
              <w:ind w:firstLine="480"/>
              <w:jc w:val="both"/>
            </w:pPr>
            <w:r>
              <w:rPr>
                <w:rFonts w:ascii="仿宋_GB2312" w:hAnsi="仿宋_GB2312" w:cs="仿宋_GB2312" w:eastAsia="仿宋_GB2312"/>
                <w:sz w:val="20"/>
              </w:rPr>
              <w:t>（</w:t>
            </w:r>
            <w:r>
              <w:rPr>
                <w:rFonts w:ascii="仿宋_GB2312" w:hAnsi="仿宋_GB2312" w:cs="仿宋_GB2312" w:eastAsia="仿宋_GB2312"/>
                <w:sz w:val="20"/>
              </w:rPr>
              <w:t>2）门禁登记、来人、来访上报；</w:t>
            </w:r>
          </w:p>
          <w:p>
            <w:pPr>
              <w:pStyle w:val="null3"/>
              <w:spacing w:after="150"/>
              <w:ind w:firstLine="4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3）地下车库</w:t>
            </w:r>
            <w:r>
              <w:rPr>
                <w:rFonts w:ascii="仿宋_GB2312" w:hAnsi="仿宋_GB2312" w:cs="仿宋_GB2312" w:eastAsia="仿宋_GB2312"/>
                <w:sz w:val="20"/>
                <w:color w:val="000000"/>
              </w:rPr>
              <w:t>机动车、</w:t>
            </w:r>
            <w:r>
              <w:rPr>
                <w:rFonts w:ascii="仿宋_GB2312" w:hAnsi="仿宋_GB2312" w:cs="仿宋_GB2312" w:eastAsia="仿宋_GB2312"/>
                <w:sz w:val="20"/>
                <w:color w:val="000000"/>
              </w:rPr>
              <w:t>车棚</w:t>
            </w:r>
            <w:r>
              <w:rPr>
                <w:rFonts w:ascii="仿宋_GB2312" w:hAnsi="仿宋_GB2312" w:cs="仿宋_GB2312" w:eastAsia="仿宋_GB2312"/>
                <w:sz w:val="20"/>
                <w:color w:val="000000"/>
              </w:rPr>
              <w:t>非机动车停放管理</w:t>
            </w:r>
            <w:r>
              <w:rPr>
                <w:rFonts w:ascii="仿宋_GB2312" w:hAnsi="仿宋_GB2312" w:cs="仿宋_GB2312" w:eastAsia="仿宋_GB2312"/>
                <w:sz w:val="20"/>
                <w:color w:val="000000"/>
              </w:rPr>
              <w:t>；</w:t>
            </w:r>
          </w:p>
          <w:p>
            <w:pPr>
              <w:pStyle w:val="null3"/>
              <w:spacing w:after="150"/>
              <w:ind w:firstLine="4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4）消防巡查打卡、一键报警、防爆恐演练等校园安全工作</w:t>
            </w:r>
          </w:p>
          <w:p>
            <w:pPr>
              <w:pStyle w:val="null3"/>
              <w:spacing w:after="150"/>
              <w:ind w:firstLine="480"/>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w:t>
            </w:r>
            <w:r>
              <w:rPr>
                <w:rFonts w:ascii="仿宋_GB2312" w:hAnsi="仿宋_GB2312" w:cs="仿宋_GB2312" w:eastAsia="仿宋_GB2312"/>
                <w:sz w:val="20"/>
                <w:color w:val="000000"/>
              </w:rPr>
              <w:t>公共治安秩序维护及</w:t>
            </w:r>
            <w:r>
              <w:rPr>
                <w:rFonts w:ascii="仿宋_GB2312" w:hAnsi="仿宋_GB2312" w:cs="仿宋_GB2312" w:eastAsia="仿宋_GB2312"/>
                <w:sz w:val="20"/>
                <w:color w:val="000000"/>
              </w:rPr>
              <w:t>校园周边和校园安全</w:t>
            </w:r>
            <w:r>
              <w:rPr>
                <w:rFonts w:ascii="仿宋_GB2312" w:hAnsi="仿宋_GB2312" w:cs="仿宋_GB2312" w:eastAsia="仿宋_GB2312"/>
                <w:sz w:val="20"/>
                <w:color w:val="000000"/>
              </w:rPr>
              <w:t>巡查；</w:t>
            </w:r>
          </w:p>
          <w:p>
            <w:pPr>
              <w:pStyle w:val="null3"/>
              <w:spacing w:after="150"/>
              <w:ind w:firstLine="480"/>
              <w:jc w:val="both"/>
            </w:pPr>
            <w:r>
              <w:rPr>
                <w:rFonts w:ascii="仿宋_GB2312" w:hAnsi="仿宋_GB2312" w:cs="仿宋_GB2312" w:eastAsia="仿宋_GB2312"/>
                <w:sz w:val="20"/>
              </w:rPr>
              <w:t>（</w:t>
            </w:r>
            <w:r>
              <w:rPr>
                <w:rFonts w:ascii="仿宋_GB2312" w:hAnsi="仿宋_GB2312" w:cs="仿宋_GB2312" w:eastAsia="仿宋_GB2312"/>
                <w:sz w:val="20"/>
              </w:rPr>
              <w:t>6）校园活动、会议的秩序维护</w:t>
            </w:r>
          </w:p>
          <w:p>
            <w:pPr>
              <w:pStyle w:val="null3"/>
              <w:spacing w:after="150"/>
              <w:ind w:firstLine="480"/>
            </w:pPr>
            <w:r>
              <w:rPr>
                <w:rFonts w:ascii="仿宋_GB2312" w:hAnsi="仿宋_GB2312" w:cs="仿宋_GB2312" w:eastAsia="仿宋_GB2312"/>
                <w:sz w:val="21"/>
              </w:rPr>
              <w:t xml:space="preserve"> 4）、工勤维修服务的要求</w:t>
            </w:r>
          </w:p>
          <w:p>
            <w:pPr>
              <w:pStyle w:val="null3"/>
              <w:spacing w:after="150"/>
              <w:jc w:val="both"/>
            </w:pP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校园桌椅、换灯泡、暖气排气、换水龙头等小型水电维修</w:t>
            </w:r>
          </w:p>
          <w:p>
            <w:pPr>
              <w:pStyle w:val="null3"/>
              <w:spacing w:after="150"/>
              <w:jc w:val="both"/>
            </w:pPr>
            <w:r>
              <w:rPr>
                <w:rFonts w:ascii="仿宋_GB2312" w:hAnsi="仿宋_GB2312" w:cs="仿宋_GB2312" w:eastAsia="仿宋_GB2312"/>
                <w:sz w:val="20"/>
                <w:color w:val="000000"/>
              </w:rPr>
              <w:t xml:space="preserve">  5</w:t>
            </w:r>
            <w:r>
              <w:rPr>
                <w:rFonts w:ascii="仿宋_GB2312" w:hAnsi="仿宋_GB2312" w:cs="仿宋_GB2312" w:eastAsia="仿宋_GB2312"/>
                <w:sz w:val="20"/>
                <w:color w:val="000000"/>
              </w:rPr>
              <w:t>）、服务期限：</w:t>
            </w:r>
            <w:r>
              <w:rPr>
                <w:rFonts w:ascii="仿宋_GB2312" w:hAnsi="仿宋_GB2312" w:cs="仿宋_GB2312" w:eastAsia="仿宋_GB2312"/>
                <w:sz w:val="20"/>
                <w:color w:val="000000"/>
              </w:rPr>
              <w:t xml:space="preserve">2026年01月01日--2026年12月31日     </w:t>
            </w:r>
            <w:r>
              <w:rPr>
                <w:rFonts w:ascii="仿宋_GB2312" w:hAnsi="仿宋_GB2312" w:cs="仿宋_GB2312" w:eastAsia="仿宋_GB2312"/>
                <w:sz w:val="24"/>
                <w:color w:val="000000"/>
              </w:rPr>
              <w:t xml:space="preserve">                           </w:t>
            </w:r>
          </w:p>
          <w:p>
            <w:pPr>
              <w:pStyle w:val="null3"/>
              <w:spacing w:after="150"/>
              <w:jc w:val="both"/>
            </w:pPr>
            <w:r>
              <w:rPr>
                <w:rFonts w:ascii="仿宋_GB2312" w:hAnsi="仿宋_GB2312" w:cs="仿宋_GB2312" w:eastAsia="仿宋_GB2312"/>
                <w:sz w:val="20"/>
              </w:rPr>
              <w:t>6</w:t>
            </w:r>
            <w:r>
              <w:rPr>
                <w:rFonts w:ascii="仿宋_GB2312" w:hAnsi="仿宋_GB2312" w:cs="仿宋_GB2312" w:eastAsia="仿宋_GB2312"/>
                <w:sz w:val="20"/>
              </w:rPr>
              <w:t>）、服务人员数量及组成：该项目需配备人员不少于</w:t>
            </w:r>
            <w:r>
              <w:rPr>
                <w:rFonts w:ascii="仿宋_GB2312" w:hAnsi="仿宋_GB2312" w:cs="仿宋_GB2312" w:eastAsia="仿宋_GB2312"/>
                <w:sz w:val="20"/>
              </w:rPr>
              <w:t xml:space="preserve">16人，所有人员须经专业培训，能独立熟练承担各项工作，严守秘密。物业管理所需工具及耗材由甲方提供。                                               </w:t>
            </w:r>
          </w:p>
          <w:p>
            <w:pPr>
              <w:pStyle w:val="null3"/>
              <w:jc w:val="both"/>
            </w:pPr>
            <w:r>
              <w:rPr>
                <w:rFonts w:ascii="仿宋_GB2312" w:hAnsi="仿宋_GB2312" w:cs="仿宋_GB2312" w:eastAsia="仿宋_GB2312"/>
                <w:sz w:val="20"/>
              </w:rPr>
              <w:t>3、服务事项的验收（考核）标准</w:t>
            </w:r>
          </w:p>
          <w:p>
            <w:pPr>
              <w:pStyle w:val="null3"/>
            </w:pPr>
            <w:r>
              <w:rPr>
                <w:rFonts w:ascii="仿宋_GB2312" w:hAnsi="仿宋_GB2312" w:cs="仿宋_GB2312" w:eastAsia="仿宋_GB2312"/>
                <w:sz w:val="20"/>
              </w:rPr>
              <w:t>甲方依据招标文件规定及投标文件的服务承诺对项目</w:t>
            </w:r>
            <w:r>
              <w:rPr>
                <w:rFonts w:ascii="仿宋_GB2312" w:hAnsi="仿宋_GB2312" w:cs="仿宋_GB2312" w:eastAsia="仿宋_GB2312"/>
                <w:sz w:val="20"/>
              </w:rPr>
              <w:t>及提交的成果资料</w:t>
            </w:r>
            <w:r>
              <w:rPr>
                <w:rFonts w:ascii="仿宋_GB2312" w:hAnsi="仿宋_GB2312" w:cs="仿宋_GB2312" w:eastAsia="仿宋_GB2312"/>
                <w:sz w:val="20"/>
              </w:rPr>
              <w:t>进行验收（详见合同附件）。</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该项目需配备人员不少于16人</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安全责任：乙方应对其工作人员在现场工作期间的一切行为负责，如安全事故责任及因此发生的人身损害赔偿和其他费用由乙方承担。</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2026年01月01日--2026年12月31日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服务要求中的指定地点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由采购人定期或不定期对供应商工作成果进行阶段性验收。其内容包括是否按照采购人要求进行服务、是否在规定时间内服务完毕。其他事项： 1、验收合格后，填写政府采购项目验收单作为对本服务的最终认可。 2、服务商向采购人提供服务过程中的所有资料,以便采购人日后管理。 3、验收依据 3.1招标文件、投标文件、澄清表（函）； 3.2本合同及附件文本； 3.3国家相应的标准、规范。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每三个月的实际服务时间为一个付款周期，每个付款周期的第30天乙方向甲方提供正式发票（含税），甲方在收到乙方发票后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未按合同要求提供货物或服务不能满足要求，会同监督机构有权终止合同，对成交供应商违约行为进行追究，同时按政府采购法的有关规定进行相应的处罚，具体详见合同相关条款。</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招标文件的，如不参与项目投标，应在提交投标文件截止时间前一日以书面形式告知采购代理机构（出具弃标函发送至代理机构邮箱：1092591603@qq.com）。否则，采购代理机构可以向财政部门反映情况并提供相应的佐证。供应商一年内累计出现三次该情形，将被监管部门记录为失信行为。 2、纸质版投标文件要求：中标供应商在领取中标通知书前，须向采购代理机构提供纸质版投标文件3套（1正2副），U盘2份（包括投标文件的全部内容）且提供的投标文件必须与在陕西省政府采购综合管理平台的项目电子化交易系统中提交的电子投标文件内容一致，纸质版投标文件必须装订成册签字盖章。 3、支付约定：每三个月的实际服务时间为一个付款周期，每个付款周期的第30天乙方向甲方提供正式发票（含税），甲方在收到乙方发票后进行支付，支付方式为银行转账。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投标文件提交截止时间不足一年的可提供成立后任意时段的资产负债表），或提交投标文件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主要负责人）亲自参加投标时，应提供法定代表人（主要负责人）身份证明书；法定代表人（主要负责人）委托代理人参加投标时，应提供法定代表人（主要负责人）委托授权书及代理人本单位证明（开标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资格证明文件. 分项报价表. 中小企业声明函 投标方案. 商务条款偏离表. 陕西省政府采购供应商拒绝政府采购领域商业贿赂承诺书. 投标函 残疾人福利性单位声明函 业绩证明材料. 标的清单 投标文件封面 服务内容偏离表.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商务条款偏离表.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投标内容数量与要求符合招标文件要求或投标内容的技术指标应符合招标文件标记★要求</w:t>
            </w:r>
          </w:p>
        </w:tc>
        <w:tc>
          <w:tcPr>
            <w:tcW w:type="dxa" w:w="1661"/>
          </w:tcPr>
          <w:p>
            <w:pPr>
              <w:pStyle w:val="null3"/>
            </w:pPr>
            <w:r>
              <w:rPr>
                <w:rFonts w:ascii="仿宋_GB2312" w:hAnsi="仿宋_GB2312" w:cs="仿宋_GB2312" w:eastAsia="仿宋_GB2312"/>
              </w:rPr>
              <w:t>服务内容偏离表. 商务条款偏离表.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无其它不符合法律法规或招标文件规定的投标无效条款</w:t>
            </w:r>
          </w:p>
        </w:tc>
        <w:tc>
          <w:tcPr>
            <w:tcW w:type="dxa" w:w="1661"/>
          </w:tcPr>
          <w:p>
            <w:pPr>
              <w:pStyle w:val="null3"/>
            </w:pPr>
            <w:r>
              <w:rPr>
                <w:rFonts w:ascii="仿宋_GB2312" w:hAnsi="仿宋_GB2312" w:cs="仿宋_GB2312" w:eastAsia="仿宋_GB2312"/>
              </w:rPr>
              <w:t>资格证明文件. 分项报价表. 中小企业声明函 投标方案. 商务条款偏离表. 陕西省政府采购供应商拒绝政府采购领域商业贿赂承诺书. 投标函 残疾人福利性单位声明函 业绩证明材料. 标的清单 投标文件封面 服务内容偏离表.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保洁服务方案</w:t>
            </w:r>
          </w:p>
        </w:tc>
        <w:tc>
          <w:tcPr>
            <w:tcW w:type="dxa" w:w="2492"/>
          </w:tcPr>
          <w:p>
            <w:pPr>
              <w:pStyle w:val="null3"/>
            </w:pPr>
            <w:r>
              <w:rPr>
                <w:rFonts w:ascii="仿宋_GB2312" w:hAnsi="仿宋_GB2312" w:cs="仿宋_GB2312" w:eastAsia="仿宋_GB2312"/>
              </w:rPr>
              <w:t>评审内容：①服务内容及标准②卫生清洁方案③垃圾清运方案。 以上内容全面详细、目标明确、科学合理且完全符合本项目采购要求得9分。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安防服务方案</w:t>
            </w:r>
          </w:p>
        </w:tc>
        <w:tc>
          <w:tcPr>
            <w:tcW w:type="dxa" w:w="2492"/>
          </w:tcPr>
          <w:p>
            <w:pPr>
              <w:pStyle w:val="null3"/>
            </w:pPr>
            <w:r>
              <w:rPr>
                <w:rFonts w:ascii="仿宋_GB2312" w:hAnsi="仿宋_GB2312" w:cs="仿宋_GB2312" w:eastAsia="仿宋_GB2312"/>
              </w:rPr>
              <w:t>评审内容：①门岗值守方案②门禁登记方案③消防巡查方案④治安秩序维护巡查方案。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综合维修方案</w:t>
            </w:r>
          </w:p>
        </w:tc>
        <w:tc>
          <w:tcPr>
            <w:tcW w:type="dxa" w:w="2492"/>
          </w:tcPr>
          <w:p>
            <w:pPr>
              <w:pStyle w:val="null3"/>
            </w:pPr>
            <w:r>
              <w:rPr>
                <w:rFonts w:ascii="仿宋_GB2312" w:hAnsi="仿宋_GB2312" w:cs="仿宋_GB2312" w:eastAsia="仿宋_GB2312"/>
              </w:rPr>
              <w:t>评审内容：①维修内容及标准②维修进度及维修计划③人员配置及管理方案④维修安全及应急措施。 以上内容全面详细、目标明确、科学合理且完全符合本项目采购要求得8分。评审内容缺每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绿化养护方案</w:t>
            </w:r>
          </w:p>
        </w:tc>
        <w:tc>
          <w:tcPr>
            <w:tcW w:type="dxa" w:w="2492"/>
          </w:tcPr>
          <w:p>
            <w:pPr>
              <w:pStyle w:val="null3"/>
            </w:pPr>
            <w:r>
              <w:rPr>
                <w:rFonts w:ascii="仿宋_GB2312" w:hAnsi="仿宋_GB2312" w:cs="仿宋_GB2312" w:eastAsia="仿宋_GB2312"/>
              </w:rPr>
              <w:t>评审内容：①绿化区域正常维护方案②病虫害防治方案。以上内容全面详细、目标明确、科学合理且完全符合本项目采购要求得 6分 。评审内容缺每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岗位配置种类②岗位职责③岗位人员配置数量。以上内容全面详细、阐述条理清晰详尽，符合本项目需求得6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评审内容：①人员管理制度②考核制度③奖惩激励制度。 以上内容全面详细、阐述条理清晰详尽，符合本项目需求得9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评审内容：①服务质量保证措施②服务质量承诺。 评审标准：以上内容全面详细、阐述条理清晰详尽，符合本项目采购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设施设备管理</w:t>
            </w:r>
          </w:p>
        </w:tc>
        <w:tc>
          <w:tcPr>
            <w:tcW w:type="dxa" w:w="2492"/>
          </w:tcPr>
          <w:p>
            <w:pPr>
              <w:pStyle w:val="null3"/>
            </w:pPr>
            <w:r>
              <w:rPr>
                <w:rFonts w:ascii="仿宋_GB2312" w:hAnsi="仿宋_GB2312" w:cs="仿宋_GB2312" w:eastAsia="仿宋_GB2312"/>
              </w:rPr>
              <w:t>评审内容：①作业工具②物料存放、发放、更换制度。 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评审内容：①培训内容②人员及时间安排。以上内容全面详细、阐述条理清晰，详尽符合本项目需求得6分。评审内容每缺一项扣3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档案管理方案</w:t>
            </w:r>
          </w:p>
        </w:tc>
        <w:tc>
          <w:tcPr>
            <w:tcW w:type="dxa" w:w="2492"/>
          </w:tcPr>
          <w:p>
            <w:pPr>
              <w:pStyle w:val="null3"/>
            </w:pPr>
            <w:r>
              <w:rPr>
                <w:rFonts w:ascii="仿宋_GB2312" w:hAnsi="仿宋_GB2312" w:cs="仿宋_GB2312" w:eastAsia="仿宋_GB2312"/>
              </w:rPr>
              <w:t>评审内容：①档案资料的收集及分类②档案资料的归档及使用③档案资料的销毁④档案资料的移交。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评审内容：①恶劣天气、停水停电、火灾、水浸、防火等②重大活动、紧急事件及临时性任务③违法事件（防盗、打架斗殴、寻衅滋事等）④重大人事变动。以上内容全面详细、阐述条理清晰详尽，符合本项目需求得8分。评审内容每缺一项扣2分,评审内容有缺陷（缺陷是指：内容粗略、逻辑混乱、描述过于简单、与项目特点不匹配、凭空编造、逻辑漏洞、出现常识性错误、存在不适用项目实际情况的情形或只有标题没有实质性内容等）的任意一种情形扣1分，扣完为止，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储备可调度人员，调度人员可保障重大活动、突发事件的临时任务调度需要②服务人员因事、病不能工作的，及时请调其他服务人员补充，确保服务工作的正常进行③接受采购人对服务的考核、监督及管理④定期调研采购人对服务质量的满意度并加以改进，确保服务工作的优质高效。每承诺一项得1分，共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提供供应商2022年10月1日至投标文件递交截止日类似项目业绩（以合同复印件为准），每提供一份业绩得2分，最高得6分。若提供虚假业绩，一经发现，按无效投标处理。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满足招标文件要求且投标价格最低的为评标基准价，其价格分为满分。其他供应商的价格分统一按照下列公式计算： 投标报价得分=(评标基准价／投标报价)×10。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详见附件：服务内容偏离表.</w:t>
      </w:r>
    </w:p>
    <w:p>
      <w:pPr>
        <w:pStyle w:val="null3"/>
        <w:ind w:firstLine="960"/>
      </w:pPr>
      <w:r>
        <w:rPr>
          <w:rFonts w:ascii="仿宋_GB2312" w:hAnsi="仿宋_GB2312" w:cs="仿宋_GB2312" w:eastAsia="仿宋_GB2312"/>
        </w:rPr>
        <w:t>详见附件：商务条款偏离表.</w:t>
      </w:r>
    </w:p>
    <w:p>
      <w:pPr>
        <w:pStyle w:val="null3"/>
        <w:ind w:firstLine="960"/>
      </w:pPr>
      <w:r>
        <w:rPr>
          <w:rFonts w:ascii="仿宋_GB2312" w:hAnsi="仿宋_GB2312" w:cs="仿宋_GB2312" w:eastAsia="仿宋_GB2312"/>
        </w:rPr>
        <w:t>详见附件：投标方案.</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