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8CD4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default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服务内容</w:t>
      </w:r>
      <w:r>
        <w:rPr>
          <w:rFonts w:hint="eastAsia" w:ascii="仿宋" w:hAnsi="仿宋" w:eastAsia="仿宋" w:cs="仿宋"/>
          <w:color w:val="000000"/>
          <w:kern w:val="0"/>
          <w:sz w:val="24"/>
          <w:szCs w:val="24"/>
          <w:highlight w:val="none"/>
          <w:lang w:val="en-US" w:eastAsia="zh-CN" w:bidi="ar"/>
        </w:rPr>
        <w:t>偏离表</w:t>
      </w:r>
    </w:p>
    <w:p w14:paraId="0F0557B9">
      <w:pPr>
        <w:pStyle w:val="5"/>
        <w:ind w:firstLine="480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 xml:space="preserve">项目名称： </w:t>
      </w:r>
    </w:p>
    <w:p w14:paraId="18372E2E">
      <w:pPr>
        <w:pStyle w:val="5"/>
        <w:ind w:firstLine="480"/>
        <w:rPr>
          <w:rFonts w:hint="eastAsia" w:ascii="仿宋_GB2312" w:hAnsi="仿宋_GB2312" w:eastAsia="仿宋_GB2312" w:cs="仿宋_GB2312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项目编号：</w:t>
      </w:r>
    </w:p>
    <w:tbl>
      <w:tblPr>
        <w:tblStyle w:val="3"/>
        <w:tblW w:w="928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2"/>
        <w:gridCol w:w="867"/>
        <w:gridCol w:w="1677"/>
        <w:gridCol w:w="1673"/>
        <w:gridCol w:w="1350"/>
        <w:gridCol w:w="1334"/>
        <w:gridCol w:w="1571"/>
      </w:tblGrid>
      <w:tr w14:paraId="746C032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C50B50">
            <w:pPr>
              <w:pStyle w:val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序号</w:t>
            </w:r>
          </w:p>
        </w:tc>
        <w:tc>
          <w:tcPr>
            <w:tcW w:w="86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5DA8B02">
            <w:pPr>
              <w:pStyle w:val="5"/>
              <w:rPr>
                <w:rFonts w:hint="eastAsia" w:ascii="仿宋_GB2312" w:hAnsi="仿宋_GB2312" w:eastAsia="仿宋_GB2312" w:cs="仿宋_GB231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名称</w:t>
            </w:r>
          </w:p>
        </w:tc>
        <w:tc>
          <w:tcPr>
            <w:tcW w:w="1677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668D1A87">
            <w:pPr>
              <w:pStyle w:val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招标文件要求</w:t>
            </w:r>
          </w:p>
        </w:tc>
        <w:tc>
          <w:tcPr>
            <w:tcW w:w="167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98A125E">
            <w:pPr>
              <w:pStyle w:val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投标文件内容</w:t>
            </w:r>
          </w:p>
        </w:tc>
        <w:tc>
          <w:tcPr>
            <w:tcW w:w="135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3752DC24">
            <w:pPr>
              <w:pStyle w:val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响应/偏离</w:t>
            </w:r>
          </w:p>
        </w:tc>
        <w:tc>
          <w:tcPr>
            <w:tcW w:w="1334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BDAE77A">
            <w:pPr>
              <w:pStyle w:val="5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响应说明</w:t>
            </w:r>
          </w:p>
        </w:tc>
        <w:tc>
          <w:tcPr>
            <w:tcW w:w="157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5BFD6B9">
            <w:pPr>
              <w:pStyle w:val="5"/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响应索引</w:t>
            </w:r>
          </w:p>
        </w:tc>
      </w:tr>
      <w:tr w14:paraId="159F4D9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tcBorders>
              <w:top w:val="single" w:color="auto" w:sz="2" w:space="0"/>
            </w:tcBorders>
            <w:noWrap w:val="0"/>
            <w:vAlign w:val="center"/>
          </w:tcPr>
          <w:p w14:paraId="3180B33F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tcBorders>
              <w:top w:val="single" w:color="auto" w:sz="2" w:space="0"/>
            </w:tcBorders>
            <w:noWrap w:val="0"/>
            <w:vAlign w:val="center"/>
          </w:tcPr>
          <w:p w14:paraId="54136316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tcBorders>
              <w:top w:val="single" w:color="auto" w:sz="2" w:space="0"/>
            </w:tcBorders>
            <w:noWrap w:val="0"/>
            <w:vAlign w:val="center"/>
          </w:tcPr>
          <w:p w14:paraId="67EE155C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tcBorders>
              <w:top w:val="single" w:color="auto" w:sz="2" w:space="0"/>
            </w:tcBorders>
            <w:noWrap w:val="0"/>
            <w:vAlign w:val="center"/>
          </w:tcPr>
          <w:p w14:paraId="28FC5866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tcBorders>
              <w:top w:val="single" w:color="auto" w:sz="2" w:space="0"/>
            </w:tcBorders>
            <w:noWrap w:val="0"/>
            <w:vAlign w:val="center"/>
          </w:tcPr>
          <w:p w14:paraId="5B7C7FF2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tcBorders>
              <w:top w:val="single" w:color="auto" w:sz="2" w:space="0"/>
            </w:tcBorders>
            <w:noWrap w:val="0"/>
            <w:vAlign w:val="center"/>
          </w:tcPr>
          <w:p w14:paraId="70A7FC36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tcBorders>
              <w:top w:val="single" w:color="auto" w:sz="2" w:space="0"/>
            </w:tcBorders>
            <w:noWrap w:val="0"/>
            <w:vAlign w:val="center"/>
          </w:tcPr>
          <w:p w14:paraId="78ADE5BB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7353A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0EB1EDE8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noWrap w:val="0"/>
            <w:vAlign w:val="center"/>
          </w:tcPr>
          <w:p w14:paraId="38267D30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52A7FFDD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F66E857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65CCFE7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0251AC47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08899D05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9D7330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62AE4C70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noWrap w:val="0"/>
            <w:vAlign w:val="center"/>
          </w:tcPr>
          <w:p w14:paraId="668D45BD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66FAD298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DD69002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B7A83E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21627D68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1A7759B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0506EA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7605F0D6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6B9D5A4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2DA1CC31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380670C4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E1CC0D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56235850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1684AB5E">
            <w:pPr>
              <w:pStyle w:val="5"/>
              <w:ind w:firstLine="480"/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7CB95F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15480CE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5880025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0D2D570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52E7EC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0C426F5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126067CB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28C90D1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F96025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2410147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67" w:type="dxa"/>
            <w:noWrap w:val="0"/>
            <w:vAlign w:val="center"/>
          </w:tcPr>
          <w:p w14:paraId="10CFA75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7" w:type="dxa"/>
            <w:noWrap w:val="0"/>
            <w:vAlign w:val="center"/>
          </w:tcPr>
          <w:p w14:paraId="3ECC865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673" w:type="dxa"/>
            <w:noWrap w:val="0"/>
            <w:vAlign w:val="center"/>
          </w:tcPr>
          <w:p w14:paraId="646044D4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ABFAE2D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34" w:type="dxa"/>
            <w:noWrap w:val="0"/>
            <w:vAlign w:val="center"/>
          </w:tcPr>
          <w:p w14:paraId="7691EEC3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1" w:type="dxa"/>
            <w:noWrap w:val="0"/>
            <w:vAlign w:val="center"/>
          </w:tcPr>
          <w:p w14:paraId="78EFF43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BF8C2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2" w:type="dxa"/>
            <w:noWrap w:val="0"/>
            <w:vAlign w:val="center"/>
          </w:tcPr>
          <w:p w14:paraId="5FD6FB85">
            <w:pPr>
              <w:jc w:val="center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  <w:tc>
          <w:tcPr>
            <w:tcW w:w="8472" w:type="dxa"/>
            <w:gridSpan w:val="6"/>
            <w:noWrap w:val="0"/>
            <w:vAlign w:val="center"/>
          </w:tcPr>
          <w:p w14:paraId="397959B3">
            <w:pPr>
              <w:jc w:val="both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 xml:space="preserve">1.供应商必须据实填写，不得虚假响应，否则将取消投标资格，并按有关规定进行处罚。 </w:t>
            </w:r>
          </w:p>
          <w:p w14:paraId="2320B4BA">
            <w:pPr>
              <w:jc w:val="left"/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2．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响应说明按实际响应情况填写“优于”、“不响应”，投标文件中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  <w:lang w:val="en-US" w:eastAsia="zh-CN"/>
              </w:rPr>
              <w:t>技术</w:t>
            </w: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响应与招标文件要求完全一致的，不用在此表中列出，但必须提交空白表。</w:t>
            </w:r>
          </w:p>
        </w:tc>
      </w:tr>
    </w:tbl>
    <w:p w14:paraId="2AF68562">
      <w:pPr>
        <w:jc w:val="center"/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  <w:t xml:space="preserve"> 供应商：                   （盖单位公章）               </w:t>
      </w:r>
    </w:p>
    <w:p w14:paraId="3AD79B04">
      <w:pPr>
        <w:jc w:val="center"/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  <w:t>法定代表人或委托代理人：     （签字或盖章）</w:t>
      </w:r>
    </w:p>
    <w:p w14:paraId="3CCBDDE0">
      <w:pPr>
        <w:jc w:val="center"/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21"/>
          <w:szCs w:val="21"/>
          <w:vertAlign w:val="baseline"/>
          <w:lang w:val="en-US" w:eastAsia="zh-CN"/>
        </w:rPr>
        <w:t xml:space="preserve">                     日期：          年           月        日</w:t>
      </w:r>
    </w:p>
    <w:p w14:paraId="3F5760F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760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2025-12-08T09:29:30Z</dcterms:created>
  <dc:creator>PC</dc:creator>
  <cp:lastModifiedBy>doit</cp:lastModifiedBy>
  <dcterms:modified xsi:type="dcterms:W3CDTF">2025-12-08T09:29:34Z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3B1878EE27114AB589D43C5D6856AA1D_12</vt:lpwstr>
  </property>
</Properties>
</file>