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版本号：HCZB（HYLJ)-20251120251211001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灵沼街道110KV变电站土方项目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HCZB（HYLJ)-202511</w:t>
      </w:r>
      <w:r>
        <w:br/>
      </w:r>
      <w:r>
        <w:br/>
      </w:r>
      <w:r>
        <w:br/>
      </w:r>
    </w:p>
    <w:p>
      <w:pPr>
        <w:pStyle w:val="null3"/>
        <w:jc w:val="center"/>
        <w:outlineLvl w:val="2"/>
      </w:pPr>
      <w:r>
        <w:rPr>
          <w:rFonts w:ascii="仿宋_GB2312" w:hAnsi="仿宋_GB2312" w:cs="仿宋_GB2312" w:eastAsia="仿宋_GB2312"/>
          <w:sz w:val="28"/>
          <w:b/>
        </w:rPr>
        <w:t>西安市长安区灵沼街道办事处</w:t>
      </w:r>
    </w:p>
    <w:p>
      <w:pPr>
        <w:pStyle w:val="null3"/>
        <w:jc w:val="center"/>
        <w:outlineLvl w:val="2"/>
      </w:pPr>
      <w:r>
        <w:rPr>
          <w:rFonts w:ascii="仿宋_GB2312" w:hAnsi="仿宋_GB2312" w:cs="仿宋_GB2312" w:eastAsia="仿宋_GB2312"/>
          <w:sz w:val="28"/>
          <w:b/>
        </w:rPr>
        <w:t>红城国际工程项目管理有限公司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红城国际工程项目管理有限公司</w:t>
      </w:r>
      <w:r>
        <w:rPr>
          <w:rFonts w:ascii="仿宋_GB2312" w:hAnsi="仿宋_GB2312" w:cs="仿宋_GB2312" w:eastAsia="仿宋_GB2312"/>
        </w:rPr>
        <w:t>（以下简称“代理机构”）受</w:t>
      </w:r>
      <w:r>
        <w:rPr>
          <w:rFonts w:ascii="仿宋_GB2312" w:hAnsi="仿宋_GB2312" w:cs="仿宋_GB2312" w:eastAsia="仿宋_GB2312"/>
        </w:rPr>
        <w:t>西安市长安区灵沼街道办事处</w:t>
      </w:r>
      <w:r>
        <w:rPr>
          <w:rFonts w:ascii="仿宋_GB2312" w:hAnsi="仿宋_GB2312" w:cs="仿宋_GB2312" w:eastAsia="仿宋_GB2312"/>
        </w:rPr>
        <w:t>委托，拟对</w:t>
      </w:r>
      <w:r>
        <w:rPr>
          <w:rFonts w:ascii="仿宋_GB2312" w:hAnsi="仿宋_GB2312" w:cs="仿宋_GB2312" w:eastAsia="仿宋_GB2312"/>
        </w:rPr>
        <w:t>灵沼街道110KV变电站土方项目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HCZB（HYLJ)-202511</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灵沼街道110KV变电站土方项目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110千伏小丰输变电工程项目，清表4530平方米，产生垃圾清运量4165.2立方米。</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采购包1（灵沼街道110KV变电站土方项目）：属于专门面向小微企业采购。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1、营业执照等主体资格证明文件：提供合格有效的法人或者其他组织的营业执照等证明文件， 自然人的身份证明。</w:t>
      </w:r>
    </w:p>
    <w:p>
      <w:pPr>
        <w:pStyle w:val="null3"/>
      </w:pPr>
      <w:r>
        <w:rPr>
          <w:rFonts w:ascii="仿宋_GB2312" w:hAnsi="仿宋_GB2312" w:cs="仿宋_GB2312" w:eastAsia="仿宋_GB2312"/>
        </w:rPr>
        <w:t>2、财务状况报告：提供具有财务审计资质的单位出具经审计的2024年度财务报告；事业法人提供部门决算报告； 或在开标日期前6个月内其基本开户银行出具的资信证明（附《基本存款账户信息》或《银行开户许可证》复印件）；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p>
      <w:pPr>
        <w:pStyle w:val="null3"/>
      </w:pPr>
      <w:r>
        <w:rPr>
          <w:rFonts w:ascii="仿宋_GB2312" w:hAnsi="仿宋_GB2312" w:cs="仿宋_GB2312" w:eastAsia="仿宋_GB2312"/>
        </w:rPr>
        <w:t>3、税收缴纳证明：供应商须提供提交响应文件截止时间前六个月内已缴存的至少一个月的纳税证明或完税证明（任意税种），依法免税的单位应提供相关证明材料。</w:t>
      </w:r>
    </w:p>
    <w:p>
      <w:pPr>
        <w:pStyle w:val="null3"/>
      </w:pPr>
      <w:r>
        <w:rPr>
          <w:rFonts w:ascii="仿宋_GB2312" w:hAnsi="仿宋_GB2312" w:cs="仿宋_GB2312" w:eastAsia="仿宋_GB2312"/>
        </w:rPr>
        <w:t>4、社会保障资金缴纳证明：供应商须提供提交响应文件截止时间前六个月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5、承诺：提供具有履行合同所必需的设备和专业技术能力的承诺。</w:t>
      </w:r>
    </w:p>
    <w:p>
      <w:pPr>
        <w:pStyle w:val="null3"/>
      </w:pPr>
      <w:r>
        <w:rPr>
          <w:rFonts w:ascii="仿宋_GB2312" w:hAnsi="仿宋_GB2312" w:cs="仿宋_GB2312" w:eastAsia="仿宋_GB2312"/>
        </w:rPr>
        <w:t>6、书面声明：参加政府采购活动前三年内，在经营活动中没有重大违法记录的书面声明。</w:t>
      </w:r>
    </w:p>
    <w:p>
      <w:pPr>
        <w:pStyle w:val="null3"/>
      </w:pPr>
      <w:r>
        <w:rPr>
          <w:rFonts w:ascii="仿宋_GB2312" w:hAnsi="仿宋_GB2312" w:cs="仿宋_GB2312" w:eastAsia="仿宋_GB2312"/>
        </w:rPr>
        <w:t>7、法定代表人授权书/法定 代表人身份证明：法定代表人授权书（附法定代表人、被授权人身份证复印件）及被授权人身份证（法定代表人直接参加投标，须提供法定代表人身份证明及身份证原件）。</w:t>
      </w:r>
    </w:p>
    <w:p>
      <w:pPr>
        <w:pStyle w:val="null3"/>
      </w:pPr>
      <w:r>
        <w:rPr>
          <w:rFonts w:ascii="仿宋_GB2312" w:hAnsi="仿宋_GB2312" w:cs="仿宋_GB2312" w:eastAsia="仿宋_GB2312"/>
        </w:rPr>
        <w:t>8、资质证书：供应商具备建设行政主管部门核发的建筑工程施工总承包三级及以上资质，且具备合格有效的安全生产许可证。</w:t>
      </w:r>
    </w:p>
    <w:p>
      <w:pPr>
        <w:pStyle w:val="null3"/>
      </w:pPr>
      <w:r>
        <w:rPr>
          <w:rFonts w:ascii="仿宋_GB2312" w:hAnsi="仿宋_GB2312" w:cs="仿宋_GB2312" w:eastAsia="仿宋_GB2312"/>
        </w:rPr>
        <w:t>9、项目负责人资质和专业要求：拟派项目经理具备建筑工程专业二级及以上注册建造师资格证书（在本单位注册）及安全生产考核合格证（建安B证），提供提交响应文件截止时间前六个月内已缴存的至少一个月的社保证明且无在建工程。</w:t>
      </w:r>
    </w:p>
    <w:p>
      <w:pPr>
        <w:pStyle w:val="null3"/>
      </w:pPr>
      <w:r>
        <w:rPr>
          <w:rFonts w:ascii="仿宋_GB2312" w:hAnsi="仿宋_GB2312" w:cs="仿宋_GB2312" w:eastAsia="仿宋_GB2312"/>
        </w:rPr>
        <w:t>10、信用记录：供应商不得为“信用中国”网站（www.creditch ina.gov.cn）中列入“失信被执行人（中国执行信息公开网http://zxgk.court.gov.cn/shixin/ ) ”和“重大税收违法失信主体” 的供应商，不得为中国政府采购网（www.ccgp.gov.cn）政府采购“严重违法失信行为记录名单” 中被财政部门禁止参加政府采购活动的供应商。</w:t>
      </w:r>
    </w:p>
    <w:p>
      <w:pPr>
        <w:pStyle w:val="null3"/>
      </w:pPr>
      <w:r>
        <w:rPr>
          <w:rFonts w:ascii="仿宋_GB2312" w:hAnsi="仿宋_GB2312" w:cs="仿宋_GB2312" w:eastAsia="仿宋_GB2312"/>
        </w:rPr>
        <w:t>11、联合体：本项目不接受联合体磋商，不允许分包，提供相关承诺或声明。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西安市长安区灵沼街道办事处</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西安市长安区灵沼街道里兆渠村甲字1号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710115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西安市长安区灵沼街道办事处经办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85856333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红城国际工程项目管理有限公司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陕西省西安市雁塔区陕西省西安市高新区高新六路21号CROSS万象汇6幢1单元7层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曹学伟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19272982633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西安市高新技术开发区政府采购管理股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丁丽</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采购包1：739,900.00元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代理服务费收费标准：1.代理服务费参照《国家计委关于印发&lt;招标代理服务收费管理暂行办法&gt; 的通知》（计价格[2002]1980号）和（发改办价格[2003]857号）中的收费标准计取。 2. 成交单位在领取成交通知书前，须向采购代理机构一次性支付代理服务费。</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西安市长安区灵沼街道办事处</w:t>
      </w:r>
      <w:r>
        <w:rPr>
          <w:rFonts w:ascii="仿宋_GB2312" w:hAnsi="仿宋_GB2312" w:cs="仿宋_GB2312" w:eastAsia="仿宋_GB2312"/>
        </w:rPr>
        <w:t>和</w:t>
      </w:r>
      <w:r>
        <w:rPr>
          <w:rFonts w:ascii="仿宋_GB2312" w:hAnsi="仿宋_GB2312" w:cs="仿宋_GB2312" w:eastAsia="仿宋_GB2312"/>
        </w:rPr>
        <w:t>红城国际工程项目管理有限公司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西安市长安区灵沼街道办事处</w:t>
      </w:r>
      <w:r>
        <w:rPr>
          <w:rFonts w:ascii="仿宋_GB2312" w:hAnsi="仿宋_GB2312" w:cs="仿宋_GB2312" w:eastAsia="仿宋_GB2312"/>
        </w:rPr>
        <w:t>负责解释。除上述磋商文件内容，其他内容由</w:t>
      </w:r>
      <w:r>
        <w:rPr>
          <w:rFonts w:ascii="仿宋_GB2312" w:hAnsi="仿宋_GB2312" w:cs="仿宋_GB2312" w:eastAsia="仿宋_GB2312"/>
        </w:rPr>
        <w:t>红城国际工程项目管理有限公司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西安市长安区灵沼街道办事处</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红城国际工程项目管理有限公司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1.项目范围内的垃圾清运全部采用机械清运的施工方法，严禁人工清运。 2.清表至现有地面以下1米完成场地平整。清表产生的全部垃圾，严格按照城市管理部门指定的运输路线和倾倒场地清运，不得冒尖装载、不得沿路抛洒。 3.垃圾清运最终达到场地平整，现场无任何遗留物(最后以设计方、业主方、中标人、第三方监理共同验收合格，签字确认为准)4.完成作业后对清运现场用黄土回填至原地面。 5.施工单位负责协调村内及周边关系。</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红城国际工程项目管理有限公司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联系人：曹学伟</w:t>
      </w:r>
    </w:p>
    <w:p>
      <w:pPr>
        <w:pStyle w:val="null3"/>
      </w:pPr>
      <w:r>
        <w:rPr>
          <w:rFonts w:ascii="仿宋_GB2312" w:hAnsi="仿宋_GB2312" w:cs="仿宋_GB2312" w:eastAsia="仿宋_GB2312"/>
        </w:rPr>
        <w:t>联系电话：19272982633</w:t>
      </w:r>
    </w:p>
    <w:p>
      <w:pPr>
        <w:pStyle w:val="null3"/>
      </w:pPr>
      <w:r>
        <w:rPr>
          <w:rFonts w:ascii="仿宋_GB2312" w:hAnsi="仿宋_GB2312" w:cs="仿宋_GB2312" w:eastAsia="仿宋_GB2312"/>
        </w:rPr>
        <w:t>地址：陕西省西安市高新区高新六路21号CROSS万象汇6幢1单元7层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739,900.00</w:t>
      </w:r>
    </w:p>
    <w:p>
      <w:pPr>
        <w:pStyle w:val="null3"/>
      </w:pPr>
      <w:r>
        <w:rPr>
          <w:rFonts w:ascii="仿宋_GB2312" w:hAnsi="仿宋_GB2312" w:cs="仿宋_GB2312" w:eastAsia="仿宋_GB2312"/>
        </w:rPr>
        <w:t>采购包最高限价（元）: 739,900.00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工程</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739,900.00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执行的法律法规、技术规范包括不限于以下规定、规范、标准</w:t>
            </w:r>
          </w:p>
          <w:p>
            <w:pPr>
              <w:pStyle w:val="null3"/>
              <w:spacing w:before="210"/>
              <w:ind w:left="420"/>
            </w:pPr>
            <w:r>
              <w:rPr>
                <w:rFonts w:ascii="仿宋_GB2312" w:hAnsi="仿宋_GB2312" w:cs="仿宋_GB2312" w:eastAsia="仿宋_GB2312"/>
                <w:sz w:val="21"/>
              </w:rPr>
              <w:t>《安全生产法》</w:t>
            </w:r>
          </w:p>
          <w:p>
            <w:pPr>
              <w:pStyle w:val="null3"/>
              <w:spacing w:before="210"/>
              <w:ind w:left="420"/>
            </w:pPr>
            <w:r>
              <w:rPr>
                <w:rFonts w:ascii="仿宋_GB2312" w:hAnsi="仿宋_GB2312" w:cs="仿宋_GB2312" w:eastAsia="仿宋_GB2312"/>
                <w:sz w:val="21"/>
              </w:rPr>
              <w:t>《建设工程安全生产管理条例》</w:t>
            </w:r>
          </w:p>
          <w:p>
            <w:pPr>
              <w:pStyle w:val="null3"/>
              <w:spacing w:before="210"/>
              <w:ind w:left="420"/>
            </w:pPr>
            <w:r>
              <w:rPr>
                <w:rFonts w:ascii="仿宋_GB2312" w:hAnsi="仿宋_GB2312" w:cs="仿宋_GB2312" w:eastAsia="仿宋_GB2312"/>
                <w:sz w:val="21"/>
              </w:rPr>
              <w:t>《西安市</w:t>
            </w:r>
            <w:r>
              <w:rPr>
                <w:rFonts w:ascii="仿宋_GB2312" w:hAnsi="仿宋_GB2312" w:cs="仿宋_GB2312" w:eastAsia="仿宋_GB2312"/>
                <w:sz w:val="21"/>
              </w:rPr>
              <w:t>垃圾管理办法</w:t>
            </w:r>
            <w:r>
              <w:rPr>
                <w:rFonts w:ascii="仿宋_GB2312" w:hAnsi="仿宋_GB2312" w:cs="仿宋_GB2312" w:eastAsia="仿宋_GB2312"/>
                <w:sz w:val="21"/>
              </w:rPr>
              <w:t>》</w:t>
            </w:r>
          </w:p>
          <w:p>
            <w:pPr>
              <w:pStyle w:val="null3"/>
              <w:spacing w:before="210"/>
              <w:ind w:left="420"/>
            </w:pPr>
            <w:r>
              <w:rPr>
                <w:rFonts w:ascii="仿宋_GB2312" w:hAnsi="仿宋_GB2312" w:cs="仿宋_GB2312" w:eastAsia="仿宋_GB2312"/>
                <w:sz w:val="21"/>
              </w:rPr>
              <w:t>《</w:t>
            </w:r>
            <w:r>
              <w:rPr>
                <w:rFonts w:ascii="仿宋_GB2312" w:hAnsi="仿宋_GB2312" w:cs="仿宋_GB2312" w:eastAsia="仿宋_GB2312"/>
                <w:sz w:val="21"/>
              </w:rPr>
              <w:t>西安市高新区治污减霾网格化管理工作实施方案</w:t>
            </w:r>
            <w:r>
              <w:rPr>
                <w:rFonts w:ascii="仿宋_GB2312" w:hAnsi="仿宋_GB2312" w:cs="仿宋_GB2312" w:eastAsia="仿宋_GB2312"/>
                <w:sz w:val="21"/>
              </w:rPr>
              <w:t>》</w:t>
            </w:r>
          </w:p>
          <w:p>
            <w:pPr>
              <w:pStyle w:val="null3"/>
              <w:spacing w:before="210"/>
              <w:ind w:left="420"/>
            </w:pPr>
            <w:r>
              <w:rPr>
                <w:rFonts w:ascii="仿宋_GB2312" w:hAnsi="仿宋_GB2312" w:cs="仿宋_GB2312" w:eastAsia="仿宋_GB2312"/>
                <w:sz w:val="21"/>
              </w:rPr>
              <w:t>《</w:t>
            </w:r>
            <w:r>
              <w:rPr>
                <w:rFonts w:ascii="仿宋_GB2312" w:hAnsi="仿宋_GB2312" w:cs="仿宋_GB2312" w:eastAsia="仿宋_GB2312"/>
                <w:sz w:val="21"/>
              </w:rPr>
              <w:t>西安市</w:t>
            </w:r>
            <w:r>
              <w:rPr>
                <w:rFonts w:ascii="仿宋_GB2312" w:hAnsi="仿宋_GB2312" w:cs="仿宋_GB2312" w:eastAsia="仿宋_GB2312"/>
                <w:sz w:val="21"/>
              </w:rPr>
              <w:t>“十四五”电网规划</w:t>
            </w:r>
            <w:r>
              <w:rPr>
                <w:rFonts w:ascii="仿宋_GB2312" w:hAnsi="仿宋_GB2312" w:cs="仿宋_GB2312" w:eastAsia="仿宋_GB2312"/>
                <w:sz w:val="21"/>
              </w:rPr>
              <w:t>》</w:t>
            </w:r>
          </w:p>
          <w:p>
            <w:pPr>
              <w:pStyle w:val="null3"/>
            </w:pPr>
            <w:r>
              <w:rPr>
                <w:rFonts w:ascii="仿宋_GB2312" w:hAnsi="仿宋_GB2312" w:cs="仿宋_GB2312" w:eastAsia="仿宋_GB2312"/>
                <w:sz w:val="21"/>
              </w:rPr>
              <w:t>《国家电网公司输变电工程典型设计》</w:t>
            </w:r>
            <w:r>
              <w:rPr>
                <w:rFonts w:ascii="仿宋_GB2312" w:hAnsi="仿宋_GB2312" w:cs="仿宋_GB2312" w:eastAsia="仿宋_GB2312"/>
                <w:sz w:val="21"/>
              </w:rPr>
              <w:t>110kv变电分册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spacing w:before="105"/>
              <w:ind w:left="105"/>
            </w:pPr>
            <w:r>
              <w:rPr>
                <w:rFonts w:ascii="仿宋_GB2312" w:hAnsi="仿宋_GB2312" w:cs="仿宋_GB2312" w:eastAsia="仿宋_GB2312"/>
                <w:sz w:val="21"/>
              </w:rPr>
              <w:t>质量</w:t>
            </w:r>
            <w:r>
              <w:rPr>
                <w:rFonts w:ascii="仿宋_GB2312" w:hAnsi="仿宋_GB2312" w:cs="仿宋_GB2312" w:eastAsia="仿宋_GB2312"/>
                <w:sz w:val="21"/>
              </w:rPr>
              <w:t>标准</w:t>
            </w:r>
          </w:p>
          <w:p>
            <w:pPr>
              <w:pStyle w:val="null3"/>
              <w:spacing w:before="150"/>
              <w:ind w:left="120"/>
            </w:pPr>
            <w:r>
              <w:rPr>
                <w:rFonts w:ascii="仿宋_GB2312" w:hAnsi="仿宋_GB2312" w:cs="仿宋_GB2312" w:eastAsia="仿宋_GB2312"/>
                <w:sz w:val="21"/>
              </w:rPr>
              <w:t>1.项目范围内的垃圾清运全部采用机械清运的施工方法，严禁人工清运。</w:t>
            </w:r>
          </w:p>
          <w:p>
            <w:pPr>
              <w:pStyle w:val="null3"/>
              <w:spacing w:before="150"/>
              <w:ind w:left="120"/>
            </w:pPr>
            <w:r>
              <w:rPr>
                <w:rFonts w:ascii="仿宋_GB2312" w:hAnsi="仿宋_GB2312" w:cs="仿宋_GB2312" w:eastAsia="仿宋_GB2312"/>
                <w:sz w:val="21"/>
              </w:rPr>
              <w:t>2.清表至现有地面以下1米完成场地平整。清表产生的全部垃圾，严格按照城市管理部门指定的运输路线和倾倒场地清运，不得冒尖装载、不得沿路抛洒。</w:t>
            </w:r>
          </w:p>
          <w:p>
            <w:pPr>
              <w:pStyle w:val="null3"/>
              <w:spacing w:before="150"/>
              <w:ind w:left="120"/>
            </w:pPr>
            <w:r>
              <w:rPr>
                <w:rFonts w:ascii="仿宋_GB2312" w:hAnsi="仿宋_GB2312" w:cs="仿宋_GB2312" w:eastAsia="仿宋_GB2312"/>
                <w:sz w:val="21"/>
              </w:rPr>
              <w:t>3.垃圾清运最终达到场地平整，现场无任何遗留物(最后以设计方、业主方、中标人、第三方监理共同验收合格，签字确认为准)</w:t>
            </w:r>
          </w:p>
          <w:p>
            <w:pPr>
              <w:pStyle w:val="null3"/>
              <w:spacing w:before="150"/>
              <w:ind w:left="120"/>
            </w:pPr>
            <w:r>
              <w:rPr>
                <w:rFonts w:ascii="仿宋_GB2312" w:hAnsi="仿宋_GB2312" w:cs="仿宋_GB2312" w:eastAsia="仿宋_GB2312"/>
                <w:sz w:val="21"/>
              </w:rPr>
              <w:t>4.完成作业后对清运现场用黄土回填至原地面。</w:t>
            </w:r>
          </w:p>
          <w:p>
            <w:pPr>
              <w:pStyle w:val="null3"/>
            </w:pPr>
            <w:r>
              <w:rPr>
                <w:rFonts w:ascii="仿宋_GB2312" w:hAnsi="仿宋_GB2312" w:cs="仿宋_GB2312" w:eastAsia="仿宋_GB2312"/>
                <w:sz w:val="21"/>
              </w:rPr>
              <w:t>5.施工单位负责协调村内及周边关系。</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spacing w:before="90"/>
              <w:ind w:left="105"/>
            </w:pPr>
            <w:r>
              <w:rPr>
                <w:rFonts w:ascii="仿宋_GB2312" w:hAnsi="仿宋_GB2312" w:cs="仿宋_GB2312" w:eastAsia="仿宋_GB2312"/>
                <w:sz w:val="21"/>
              </w:rPr>
              <w:t>工程实施期限</w:t>
            </w:r>
          </w:p>
          <w:p>
            <w:pPr>
              <w:pStyle w:val="null3"/>
              <w:spacing w:before="195"/>
              <w:ind w:left="105" w:right="105" w:firstLine="2"/>
            </w:pPr>
            <w:r>
              <w:rPr>
                <w:rFonts w:ascii="仿宋_GB2312" w:hAnsi="仿宋_GB2312" w:cs="仿宋_GB2312" w:eastAsia="仿宋_GB2312"/>
                <w:sz w:val="21"/>
              </w:rPr>
              <w:t>1、中标人需采购人规定时间内进驻并制作工程计划进度表，并经采购人书面同意:</w:t>
            </w:r>
          </w:p>
          <w:p>
            <w:pPr>
              <w:pStyle w:val="null3"/>
              <w:spacing w:before="195"/>
              <w:ind w:left="105" w:right="105" w:firstLine="2"/>
            </w:pPr>
            <w:r>
              <w:rPr>
                <w:rFonts w:ascii="仿宋_GB2312" w:hAnsi="仿宋_GB2312" w:cs="仿宋_GB2312" w:eastAsia="仿宋_GB2312"/>
                <w:sz w:val="21"/>
              </w:rPr>
              <w:t>2、双方约定自施工之日起在30日完成约定的项目清表。遇阴雨天及不可抗力因素影响、工程相应延续(顺延工期应由采购人、中标人共同签字确认):</w:t>
            </w:r>
          </w:p>
          <w:p>
            <w:pPr>
              <w:pStyle w:val="null3"/>
              <w:spacing w:before="90"/>
              <w:ind w:left="105"/>
            </w:pPr>
            <w:r>
              <w:rPr>
                <w:rFonts w:ascii="仿宋_GB2312" w:hAnsi="仿宋_GB2312" w:cs="仿宋_GB2312" w:eastAsia="仿宋_GB2312"/>
                <w:sz w:val="21"/>
              </w:rPr>
              <w:t>3、由于中标人原因造成工期延迟视同中标人违约，则中标人赔付采购人违约金工程整体拆除、垃圾清运及场地平整价的 5%/天。</w:t>
            </w:r>
          </w:p>
        </w:tc>
      </w:tr>
      <w:tr>
        <w:tc>
          <w:tcPr>
            <w:tcW w:type="dxa" w:w="2769"/>
          </w:tcPr>
          <w:p>
            <w:pPr>
              <w:pStyle w:val="null3"/>
            </w:pPr>
            <w:r>
              <w:rPr>
                <w:rFonts w:ascii="仿宋_GB2312" w:hAnsi="仿宋_GB2312" w:cs="仿宋_GB2312" w:eastAsia="仿宋_GB2312"/>
              </w:rPr>
              <w:t>4</w:t>
            </w:r>
          </w:p>
        </w:tc>
        <w:tc>
          <w:tcPr>
            <w:tcW w:type="dxa" w:w="2769"/>
          </w:tcPr>
          <w:p/>
        </w:tc>
        <w:tc>
          <w:tcPr>
            <w:tcW w:type="dxa" w:w="2769"/>
          </w:tcPr>
          <w:p>
            <w:pPr>
              <w:pStyle w:val="null3"/>
            </w:pPr>
            <w:r>
              <w:rPr>
                <w:rFonts w:ascii="仿宋_GB2312" w:hAnsi="仿宋_GB2312" w:cs="仿宋_GB2312" w:eastAsia="仿宋_GB2312"/>
                <w:sz w:val="21"/>
              </w:rPr>
              <w:t>其他</w:t>
            </w:r>
            <w:r>
              <w:br/>
            </w:r>
            <w:r>
              <w:rPr>
                <w:rFonts w:ascii="仿宋_GB2312" w:hAnsi="仿宋_GB2312" w:cs="仿宋_GB2312" w:eastAsia="仿宋_GB2312"/>
                <w:sz w:val="21"/>
              </w:rPr>
              <w:t>1、根据《西安市扬尘污染防治条例》本次清理应考虑治污减霾和降尘费用:</w:t>
            </w:r>
            <w:r>
              <w:br/>
            </w:r>
            <w:r>
              <w:rPr>
                <w:rFonts w:ascii="仿宋_GB2312" w:hAnsi="仿宋_GB2312" w:cs="仿宋_GB2312" w:eastAsia="仿宋_GB2312"/>
                <w:sz w:val="21"/>
              </w:rPr>
              <w:t>2、对可能发生的零星工程，应当考虑相应的机械台班:</w:t>
            </w:r>
            <w:r>
              <w:br/>
            </w:r>
            <w:r>
              <w:rPr>
                <w:rFonts w:ascii="仿宋_GB2312" w:hAnsi="仿宋_GB2312" w:cs="仿宋_GB2312" w:eastAsia="仿宋_GB2312"/>
                <w:sz w:val="21"/>
              </w:rPr>
              <w:t>3、因施工范围较大，为保证施工安全有序进行，应派驻专人看守管理。</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符合国家现行有关规范“合格”要求</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投标方案.docx 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关于财务会计制度的证明材料｛提供具有财务审计资质的单位出具经审计的2024年度财务报告；事业法人提供部门决算报告； 或在开标日期前6个月内其基本开户银行出具的资信证明（附《基本存款账户信息》或《银行开户许可证》复印件）；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 ｝供应商需在项目电子化交易系统中按要求上传相应证明文件并进行电子签章。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参与的供应商（联合体）工程的施工单位全部为符合政策要求的小微企业。</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提供合格有效的法人或者其他组织的营业执照等证明文件， 自然人的身份证明。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提供具有财务审计资质的单位出具经审计的2024年度财务报告；事业法人提供部门决算报告； 或在开标日期前6个月内其基本开户银行出具的资信证明（附《基本存款账户信息》或《银行开户许可证》复印件）； 或财政部门认可的政府采购专业担保机构出具的投标担保函； 或表明具有良好的商业信誉和健全的财务会计制度的诚信声明； 以上四种形式的资料提供任何一种即可。</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供应商须提供提交响应文件截止时间前六个月内已缴存的至少一个月的纳税证明或完税证明（任意税种），依法免税的单位应提供相关证明材料。</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供应商须提供提交响应文件截止时间前六个月内已缴存的至少一个月的社会保障资金缴存单据或社保机构开具的社会保险参保缴费情况证明，依法不需要缴纳社会保障资金的单位应提供相关证明材料。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承诺</w:t>
            </w:r>
          </w:p>
        </w:tc>
        <w:tc>
          <w:tcPr>
            <w:tcW w:type="dxa" w:w="3322"/>
          </w:tcPr>
          <w:p>
            <w:pPr>
              <w:pStyle w:val="null3"/>
            </w:pPr>
            <w:r>
              <w:rPr>
                <w:rFonts w:ascii="仿宋_GB2312" w:hAnsi="仿宋_GB2312" w:cs="仿宋_GB2312" w:eastAsia="仿宋_GB2312"/>
              </w:rPr>
              <w:t>提供具有履行合同所必需的设备和专业技术能力的承诺。</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参加政府采购活动前三年内，在经营活动中没有重大违法记录的书面声明。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法定代表人授权书/法定 代表人身份证明</w:t>
            </w:r>
          </w:p>
        </w:tc>
        <w:tc>
          <w:tcPr>
            <w:tcW w:type="dxa" w:w="3322"/>
          </w:tcPr>
          <w:p>
            <w:pPr>
              <w:pStyle w:val="null3"/>
            </w:pPr>
            <w:r>
              <w:rPr>
                <w:rFonts w:ascii="仿宋_GB2312" w:hAnsi="仿宋_GB2312" w:cs="仿宋_GB2312" w:eastAsia="仿宋_GB2312"/>
              </w:rPr>
              <w:t>法定代表人授权书（附法定代表人、被授权人身份证复印件）及被授权人身份证（法定代表人直接参加投标，须提供法定代表人身份证明及身份证原件）。</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供应商具备建设行政主管部门核发的建筑工程施工总承包三级及以上资质，且具备合格有效的安全生产许可证。</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项目负责人资质和专业要求</w:t>
            </w:r>
          </w:p>
        </w:tc>
        <w:tc>
          <w:tcPr>
            <w:tcW w:type="dxa" w:w="3322"/>
          </w:tcPr>
          <w:p>
            <w:pPr>
              <w:pStyle w:val="null3"/>
            </w:pPr>
            <w:r>
              <w:rPr>
                <w:rFonts w:ascii="仿宋_GB2312" w:hAnsi="仿宋_GB2312" w:cs="仿宋_GB2312" w:eastAsia="仿宋_GB2312"/>
              </w:rPr>
              <w:t>拟派项目经理具备建筑工程专业二级及以上注册建造师资格证书（在本单位注册）及安全生产考核合格证（建安B证），提供提交响应文件截止时间前六个月内已缴存的至少一个月的社保证明且无在建工程。</w:t>
            </w:r>
          </w:p>
        </w:tc>
        <w:tc>
          <w:tcPr>
            <w:tcW w:type="dxa" w:w="1661"/>
          </w:tcPr>
          <w:p>
            <w:pPr>
              <w:pStyle w:val="null3"/>
            </w:pPr>
            <w:r>
              <w:rPr>
                <w:rFonts w:ascii="仿宋_GB2312" w:hAnsi="仿宋_GB2312" w:cs="仿宋_GB2312" w:eastAsia="仿宋_GB2312"/>
              </w:rPr>
              <w:t>项目管理机构组成表 供应商应提交的相关资格证明材料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 ina.gov.cn）中列入“失信被执行人（中国执行信息公开网http://zxgk.court.gov.cn/shixin/ ) ”和“重大税收违法失信主体” 的供应商，不得为中国政府采购网（www.ccgp.gov.cn）政府采购“严重违法失信行为记录名单” 中被财政部门禁止参加政府采购活动的供应商。</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本项目不接受联合体磋商，不允许分包，提供相关承诺或声明。</w:t>
            </w:r>
          </w:p>
        </w:tc>
        <w:tc>
          <w:tcPr>
            <w:tcW w:type="dxa" w:w="1661"/>
          </w:tcPr>
          <w:p>
            <w:pPr>
              <w:pStyle w:val="null3"/>
            </w:pPr>
            <w:r>
              <w:rPr>
                <w:rFonts w:ascii="仿宋_GB2312" w:hAnsi="仿宋_GB2312" w:cs="仿宋_GB2312" w:eastAsia="仿宋_GB2312"/>
              </w:rPr>
              <w:t>供应商应提交的相关资格证明材料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磋商内容未出现漏项或数量与要求符，未出现重大负偏差</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w:t>
            </w:r>
          </w:p>
        </w:tc>
        <w:tc>
          <w:tcPr>
            <w:tcW w:type="dxa" w:w="3322"/>
          </w:tcPr>
          <w:p>
            <w:pPr>
              <w:pStyle w:val="null3"/>
            </w:pPr>
            <w:r>
              <w:rPr>
                <w:rFonts w:ascii="仿宋_GB2312" w:hAnsi="仿宋_GB2312" w:cs="仿宋_GB2312" w:eastAsia="仿宋_GB2312"/>
              </w:rPr>
              <w:t>磋商响应文件的签署、加盖公章有效</w:t>
            </w:r>
          </w:p>
        </w:tc>
        <w:tc>
          <w:tcPr>
            <w:tcW w:type="dxa" w:w="1661"/>
          </w:tcPr>
          <w:p>
            <w:pPr>
              <w:pStyle w:val="null3"/>
            </w:pPr>
            <w:r>
              <w:rPr>
                <w:rFonts w:ascii="仿宋_GB2312" w:hAnsi="仿宋_GB2312" w:cs="仿宋_GB2312" w:eastAsia="仿宋_GB2312"/>
              </w:rPr>
              <w:t>响应文件封面 已标价工程量清单 项目管理机构组成表 中小企业声明函 报价函 技术服务合同条款及其他商务要求应答表 供应商应提交的相关资格证明材料 标的清单 供应商类似项目业绩一览表 响应函 主要人员简历表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磋商响应文件按有效期达到磋商文件的要求</w:t>
            </w:r>
          </w:p>
        </w:tc>
        <w:tc>
          <w:tcPr>
            <w:tcW w:type="dxa" w:w="1661"/>
          </w:tcPr>
          <w:p>
            <w:pPr>
              <w:pStyle w:val="null3"/>
            </w:pPr>
            <w:r>
              <w:rPr>
                <w:rFonts w:ascii="仿宋_GB2312" w:hAnsi="仿宋_GB2312" w:cs="仿宋_GB2312" w:eastAsia="仿宋_GB2312"/>
              </w:rPr>
              <w:t>响应文件封面 报价函 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报价未超过磋商文件中规定的最高限价的</w:t>
            </w:r>
          </w:p>
        </w:tc>
        <w:tc>
          <w:tcPr>
            <w:tcW w:type="dxa" w:w="1661"/>
          </w:tcPr>
          <w:p>
            <w:pPr>
              <w:pStyle w:val="null3"/>
            </w:pPr>
            <w:r>
              <w:rPr>
                <w:rFonts w:ascii="仿宋_GB2312" w:hAnsi="仿宋_GB2312" w:cs="仿宋_GB2312" w:eastAsia="仿宋_GB2312"/>
              </w:rPr>
              <w:t>响应文件封面 报价函</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其他无效情形</w:t>
            </w:r>
          </w:p>
        </w:tc>
        <w:tc>
          <w:tcPr>
            <w:tcW w:type="dxa" w:w="3322"/>
          </w:tcPr>
          <w:p>
            <w:pPr>
              <w:pStyle w:val="null3"/>
            </w:pPr>
            <w:r>
              <w:rPr>
                <w:rFonts w:ascii="仿宋_GB2312" w:hAnsi="仿宋_GB2312" w:cs="仿宋_GB2312" w:eastAsia="仿宋_GB2312"/>
              </w:rPr>
              <w:t>完全理解并接受法律法规和磋商文件对供应商合法经营的各类规约和责任义务要求，未出现法律、法规或磋商文件规定的其他无效情形的</w:t>
            </w:r>
          </w:p>
        </w:tc>
        <w:tc>
          <w:tcPr>
            <w:tcW w:type="dxa" w:w="1661"/>
          </w:tcPr>
          <w:p>
            <w:pPr>
              <w:pStyle w:val="null3"/>
            </w:pPr>
            <w:r>
              <w:rPr>
                <w:rFonts w:ascii="仿宋_GB2312" w:hAnsi="仿宋_GB2312" w:cs="仿宋_GB2312" w:eastAsia="仿宋_GB2312"/>
              </w:rPr>
              <w:t>响应文件封面 已标价工程量清单 项目管理机构组成表 中小企业声明函 报价函 技术服务合同条款及其他商务要求应答表 供应商应提交的相关资格证明材料 标的清单 供应商类似项目业绩一览表 响应函 主要人员简历表 强制优先采购产品承诺函</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总体实施方案</w:t>
            </w:r>
          </w:p>
        </w:tc>
        <w:tc>
          <w:tcPr>
            <w:tcW w:type="dxa" w:w="2492"/>
          </w:tcPr>
          <w:p>
            <w:pPr>
              <w:pStyle w:val="null3"/>
            </w:pPr>
            <w:r>
              <w:rPr>
                <w:rFonts w:ascii="仿宋_GB2312" w:hAnsi="仿宋_GB2312" w:cs="仿宋_GB2312" w:eastAsia="仿宋_GB2312"/>
              </w:rPr>
              <w:t>一、评审内容： 供应商针对本项目编制实施方案，内容包含:①清运、破碎组织安排；②各方协调方案；③人员、车辆管理措施。 二、评审标准 1、完整性:方案必须全面，对评审内容中的各项要求有详细描述； 2、落地性:切合本项目实际情况，提出步骤清晰、合理并具有可实施性的方案; 3、针对性:方案能够紧扣项目实际情况，内容科学合理。 三、赋分标准(满分9分) ①清运、破碎组织安排:每完全满足一个评审标准得1分，部分满足得0.5分，满分3分； ②各方协调方案:每完全满足一个评审标准得1分，部分满足得0.5分，满分3分； ③人员、车辆管理措施:每完全满足一个评审标准得1分，部分满足得0.5分，满分3分。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垃圾清运方案</w:t>
            </w:r>
          </w:p>
        </w:tc>
        <w:tc>
          <w:tcPr>
            <w:tcW w:type="dxa" w:w="2492"/>
          </w:tcPr>
          <w:p>
            <w:pPr>
              <w:pStyle w:val="null3"/>
            </w:pPr>
            <w:r>
              <w:rPr>
                <w:rFonts w:ascii="仿宋_GB2312" w:hAnsi="仿宋_GB2312" w:cs="仿宋_GB2312" w:eastAsia="仿宋_GB2312"/>
              </w:rPr>
              <w:t>一、评审内容： 供应商针对本项目编制方案，内容包含:①垃圾清运方案； 二、评审标准 1、完整性:方案必须全面，对评审内容中的各项要求有详细描述； 2、落地性:切合本项目实际情况，提出步骤清晰、合理并具有可实施性的方案; 3、针对性:方案能够紧扣项目实际情况，内容科学合理。 三、赋分标准(满分9分) ①垃圾清运方案:每完全满足一个评审标准得3分，部分满足得1.5分，满分9分；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清运过程中产生抛洒的处理措施</w:t>
            </w:r>
          </w:p>
        </w:tc>
        <w:tc>
          <w:tcPr>
            <w:tcW w:type="dxa" w:w="2492"/>
          </w:tcPr>
          <w:p>
            <w:pPr>
              <w:pStyle w:val="null3"/>
            </w:pPr>
            <w:r>
              <w:rPr>
                <w:rFonts w:ascii="仿宋_GB2312" w:hAnsi="仿宋_GB2312" w:cs="仿宋_GB2312" w:eastAsia="仿宋_GB2312"/>
              </w:rPr>
              <w:t>一、评审内容： 供应商针对本项目编制措施，内容包含:①清运过程中产生抛洒的处理措施。 二、评审标准 1、完整性:方案必须全面，对评审内容中的各项要求有详细描述； 2、落地性:切合本项目实际情况，提出步骤清晰、合理并具有可实施性的方案; 3、针对性:方案能够紧扣项目实际情况，内容科学合理。 三、赋分标准(满分9分) ①清运过程中产生抛洒的处理措施:每完全满足一个评审标准得3分，部分满足得1.5分，满分9分；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确保治污减霾和防尘污染的技术组织措施</w:t>
            </w:r>
          </w:p>
        </w:tc>
        <w:tc>
          <w:tcPr>
            <w:tcW w:type="dxa" w:w="2492"/>
          </w:tcPr>
          <w:p>
            <w:pPr>
              <w:pStyle w:val="null3"/>
            </w:pPr>
            <w:r>
              <w:rPr>
                <w:rFonts w:ascii="仿宋_GB2312" w:hAnsi="仿宋_GB2312" w:cs="仿宋_GB2312" w:eastAsia="仿宋_GB2312"/>
              </w:rPr>
              <w:t>一、评审内容： 供应商针对本项目编制措施，内容包含:①确保治污减霾和防尘污染的技术组织措施。 二、评审标准 1、完整性:方案必须全面，对评审内容中的各项要求有详细描述； 2、落地性:切合本项目实际情况，提出步骤清晰、合理并具有可实施性的方案; 3、针对性:方案能够紧扣项目实际情况，内容科学合理。 三、赋分标准(满分9分) ①清运过程中产生抛洒的处理措施:每完全满足一个评审标准得3分，部分满足得1.5分，满分9分；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制定安全文明作业措施</w:t>
            </w:r>
          </w:p>
        </w:tc>
        <w:tc>
          <w:tcPr>
            <w:tcW w:type="dxa" w:w="2492"/>
          </w:tcPr>
          <w:p>
            <w:pPr>
              <w:pStyle w:val="null3"/>
            </w:pPr>
            <w:r>
              <w:rPr>
                <w:rFonts w:ascii="仿宋_GB2312" w:hAnsi="仿宋_GB2312" w:cs="仿宋_GB2312" w:eastAsia="仿宋_GB2312"/>
              </w:rPr>
              <w:t>一、评审内容： 供应商针对本项目制定安全文明作业措施，内容包含:①安全防护措施；②安全教育培训制度③文明施工现场管理。 二、评审标准 1、完整性:方案必须全面，对评审内容中的各项要求有详细描述； 2、落地性:切合本项目实际情况，提出步骤清晰、合理并具有可实施性的方案; 3、针对性:方案能够紧扣项目实际情况，内容科学合理。 三、赋分标准(满分4.5分) ①安全防护措施:每完全满足一个评审标准得0.5分,部分满足得0.2分，满分1.5分; ②安全教育培训制度:每完全满足一个评审标准得0.5分,部分满足得0.2分，满分1.5分; ③文明施工现场管理:每完全满足一个评审标准得0.5分，部分满足得0.2分，满分1.5分。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进度保证措施</w:t>
            </w:r>
          </w:p>
        </w:tc>
        <w:tc>
          <w:tcPr>
            <w:tcW w:type="dxa" w:w="2492"/>
          </w:tcPr>
          <w:p>
            <w:pPr>
              <w:pStyle w:val="null3"/>
            </w:pPr>
            <w:r>
              <w:rPr>
                <w:rFonts w:ascii="仿宋_GB2312" w:hAnsi="仿宋_GB2312" w:cs="仿宋_GB2312" w:eastAsia="仿宋_GB2312"/>
              </w:rPr>
              <w:t>一、评审内容： 供应商针对本项目编制进度保证措施，内容包含:①建立进度控制体系；②资源保障方案；③协调沟通措施。 二、评审标准 1、完整性:方案必须全面，对评审内容中的各项要求有详细描述； 2、落地性:切合本项目实际情况，提出步骤清晰、合理并具有可实施性的方案; 3、针对性:方案能够紧扣项目实际情况，内容科学合理。 三、赋分标准(满分4.5分) ①建立进度控制体系:每完全满足一个评审标准得0.5分,部分满足得0.2分，满分1.5分; ②资源保障方案:每完全满足一个评审标准得0.5分，部分满足得0.2分，满分1.5分； ③协调沟通措施:每完全满足一个评审标准得0.5分，部分满足得0.2分，满分1.5分。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拟投入机械设备配置</w:t>
            </w:r>
          </w:p>
        </w:tc>
        <w:tc>
          <w:tcPr>
            <w:tcW w:type="dxa" w:w="2492"/>
          </w:tcPr>
          <w:p>
            <w:pPr>
              <w:pStyle w:val="null3"/>
            </w:pPr>
            <w:r>
              <w:rPr>
                <w:rFonts w:ascii="仿宋_GB2312" w:hAnsi="仿宋_GB2312" w:cs="仿宋_GB2312" w:eastAsia="仿宋_GB2312"/>
              </w:rPr>
              <w:t>一、评审内容： 供应商针对本项目拟投入机械设备配置，内容包含:①施工机械配备；②机械设备管理。 二、评审标准 1、完整性:方案必须全面，对评审内容中的各项要求有详细描述； 2、落地性:切合本项目实际情况，提出步骤清晰、合理并具有可实施性的方案; 3、针对性:方案能够紧扣项目实际情况，内容科学合理。 三、赋分标准(满分3分) ①施工机械配备:每完全满足一个评审标准得0.5分,部分满足得0.2分，满分1.5分； ②机械设备管理:每完全满足一个评审标准得0.5分，部分满足得0.2分，满分1.5分；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投标方案.docx</w:t>
            </w:r>
          </w:p>
        </w:tc>
      </w:tr>
      <w:tr>
        <w:tc>
          <w:tcPr>
            <w:tcW w:type="dxa" w:w="831"/>
            <w:vMerge/>
          </w:tcPr>
          <w:p/>
        </w:tc>
        <w:tc>
          <w:tcPr>
            <w:tcW w:type="dxa" w:w="1661"/>
          </w:tcPr>
          <w:p>
            <w:pPr>
              <w:pStyle w:val="null3"/>
            </w:pPr>
            <w:r>
              <w:rPr>
                <w:rFonts w:ascii="仿宋_GB2312" w:hAnsi="仿宋_GB2312" w:cs="仿宋_GB2312" w:eastAsia="仿宋_GB2312"/>
              </w:rPr>
              <w:t>项目团队配置</w:t>
            </w:r>
          </w:p>
        </w:tc>
        <w:tc>
          <w:tcPr>
            <w:tcW w:type="dxa" w:w="2492"/>
          </w:tcPr>
          <w:p>
            <w:pPr>
              <w:pStyle w:val="null3"/>
            </w:pPr>
            <w:r>
              <w:rPr>
                <w:rFonts w:ascii="仿宋_GB2312" w:hAnsi="仿宋_GB2312" w:cs="仿宋_GB2312" w:eastAsia="仿宋_GB2312"/>
              </w:rPr>
              <w:t>一、评审内容： 供应商针对本项目编制项目团队配置，内容包含：①管理机构人员配置（项目经理、技术负责人、安全管理人员、质量员、施工员、材料员、资料员）；②职责分工。 二、评审标准 1、完整性:人员配置须全面，满足项目人员需求； 2、落地性:切合本项目实际情况，设置组织机构； 3、针对性:人员职责分工明确紧扣项目实际情况。 三、赋分标准(满分9分) ①管理机构人员配置:每完全满足一个评审标准得5分,每增加1人加0.5分，每减少1人扣0.5分，满分6分; ②职责分工:每完全满足一个评审标准得1分，部分满足得0.5分，满分3分。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技术服务合同条款及其他商务要求应答表</w:t>
            </w:r>
          </w:p>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项目管理机构组成表</w:t>
            </w:r>
          </w:p>
        </w:tc>
      </w:tr>
      <w:tr>
        <w:tc>
          <w:tcPr>
            <w:tcW w:type="dxa" w:w="831"/>
            <w:vMerge/>
          </w:tcPr>
          <w:p/>
        </w:tc>
        <w:tc>
          <w:tcPr>
            <w:tcW w:type="dxa" w:w="1661"/>
          </w:tcPr>
          <w:p>
            <w:pPr>
              <w:pStyle w:val="null3"/>
            </w:pPr>
            <w:r>
              <w:rPr>
                <w:rFonts w:ascii="仿宋_GB2312" w:hAnsi="仿宋_GB2312" w:cs="仿宋_GB2312" w:eastAsia="仿宋_GB2312"/>
              </w:rPr>
              <w:t>突发事件应急预案</w:t>
            </w:r>
          </w:p>
        </w:tc>
        <w:tc>
          <w:tcPr>
            <w:tcW w:type="dxa" w:w="2492"/>
          </w:tcPr>
          <w:p>
            <w:pPr>
              <w:pStyle w:val="null3"/>
            </w:pPr>
            <w:r>
              <w:rPr>
                <w:rFonts w:ascii="仿宋_GB2312" w:hAnsi="仿宋_GB2312" w:cs="仿宋_GB2312" w:eastAsia="仿宋_GB2312"/>
              </w:rPr>
              <w:t>一、评审内容 提供健全可靠的突发事件应急处理方案，内容包括①应急调配能力，②意外事故处理方案，③建立应急响应机制 二、评审标准 1、完整性:方案必须全面，对评审内容中的各项要求有详细描述； 2、落地性:切合本项目实际情况，提出步骤清晰、合理并具有可实施性的方案; 3、针对性:方案能够紧扣项目实际情况，内容科学合理。 三、赋分标准(满分4.5分) ①应急调配能力：每完全满足一个评审标准得0.5分,部分满足得0.2分，满分1.5分; ②意外事故处理方案:每完全满足一个评审标准得0.5分,部分满足得0.2分，满分1.5分; ③建立应急响应机制:每完全满足一个评审标准得0.5分，部分满足得0.2分，满分1.5分。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一、评审内容： 供应商针对本项目编制服务承诺，内容包含:①服务过程相关承诺；②接受采购人监督管理的相关承诺。 二、评审标准 1、完整性:方案必须全面，对评审内容中的各项要求有详细描述； 2、落地性:切合本项目实际情况，提出步骤清晰、合理并具有可实施性的方案; 3、针对性:方案能够紧扣项目实际情况，内容科学合理。 三、赋分标准(满分4.5分) ①服务过程相关承诺：每完全满足一个评审标准得0.5分,部分满足得0.2分，满分1.5分; ②接受采购人监督管理的相关承诺:每完全满足一个评审标准得1分,部分满足得0.5分，满分3分;</w:t>
            </w:r>
          </w:p>
        </w:tc>
        <w:tc>
          <w:tcPr>
            <w:tcW w:type="dxa" w:w="831"/>
          </w:tcPr>
          <w:p>
            <w:pPr>
              <w:pStyle w:val="null3"/>
              <w:jc w:val="right"/>
            </w:pPr>
            <w:r>
              <w:rPr>
                <w:rFonts w:ascii="仿宋_GB2312" w:hAnsi="仿宋_GB2312" w:cs="仿宋_GB2312" w:eastAsia="仿宋_GB2312"/>
              </w:rPr>
              <w:t>4.5000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投标方案.docx</w:t>
            </w:r>
          </w:p>
          <w:p>
            <w:pPr>
              <w:pStyle w:val="null3"/>
            </w:pPr>
            <w:r>
              <w:rPr>
                <w:rFonts w:ascii="仿宋_GB2312" w:hAnsi="仿宋_GB2312" w:cs="仿宋_GB2312" w:eastAsia="仿宋_GB2312"/>
              </w:rPr>
              <w:t>技术服务合同条款及其他商务要求应答表</w:t>
            </w:r>
          </w:p>
        </w:tc>
      </w:tr>
      <w:tr>
        <w:tc>
          <w:tcPr>
            <w:tcW w:type="dxa" w:w="831"/>
            <w:vMerge/>
          </w:tcP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2022年12月至今类似项目业绩，每提供一份业绩合同得1分，满4分。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供应商类似项目业绩一览表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采用低价优先法计算，即满足磋商文件要求且最后报价最低的供应商的价格为磋商基准价，其价格分为满分。磋商报价得分＝（磋商基准价/最后磋商报价）×30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已标价工程量清单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详见附件：供应商类似项目业绩一览表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详见附件：强制优先采购产品承诺函</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详见附件：投标方案.docx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