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版本号：XACH2025-092、XDZ2025-386-J-11920251209001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上市企业园临时道路项目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XACH2025-092、XDZ2025-386-J-119</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上市企业园临时道路项目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XACH2025-092、XDZ2025-386-J-119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上市企业园临时道路项目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本项目西起经四十二路（现状），东至经四十路（规划），道路设计长度为513.373m。主要包含临时便道工程、道路拆除及恢复、绿化及路灯迁移。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4、资质证书：具备建设行政主管部门颁发的市政公用工程施工总承包三级及以上资质，且具有有效的安全生产许可证；供应商需在项目电子化交易系统中按要求上传相应证明文件并进行电子签章。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5、项目经理：项目经理须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029-81151161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 商碧红 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采购包1：1,862,489.45元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100万-500万按0.7%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一、符合国家、地方及行业合格标准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 商碧红 王文文</w:t>
      </w:r>
    </w:p>
    <w:p>
      <w:pPr>
        <w:pStyle w:val="null3"/>
      </w:pPr>
      <w:r>
        <w:rPr>
          <w:rFonts w:ascii="仿宋_GB2312" w:hAnsi="仿宋_GB2312" w:cs="仿宋_GB2312" w:eastAsia="仿宋_GB2312"/>
        </w:rPr>
        <w:t>联系电话：029-87563729 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1,862,489.45</w:t>
      </w:r>
    </w:p>
    <w:p>
      <w:pPr>
        <w:pStyle w:val="null3"/>
      </w:pPr>
      <w:r>
        <w:rPr>
          <w:rFonts w:ascii="仿宋_GB2312" w:hAnsi="仿宋_GB2312" w:cs="仿宋_GB2312" w:eastAsia="仿宋_GB2312"/>
        </w:rPr>
        <w:t>采购包最高限价（元）: 1,862,489.45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上市企业园临时道路项目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1,862,489.45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标的名称：上市企业园临时道路项目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6"/>
            </w:pPr>
            <w:r>
              <w:rPr>
                <w:rFonts w:ascii="仿宋_GB2312" w:hAnsi="仿宋_GB2312" w:cs="仿宋_GB2312" w:eastAsia="仿宋_GB2312"/>
                <w:sz w:val="21"/>
                <w:b/>
              </w:rPr>
              <w:t>一、施工内容</w:t>
            </w:r>
          </w:p>
          <w:p>
            <w:pPr>
              <w:pStyle w:val="null3"/>
              <w:ind w:firstLine="484"/>
            </w:pPr>
            <w:r>
              <w:rPr>
                <w:rFonts w:ascii="仿宋_GB2312" w:hAnsi="仿宋_GB2312" w:cs="仿宋_GB2312" w:eastAsia="仿宋_GB2312"/>
                <w:sz w:val="21"/>
              </w:rPr>
              <w:t>本项目西起经四十二路（现状），东至经四十路（规划），道路设计长度为513.373m。主要包含临时便道工程、道路拆除及恢复、绿化及路灯迁移。</w:t>
            </w:r>
          </w:p>
          <w:p>
            <w:pPr>
              <w:pStyle w:val="null3"/>
              <w:ind w:firstLine="486"/>
            </w:pPr>
            <w:r>
              <w:rPr>
                <w:rFonts w:ascii="仿宋_GB2312" w:hAnsi="仿宋_GB2312" w:cs="仿宋_GB2312" w:eastAsia="仿宋_GB2312"/>
                <w:sz w:val="21"/>
                <w:b/>
              </w:rPr>
              <w:t>二、实施地点</w:t>
            </w:r>
            <w:r>
              <w:rPr>
                <w:rFonts w:ascii="仿宋_GB2312" w:hAnsi="仿宋_GB2312" w:cs="仿宋_GB2312" w:eastAsia="仿宋_GB2312"/>
                <w:sz w:val="21"/>
              </w:rPr>
              <w:t>：西起经四十二路（现状），东至经四十路（规划）。</w:t>
            </w:r>
          </w:p>
          <w:p>
            <w:pPr>
              <w:pStyle w:val="null3"/>
              <w:ind w:firstLine="486"/>
            </w:pPr>
            <w:r>
              <w:rPr>
                <w:rFonts w:ascii="仿宋_GB2312" w:hAnsi="仿宋_GB2312" w:cs="仿宋_GB2312" w:eastAsia="仿宋_GB2312"/>
                <w:sz w:val="21"/>
                <w:b/>
              </w:rPr>
              <w:t>三</w:t>
            </w:r>
            <w:r>
              <w:rPr>
                <w:rFonts w:ascii="仿宋_GB2312" w:hAnsi="仿宋_GB2312" w:cs="仿宋_GB2312" w:eastAsia="仿宋_GB2312"/>
                <w:sz w:val="21"/>
                <w:b/>
              </w:rPr>
              <w:t>、项目要求：</w:t>
            </w:r>
          </w:p>
          <w:p>
            <w:pPr>
              <w:pStyle w:val="null3"/>
              <w:ind w:firstLine="484"/>
            </w:pPr>
            <w:r>
              <w:rPr>
                <w:rFonts w:ascii="仿宋_GB2312" w:hAnsi="仿宋_GB2312" w:cs="仿宋_GB2312" w:eastAsia="仿宋_GB2312"/>
                <w:sz w:val="21"/>
              </w:rPr>
              <w:t>1、工程质量目标:达到国家、省市或相关行业规范“合格”标准要求。</w:t>
            </w:r>
          </w:p>
          <w:p>
            <w:pPr>
              <w:pStyle w:val="null3"/>
              <w:ind w:firstLine="484"/>
            </w:pPr>
            <w:r>
              <w:rPr>
                <w:rFonts w:ascii="仿宋_GB2312" w:hAnsi="仿宋_GB2312" w:cs="仿宋_GB2312" w:eastAsia="仿宋_GB2312"/>
                <w:sz w:val="21"/>
              </w:rPr>
              <w:t>2、安全生产目标:无伤亡事故、无重大机械事故、无扬尘、无噪音扰民。</w:t>
            </w:r>
          </w:p>
          <w:p>
            <w:pPr>
              <w:pStyle w:val="null3"/>
              <w:ind w:firstLine="526"/>
            </w:pP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工期、质保期及缺陷责任期</w:t>
            </w:r>
            <w:r>
              <w:rPr>
                <w:rFonts w:ascii="仿宋_GB2312" w:hAnsi="仿宋_GB2312" w:cs="仿宋_GB2312" w:eastAsia="仿宋_GB2312"/>
                <w:sz w:val="21"/>
                <w:b/>
              </w:rPr>
              <w:t>：</w:t>
            </w:r>
          </w:p>
          <w:p>
            <w:pPr>
              <w:pStyle w:val="null3"/>
              <w:ind w:firstLine="484"/>
            </w:pPr>
            <w:r>
              <w:rPr>
                <w:rFonts w:ascii="仿宋_GB2312" w:hAnsi="仿宋_GB2312" w:cs="仿宋_GB2312" w:eastAsia="仿宋_GB2312"/>
                <w:sz w:val="21"/>
              </w:rPr>
              <w:t>1、工期：合同签订之日起100日历日。</w:t>
            </w:r>
          </w:p>
          <w:p>
            <w:pPr>
              <w:pStyle w:val="null3"/>
              <w:ind w:firstLine="484"/>
            </w:pPr>
            <w:r>
              <w:rPr>
                <w:rFonts w:ascii="仿宋_GB2312" w:hAnsi="仿宋_GB2312" w:cs="仿宋_GB2312" w:eastAsia="仿宋_GB2312"/>
                <w:sz w:val="21"/>
              </w:rPr>
              <w:t>2、质保期：按照《建设工程质量管理条例》及国家有关规定执行。</w:t>
            </w:r>
          </w:p>
          <w:p>
            <w:pPr>
              <w:pStyle w:val="null3"/>
              <w:ind w:firstLine="484"/>
            </w:pPr>
            <w:r>
              <w:rPr>
                <w:rFonts w:ascii="仿宋_GB2312" w:hAnsi="仿宋_GB2312" w:cs="仿宋_GB2312" w:eastAsia="仿宋_GB2312"/>
                <w:sz w:val="21"/>
              </w:rPr>
              <w:t>3、缺陷责任期：自工程竣工验收合格之日起24个月。</w:t>
            </w:r>
          </w:p>
          <w:p>
            <w:pPr>
              <w:pStyle w:val="null3"/>
              <w:ind w:firstLine="486"/>
            </w:pPr>
            <w:r>
              <w:rPr>
                <w:rFonts w:ascii="仿宋_GB2312" w:hAnsi="仿宋_GB2312" w:cs="仿宋_GB2312" w:eastAsia="仿宋_GB2312"/>
                <w:sz w:val="21"/>
                <w:b/>
              </w:rPr>
              <w:t>五</w:t>
            </w:r>
            <w:r>
              <w:rPr>
                <w:rFonts w:ascii="仿宋_GB2312" w:hAnsi="仿宋_GB2312" w:cs="仿宋_GB2312" w:eastAsia="仿宋_GB2312"/>
                <w:sz w:val="21"/>
                <w:b/>
              </w:rPr>
              <w:t>、安全</w:t>
            </w:r>
            <w:r>
              <w:rPr>
                <w:rFonts w:ascii="仿宋_GB2312" w:hAnsi="仿宋_GB2312" w:cs="仿宋_GB2312" w:eastAsia="仿宋_GB2312"/>
                <w:sz w:val="21"/>
                <w:b/>
              </w:rPr>
              <w:t>技术</w:t>
            </w:r>
            <w:r>
              <w:rPr>
                <w:rFonts w:ascii="仿宋_GB2312" w:hAnsi="仿宋_GB2312" w:cs="仿宋_GB2312" w:eastAsia="仿宋_GB2312"/>
                <w:sz w:val="21"/>
                <w:b/>
              </w:rPr>
              <w:t>要求</w:t>
            </w:r>
          </w:p>
          <w:p>
            <w:pPr>
              <w:pStyle w:val="null3"/>
              <w:ind w:firstLine="484"/>
            </w:pPr>
            <w:r>
              <w:rPr>
                <w:rFonts w:ascii="仿宋_GB2312" w:hAnsi="仿宋_GB2312" w:cs="仿宋_GB2312" w:eastAsia="仿宋_GB2312"/>
                <w:sz w:val="21"/>
              </w:rPr>
              <w:t>遵守工程建设安全生产有关管理规定，严格按安全标准组织施工，采取必要的安全生产措施，消除事故隐患。安全措施不力造成事故责任和发生的费用由成交供应商承担。</w:t>
            </w:r>
          </w:p>
          <w:p>
            <w:pPr>
              <w:pStyle w:val="null3"/>
              <w:ind w:firstLine="486"/>
            </w:pPr>
            <w:r>
              <w:rPr>
                <w:rFonts w:ascii="仿宋_GB2312" w:hAnsi="仿宋_GB2312" w:cs="仿宋_GB2312" w:eastAsia="仿宋_GB2312"/>
                <w:sz w:val="21"/>
                <w:b/>
              </w:rPr>
              <w:t>六</w:t>
            </w:r>
            <w:r>
              <w:rPr>
                <w:rFonts w:ascii="仿宋_GB2312" w:hAnsi="仿宋_GB2312" w:cs="仿宋_GB2312" w:eastAsia="仿宋_GB2312"/>
                <w:sz w:val="21"/>
                <w:b/>
              </w:rPr>
              <w:t>、工程施工基本要求</w:t>
            </w:r>
          </w:p>
          <w:p>
            <w:pPr>
              <w:pStyle w:val="null3"/>
              <w:ind w:firstLine="484"/>
            </w:pPr>
            <w:r>
              <w:rPr>
                <w:rFonts w:ascii="仿宋_GB2312" w:hAnsi="仿宋_GB2312" w:cs="仿宋_GB2312" w:eastAsia="仿宋_GB2312"/>
                <w:sz w:val="21"/>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p>
            <w:pPr>
              <w:pStyle w:val="null3"/>
            </w:pPr>
            <w:r>
              <w:rPr>
                <w:rFonts w:ascii="仿宋_GB2312" w:hAnsi="仿宋_GB2312" w:cs="仿宋_GB2312" w:eastAsia="仿宋_GB2312"/>
                <w:sz w:val="21"/>
                <w:b/>
              </w:rPr>
              <w:t xml:space="preserve">  七</w:t>
            </w:r>
            <w:r>
              <w:rPr>
                <w:rFonts w:ascii="仿宋_GB2312" w:hAnsi="仿宋_GB2312" w:cs="仿宋_GB2312" w:eastAsia="仿宋_GB2312"/>
                <w:sz w:val="21"/>
                <w:b/>
              </w:rPr>
              <w:t>、</w:t>
            </w:r>
            <w:r>
              <w:rPr>
                <w:rFonts w:ascii="仿宋_GB2312" w:hAnsi="仿宋_GB2312" w:cs="仿宋_GB2312" w:eastAsia="仿宋_GB2312"/>
                <w:sz w:val="21"/>
              </w:rPr>
              <w:t>本项目暂列金按144000.00元计入其他项目费中。各供应商按照磋商文件给定的暂列金额报价，否则视为无效响应。</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（1）《中华人民共和国建筑法》 （2）《建设工程质量管理条例》（国务院279号） （3）《建设工程安全生产管理条例》（国务院393号） （4）《建筑工程施工质量验收统一标准》GB 50303-2013 （5）《建筑施工安全检查标准》 JGJ59-2011 （6）《建设工程项目管理规范》（GB/T50326-2017） 符合国家有关工程施工质量验收标准合格条件，达到国家现行施工验收规范“合格”标准。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3.3.1付款方式及依据： ①付款方式： （1）支付方式： 1）按月进度支付。承包人每月25日向发包人上报本月完成的工程量及其造价，承包人按月申报的进度产值并经发包人审核确认金额后，作为施工进度付款依据，发包人在收到该申请后14天内核对完毕，并在收到进度款申请的14天内批准，发包人按支付程序向承包人支付本月经审核进度款总额的80%。 2）工程款付至合同价减去未发生的暂列金额及已支付的安全文明施工措施费用后的80%时暂停支付，工程竣工验收合格、出具验收证书，并经第三方造价咨询公司审核后出具工程结算报告，承包人提供结算金额全额的增值税普通发票，待管委会确认后支付至结算款的97%。剩余3%作为保修金，竣工验收合格，缺陷责任期满后无息退还（扣除相关应扣费用）。 3）承包人应按照要求办理完所有手续后完成工程款结算并办理支付。每次支付前，承包人应提供符合发包人要求的等额增值税发票，否则发包人有权拒绝付款并不承担任何责任。 4）在工程款支付时，发包人使用银行转账方式进行支付。 ②付款依据：等额发票、验收报告或相关证明材料。 注：工程结算以财政结算审定价款据实结算。 3.3.2本项目磋商总报价为完成本项目磋商文件中所提出的工作范围及要求的全部内容，并达到国家及采购人验收标准而产生的所有费用，磋商报价包括但不限于以下内容：包括人工费、材料费、机械费、措施费、管理费、利润、税金、风险、工程保险费、招标代理服务费、防污治霾费等完成本项目所产生的一切费用。任何错报、漏报由供应商自行负责。 3.3.3清单编制依据：陕西省工程建设标准《房屋建筑与装饰工程工程量计算标准》DB61/T 5129-2025、陕西省工程建设标准《通用安装工程工程量计算标准》DB61/T5130-2025、陕西省工程建设标准《市政工程工程量计算标准》DB61/T5128-2025、陕西省工程建设标准《园林绿化工程工程量计算标准》DB61/T5131-2025; 《建设工程工程量清单计价标准》DB61/T5126-2025、《陕西省建设工程费用规则》（2025）、《陕西省房屋建筑与装饰工程消耗量定额》(2025)、《陕西省通用安装工程消耗量定额》（2025）、《陕西省市政工程消耗量定额》（2025）、《陕西省园林绿化工程消耗量定额》（2025）及配套计价费率、相关政策性文件。 3.3.4广联达计价软件版本号：GCCP7.5000.23.2。 3.3.5成交人领取成交通知书时须向代理机构提交纸质版磋商响应文件：正本壹份、副本贰份、电子版（U盘）贰份。 3.3.6采购标的对应的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具备建设行政主管部门颁发的市政公用工程施工总承包三级及以上资质，且具有有效的安全生产许可证；供应商需在项目电子化交易系统中按要求上传相应证明文件并进行电子签章。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第一轮报价表.docx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已标价工程量清单 第一轮报价表.docx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已标价工程量清单 第一轮报价表.docx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已标价工程量清单 第一轮报价表.docx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已标价工程量清单 第一轮报价表.docx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已标价工程量清单 第一轮报价表.docx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已标价工程量清单 第一轮报价表.docx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方案总体思路清晰、合理、可操作性强、可执行程度强，且能很好推动项目实施计（7-10]分；方案总体思路基本明确、可行性、合理性高计（4-7]分；方案思路模糊、可行性、不够合理计[0-4]分。本项满分10分；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人员搭配合理，数量充足，经验丰富，证明材料详尽计（4-8]分;人员搭配较为合理，数量较充足，经验不足，证明材料不够详尽计[0-4]分。本项满分8分；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机械、设备安排合理、完整计（3-6]分，机械、设备安排简单计[0-3]分。本项满分6分；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根据进度表或网络图结构清晰、安排科学合理响应程度计[0-4]分，本项满分4分。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提供供应商2022年以来类似项目业绩合同（以合同签订时间为准），每份计2分，满分10分。（注：以上证明文件在磋商响应文件中附业绩合同扫描件并加盖公章）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第一轮报价表.docx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采购标的对应的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第一轮报价表.docx</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详见附件：第一轮报价表.docx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详见附件：技术标.docx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