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版本号：WLZBGX-20250400220250311001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操场改造提升项目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WLZBGX-202504002</w:t>
      </w:r>
      <w:r>
        <w:br/>
      </w:r>
      <w:r>
        <w:br/>
      </w:r>
      <w:r>
        <w:br/>
      </w:r>
    </w:p>
    <w:p>
      <w:pPr>
        <w:pStyle w:val="null3"/>
        <w:jc w:val="center"/>
        <w:outlineLvl w:val="2"/>
      </w:pPr>
      <w:r>
        <w:rPr>
          <w:rFonts w:ascii="仿宋_GB2312" w:hAnsi="仿宋_GB2312" w:cs="仿宋_GB2312" w:eastAsia="仿宋_GB2312"/>
          <w:sz w:val="28"/>
          <w:b/>
        </w:rPr>
        <w:t>西安高新第二学校</w:t>
      </w:r>
    </w:p>
    <w:p>
      <w:pPr>
        <w:pStyle w:val="null3"/>
        <w:jc w:val="center"/>
        <w:outlineLvl w:val="2"/>
      </w:pPr>
      <w:r>
        <w:rPr>
          <w:rFonts w:ascii="仿宋_GB2312" w:hAnsi="仿宋_GB2312" w:cs="仿宋_GB2312" w:eastAsia="仿宋_GB2312"/>
          <w:sz w:val="28"/>
          <w:b/>
        </w:rPr>
        <w:t>万隆金剑工程管理咨询有限公司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万隆金剑工程管理咨询有限公司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西安高新第二学校</w:t>
      </w:r>
      <w:r>
        <w:rPr>
          <w:rFonts w:ascii="仿宋_GB2312" w:hAnsi="仿宋_GB2312" w:cs="仿宋_GB2312" w:eastAsia="仿宋_GB2312"/>
        </w:rPr>
        <w:t>委托，拟对</w:t>
      </w:r>
      <w:r>
        <w:rPr>
          <w:rFonts w:ascii="仿宋_GB2312" w:hAnsi="仿宋_GB2312" w:cs="仿宋_GB2312" w:eastAsia="仿宋_GB2312"/>
        </w:rPr>
        <w:t>操场改造提升项目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WLZBGX-202504002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操场改造提升项目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西安高新第二学校操场改造提升项目（详见清单）。项目预算：1168490.97元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采购包1（西安高新第二学校操场改造提升项目）：属于专门面向中小企业采购。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3、资质证书：供应商须具备建设行政主管部门颁发的建筑工程施工总承包三级及以上资质，并具备建设行政主管部门颁发的安全生产许可证；</w:t>
      </w:r>
    </w:p>
    <w:p>
      <w:pPr>
        <w:pStyle w:val="null3"/>
      </w:pPr>
      <w:r>
        <w:rPr>
          <w:rFonts w:ascii="仿宋_GB2312" w:hAnsi="仿宋_GB2312" w:cs="仿宋_GB2312" w:eastAsia="仿宋_GB2312"/>
        </w:rPr>
        <w:t>4、项目经理：拟派项目经理具备建筑工程专业二级及以上注册建造师资质证书，并具备安全考核B证，并提供无在建工程证明；</w:t>
      </w:r>
    </w:p>
    <w:p>
      <w:pPr>
        <w:pStyle w:val="null3"/>
      </w:pPr>
      <w:r>
        <w:rPr>
          <w:rFonts w:ascii="仿宋_GB2312" w:hAnsi="仿宋_GB2312" w:cs="仿宋_GB2312" w:eastAsia="仿宋_GB2312"/>
        </w:rPr>
        <w:t>5、外省企业要求：省外企业及拟派项目经理在“陕西省建筑市场监管与诚信信息发布平台”或“西安建设市场诚信信息平台”登记可查询；</w:t>
      </w:r>
    </w:p>
    <w:p>
      <w:pPr>
        <w:pStyle w:val="null3"/>
      </w:pPr>
      <w:r>
        <w:rPr>
          <w:rFonts w:ascii="仿宋_GB2312" w:hAnsi="仿宋_GB2312" w:cs="仿宋_GB2312" w:eastAsia="仿宋_GB2312"/>
        </w:rPr>
        <w:t>6、信用记录：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7、联合体：本项目不接受联合体磋商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西安高新第二学校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西安市雁塔区高新六路58号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西安高新第二学校经办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029-88455552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万隆金剑工程管理咨询有限公司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陕西省西安市雁塔区西安市高新区沣惠南路20号华晶商务广场B座10501,10502</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15667108020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采购包1：1,168,490.97元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本项目收取代理服务费 代理服务费用收取对象：中标/成交供应商 代理服务费收费标准：参照国家发展和改革委员会《招标代理服务收费暂行办法》（计价格[2002]1980号）和《国家发展改革委关于降低部分建设项目收费标准规范收费行为等有关问题的通知》(发改价格〔2011〕534号)规定执行。以成交金额作为基数，差额累进法进行计算。招标代理服务费不足6000元，按6000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西安高新第二学校</w:t>
      </w:r>
      <w:r>
        <w:rPr>
          <w:rFonts w:ascii="仿宋_GB2312" w:hAnsi="仿宋_GB2312" w:cs="仿宋_GB2312" w:eastAsia="仿宋_GB2312"/>
        </w:rPr>
        <w:t>和</w:t>
      </w:r>
      <w:r>
        <w:rPr>
          <w:rFonts w:ascii="仿宋_GB2312" w:hAnsi="仿宋_GB2312" w:cs="仿宋_GB2312" w:eastAsia="仿宋_GB2312"/>
        </w:rPr>
        <w:t>万隆金剑工程管理咨询有限公司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西安高新第二学校</w:t>
      </w:r>
      <w:r>
        <w:rPr>
          <w:rFonts w:ascii="仿宋_GB2312" w:hAnsi="仿宋_GB2312" w:cs="仿宋_GB2312" w:eastAsia="仿宋_GB2312"/>
        </w:rPr>
        <w:t>负责解释。除上述磋商文件内容，其他内容由</w:t>
      </w:r>
      <w:r>
        <w:rPr>
          <w:rFonts w:ascii="仿宋_GB2312" w:hAnsi="仿宋_GB2312" w:cs="仿宋_GB2312" w:eastAsia="仿宋_GB2312"/>
        </w:rPr>
        <w:t>万隆金剑工程管理咨询有限公司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西安高新第二学校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万隆金剑工程管理咨询有限公司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详见合同模板</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联系人：余工</w:t>
      </w:r>
    </w:p>
    <w:p>
      <w:pPr>
        <w:pStyle w:val="null3"/>
      </w:pPr>
      <w:r>
        <w:rPr>
          <w:rFonts w:ascii="仿宋_GB2312" w:hAnsi="仿宋_GB2312" w:cs="仿宋_GB2312" w:eastAsia="仿宋_GB2312"/>
        </w:rPr>
        <w:t>联系电话：15667108020</w:t>
      </w:r>
    </w:p>
    <w:p>
      <w:pPr>
        <w:pStyle w:val="null3"/>
      </w:pPr>
      <w:r>
        <w:rPr>
          <w:rFonts w:ascii="仿宋_GB2312" w:hAnsi="仿宋_GB2312" w:cs="仿宋_GB2312" w:eastAsia="仿宋_GB2312"/>
        </w:rPr>
        <w:t>地址：陕西省西安市高新区沣惠南路20号华晶商务广场B座10501，10502</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1,168,490.97</w:t>
      </w:r>
    </w:p>
    <w:p>
      <w:pPr>
        <w:pStyle w:val="null3"/>
      </w:pPr>
      <w:r>
        <w:rPr>
          <w:rFonts w:ascii="仿宋_GB2312" w:hAnsi="仿宋_GB2312" w:cs="仿宋_GB2312" w:eastAsia="仿宋_GB2312"/>
        </w:rPr>
        <w:t>采购包最高限价（元）: 1,168,490.97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西安高新第二学校操场改造提升项目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1,168,490.97</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标的名称：西安高新第二学校操场改造提升项目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rPr>
              <w:t>工程内容：本工程为</w:t>
            </w:r>
            <w:r>
              <w:rPr>
                <w:rFonts w:ascii="仿宋_GB2312" w:hAnsi="仿宋_GB2312" w:cs="仿宋_GB2312" w:eastAsia="仿宋_GB2312"/>
                <w:sz w:val="21"/>
              </w:rPr>
              <w:t>西安高新第二学校操场改造提升项目</w:t>
            </w:r>
            <w:r>
              <w:rPr>
                <w:rFonts w:ascii="仿宋_GB2312" w:hAnsi="仿宋_GB2312" w:cs="仿宋_GB2312" w:eastAsia="仿宋_GB2312"/>
                <w:sz w:val="21"/>
              </w:rPr>
              <w:t>。</w:t>
            </w:r>
            <w:r>
              <w:rPr>
                <w:rFonts w:ascii="仿宋_GB2312" w:hAnsi="仿宋_GB2312" w:cs="仿宋_GB2312" w:eastAsia="仿宋_GB2312"/>
                <w:sz w:val="21"/>
              </w:rPr>
              <w:t>现需要对</w:t>
            </w:r>
            <w:r>
              <w:rPr>
                <w:rFonts w:ascii="仿宋_GB2312" w:hAnsi="仿宋_GB2312" w:cs="仿宋_GB2312" w:eastAsia="仿宋_GB2312"/>
                <w:sz w:val="21"/>
              </w:rPr>
              <w:t>操场跑道及辅道塑胶</w:t>
            </w:r>
            <w:r>
              <w:rPr>
                <w:rFonts w:ascii="仿宋_GB2312" w:hAnsi="仿宋_GB2312" w:cs="仿宋_GB2312" w:eastAsia="仿宋_GB2312"/>
                <w:sz w:val="21"/>
              </w:rPr>
              <w:t>进行</w:t>
            </w:r>
            <w:r>
              <w:rPr>
                <w:rFonts w:ascii="仿宋_GB2312" w:hAnsi="仿宋_GB2312" w:cs="仿宋_GB2312" w:eastAsia="仿宋_GB2312"/>
                <w:sz w:val="21"/>
              </w:rPr>
              <w:t>更换铺设、草坪更换铺设</w:t>
            </w:r>
            <w:r>
              <w:rPr>
                <w:rFonts w:ascii="仿宋_GB2312" w:hAnsi="仿宋_GB2312" w:cs="仿宋_GB2312" w:eastAsia="仿宋_GB2312"/>
                <w:sz w:val="21"/>
              </w:rPr>
              <w:t>并对</w:t>
            </w:r>
            <w:r>
              <w:rPr>
                <w:rFonts w:ascii="仿宋_GB2312" w:hAnsi="仿宋_GB2312" w:cs="仿宋_GB2312" w:eastAsia="仿宋_GB2312"/>
                <w:sz w:val="21"/>
              </w:rPr>
              <w:t>局部地面塌陷维修等</w:t>
            </w:r>
            <w:r>
              <w:rPr>
                <w:rFonts w:ascii="仿宋_GB2312" w:hAnsi="仿宋_GB2312" w:cs="仿宋_GB2312" w:eastAsia="仿宋_GB2312"/>
                <w:sz w:val="21"/>
              </w:rPr>
              <w:t>;</w:t>
            </w:r>
            <w:r>
              <w:rPr>
                <w:rFonts w:ascii="仿宋_GB2312" w:hAnsi="仿宋_GB2312" w:cs="仿宋_GB2312" w:eastAsia="仿宋_GB2312"/>
                <w:sz w:val="21"/>
              </w:rPr>
              <w:t>需满足的要求</w:t>
            </w:r>
            <w:r>
              <w:rPr>
                <w:rFonts w:ascii="仿宋_GB2312" w:hAnsi="仿宋_GB2312" w:cs="仿宋_GB2312" w:eastAsia="仿宋_GB2312"/>
                <w:sz w:val="21"/>
              </w:rPr>
              <w:t>:</w:t>
            </w:r>
            <w:r>
              <w:rPr>
                <w:rFonts w:ascii="仿宋_GB2312" w:hAnsi="仿宋_GB2312" w:cs="仿宋_GB2312" w:eastAsia="仿宋_GB2312"/>
                <w:sz w:val="21"/>
              </w:rPr>
              <w:t>操场跑道及辅道塑胶更换铺设、草坪更换铺设、局部地面塌陷维修等。</w:t>
            </w:r>
            <w:r>
              <w:rPr>
                <w:rFonts w:ascii="仿宋_GB2312" w:hAnsi="仿宋_GB2312" w:cs="仿宋_GB2312" w:eastAsia="仿宋_GB2312"/>
                <w:sz w:val="21"/>
              </w:rPr>
              <w:t>具体施工内容详见工程量清单。</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1.施工地点：采购人指定地点</w:t>
            </w:r>
          </w:p>
          <w:p>
            <w:pPr>
              <w:pStyle w:val="null3"/>
            </w:pPr>
            <w:r>
              <w:rPr>
                <w:rFonts w:ascii="仿宋_GB2312" w:hAnsi="仿宋_GB2312" w:cs="仿宋_GB2312" w:eastAsia="仿宋_GB2312"/>
              </w:rPr>
              <w:t>2.工程施工、竣工验收（工期）：45日历天。</w:t>
            </w:r>
          </w:p>
          <w:p>
            <w:pPr>
              <w:pStyle w:val="null3"/>
            </w:pPr>
            <w:r>
              <w:rPr>
                <w:rFonts w:ascii="仿宋_GB2312" w:hAnsi="仿宋_GB2312" w:cs="仿宋_GB2312" w:eastAsia="仿宋_GB2312"/>
              </w:rPr>
              <w:t>3.工程质量保修期：3年。</w:t>
            </w:r>
          </w:p>
          <w:p>
            <w:pPr>
              <w:pStyle w:val="null3"/>
            </w:pPr>
            <w:r>
              <w:rPr>
                <w:rFonts w:ascii="仿宋_GB2312" w:hAnsi="仿宋_GB2312" w:cs="仿宋_GB2312" w:eastAsia="仿宋_GB2312"/>
              </w:rPr>
              <w:t>4.质量标准：符合国家现行有关施工质量验收规范“合格”要求。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一、采购内容 西安高新第二学校操场改造提升项目(详见采购清单) 二、采购预算 116.849097万元 三、资质要求: 1、具有独立法人资格或者其它组织，有完成本项目的设备、技术、人员等能力: 2、具有有效的营业执照、税务登记证(国税、地税)、组织机构代码证(或三证合一版营业执照); 3、法定代表人授权书(原件)及被授权人身份证(复印件加盖公章)，法定代表人参加投标仅提供法定代表人身份证。 本项目不允许转让分包、不接受联合体投标。 四、付款进度要求: 1、工程施工、竣工验收(工期):45日历天。 2、合同款的支付:工程竣工验收合格,决算审计后甲方向乙方一次性支付审定价款。 3、工程质量保修期:3年。 五、售后服务要求: 1、工程质量应当达到约定的质量标准，质量标准的评定以国家或行业的质量检验评定标准为依据。人造草坪，塑胶跑道符合GB36246-2018(中小学合成材料面层运动场地》的验收标准,因承包人原因工程质量达不到约定的质量标准，承包人承担违约责任。 2、双方根据《建设工程质量管理条例》及有关规定，约定本工程的质量保修责任期如下:质量保修期自工程竣工验收合格之日起计算。 质保期限双方约定为叁年。 3、服务响应时限:7*24小时服务，提供售后服务电话(应具有:固定电话、移动电话、传真)。 4、乙方对其所提供软硬件设备、材料等负责备品配件的供应,长期提供维修服务，并提供技术咨询等服务。质保期内应无偿负责所承包工程的维修和替换等工作。超出质保期只收取维修所需原设备、材料成本费用。 六、验收要求: 1、交付竣工验收的工程，必须符合规定的工程质量标准，有完整的工程技术经济资料和经签署的工程保修书，并具备国家规定的其他竣工条件。工程竣工经验收合格后，方可交付使用:未经验收或者验收不合格的，不得交付使用。 2、验收结果合格的，采购人应向成交供应商出具履约验收报告，成交供应商凭验收报告办理相关手续。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供应商须具备建设行政主管部门颁发的建筑工程施工总承包三级及以上资质，并具备建设行政主管部门颁发的安全生产许可证；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拟派项目经理具备建筑工程专业二级及以上注册建造师资质证书，并具备安全考核B证，并提供无在建工程证明；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外省企业要求</w:t>
            </w:r>
          </w:p>
        </w:tc>
        <w:tc>
          <w:tcPr>
            <w:tcW w:type="dxa" w:w="3322"/>
          </w:tcPr>
          <w:p>
            <w:pPr>
              <w:pStyle w:val="null3"/>
            </w:pPr>
            <w:r>
              <w:rPr>
                <w:rFonts w:ascii="仿宋_GB2312" w:hAnsi="仿宋_GB2312" w:cs="仿宋_GB2312" w:eastAsia="仿宋_GB2312"/>
              </w:rPr>
              <w:t>省外企业及拟派项目经理在“陕西省建筑市场监管与诚信信息发布平台”或“西安建设市场诚信信息平台”登记可查询；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报价函 供应商应提交的相关资格证明材料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供应商的项目经理部组成及劳动力投入配备合理，完全满足工作要求，得7-10分； 供应商的项目经理部组成及劳动力投入配备较为合理，基本满足工作要求，得4-7分（含7分）；供应商的项目经理部组成及劳动力投入配备不合理、配置较差，未能完全满足工作要求,得1-4分（含4分）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商务、技术部分评价要素</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安全、文明施工措施、环境保护措施及确保治污减霾和防尘污染的技术组织措施</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得7-10分；供应商的安全、文明施工措施、环境保护措施及确保治污减霾和防尘污染的技术组织措施基本合理、操作性一般，得4-7分（含7分）；供应商提供的安全、文明施工措施、环境保护措施及确保治污减霾和防尘污染的技术组织措施不尽完善、操作性不强、不能完全满足工作要求，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商务、技术部分评价要素</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施工质量及施工进度保证措施、明确的项目职责与分工</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得7-10分；供应商的施工质量及施工进度保证措施完善、程序措施较为规范合理，得4-7分（含7分）；供应商的施工质量及施工进度保证措施不尽完善、不能完全满足工作要求，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商务、技术部分评价要素</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突发事件应急预案，详细、实用、切实可行性强得7-10分；突发事件应急预案，较详细、较实用、可行性较强得4-7分（含7分）；突发事件应急预案，实用性一般，可行性较弱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商务、技术部分评价要素</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提供的项目施工方案详细、合理、全面，得7-10分；提供的项目施工方案较详细、基本合理，得4-7分（含7分）；提供的项目施工方案有缺陷或不尽合理，前后矛盾，得1-4分（含4分）。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商务、技术部分评价要素</w:t>
            </w:r>
          </w:p>
        </w:tc>
      </w:tr>
      <w:tr>
        <w:tc>
          <w:tcPr>
            <w:tcW w:type="dxa" w:w="831"/>
            <w:vMerge/>
          </w:tcPr>
          <w:p/>
        </w:tc>
        <w:tc>
          <w:tcPr>
            <w:tcW w:type="dxa" w:w="1661"/>
          </w:tcPr>
          <w:p>
            <w:pPr>
              <w:pStyle w:val="null3"/>
            </w:pPr>
            <w:r>
              <w:rPr>
                <w:rFonts w:ascii="仿宋_GB2312" w:hAnsi="仿宋_GB2312" w:cs="仿宋_GB2312" w:eastAsia="仿宋_GB2312"/>
              </w:rPr>
              <w:t>主要材料供应计划及施工机械配备投入计划</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得3-5分；供应商所制定的主要材料供应计划及施工机械配备投入计划叫详细合理，可操作性一般，基本满足工作要求，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商务、技术部分评价要素</w:t>
            </w:r>
          </w:p>
        </w:tc>
      </w:tr>
      <w:tr>
        <w:tc>
          <w:tcPr>
            <w:tcW w:type="dxa" w:w="831"/>
            <w:vMerge/>
          </w:tcPr>
          <w:p/>
        </w:tc>
        <w:tc>
          <w:tcPr>
            <w:tcW w:type="dxa" w:w="1661"/>
          </w:tcPr>
          <w:p>
            <w:pPr>
              <w:pStyle w:val="null3"/>
            </w:pPr>
            <w:r>
              <w:rPr>
                <w:rFonts w:ascii="仿宋_GB2312" w:hAnsi="仿宋_GB2312" w:cs="仿宋_GB2312" w:eastAsia="仿宋_GB2312"/>
              </w:rPr>
              <w:t>新材料、新设备、新技术、新工艺</w:t>
            </w:r>
          </w:p>
        </w:tc>
        <w:tc>
          <w:tcPr>
            <w:tcW w:type="dxa" w:w="2492"/>
          </w:tcPr>
          <w:p>
            <w:pPr>
              <w:pStyle w:val="null3"/>
            </w:pPr>
            <w:r>
              <w:rPr>
                <w:rFonts w:ascii="仿宋_GB2312" w:hAnsi="仿宋_GB2312" w:cs="仿宋_GB2312" w:eastAsia="仿宋_GB2312"/>
              </w:rPr>
              <w:t>采用新材料、新设备、新技术、新工艺，得3-5分；未提供得0分。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商务、技术部分评价要素</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根据供应商提供的服务承诺（包括但不限于工期、工程质量、安全方面）的情况自主赋分。描述详尽、具体、可行性强得2-4分；描述较详尽、较具体、可行性一般得1-2分（含2分）。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商务、技术部分评价要素</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类似项目业绩，每提供1份得2分，最高得6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30分。3.磋商报价得分=（磋商基准价/最终磋商报价）×30的公式计算得分。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详见附件：商务、技术部分评价要素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