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版本号：XACH2025-01720250320001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疾控中心疫苗搬运、运输装卸等服务项目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XACH2025-017</w:t>
      </w:r>
      <w:r>
        <w:br/>
      </w:r>
      <w:r>
        <w:br/>
      </w:r>
      <w:r>
        <w:br/>
      </w:r>
    </w:p>
    <w:p>
      <w:pPr>
        <w:pStyle w:val="null3"/>
        <w:jc w:val="center"/>
        <w:outlineLvl w:val="2"/>
      </w:pPr>
      <w:r>
        <w:rPr>
          <w:rFonts w:ascii="仿宋_GB2312" w:hAnsi="仿宋_GB2312" w:cs="仿宋_GB2312" w:eastAsia="仿宋_GB2312"/>
          <w:sz w:val="28"/>
          <w:b/>
        </w:rPr>
        <w:t>西安高新技术产业开发区疾病预防控制中心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西安高新技术产业开发区疾病预防控制中心</w:t>
      </w:r>
      <w:r>
        <w:rPr>
          <w:rFonts w:ascii="仿宋_GB2312" w:hAnsi="仿宋_GB2312" w:cs="仿宋_GB2312" w:eastAsia="仿宋_GB2312"/>
        </w:rPr>
        <w:t>委托，拟对</w:t>
      </w:r>
      <w:r>
        <w:rPr>
          <w:rFonts w:ascii="仿宋_GB2312" w:hAnsi="仿宋_GB2312" w:cs="仿宋_GB2312" w:eastAsia="仿宋_GB2312"/>
        </w:rPr>
        <w:t>疾控中心疫苗搬运、运输装卸等服务项目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疾控中心疫苗搬运、运输装卸等服务项目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结合目前高新区传染病流调及疫苗配送工作等实际需要，需采购疫苗搬运、运输装卸等服务项目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采购包1（疾控中心疫苗搬运、运输装卸等服务项目）：属于专门面向中小企业采购。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中小企业声明函：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供应商需在项目电子化交易系统中按要求上传相应证明文件并进行电子签章。</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西安市长安区堰渡大道以西西安高新技术产业开发区疾病预防控制中心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13619131217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文奕奕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代理服务费收费标准：由成交供应商支付代理服务费，本项目收取代理服务费4000元整。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西安高新技术产业开发区疾病预防控制中心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联系人：文奕奕</w:t>
      </w:r>
    </w:p>
    <w:p>
      <w:pPr>
        <w:pStyle w:val="null3"/>
      </w:pPr>
      <w:r>
        <w:rPr>
          <w:rFonts w:ascii="仿宋_GB2312" w:hAnsi="仿宋_GB2312" w:cs="仿宋_GB2312" w:eastAsia="仿宋_GB2312"/>
        </w:rPr>
        <w:t>联系电话：029-87563729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结合目前高新区传染病流调及疫苗配送工作等实际需要，需采购疫苗搬运、运输装卸等服务项目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疾控中心疫苗搬运、运输装卸等服务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标的名称：疾控中心疫苗搬运、运输装卸等服务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59"/>
            </w:tblGrid>
            <w:tr>
              <w:tc>
                <w:tcPr>
                  <w:tcW w:type="dxa" w:w="1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r>
                    <w:rPr>
                      <w:rFonts w:ascii="仿宋_GB2312" w:hAnsi="仿宋_GB2312" w:cs="仿宋_GB2312" w:eastAsia="仿宋_GB2312"/>
                      <w:sz w:val="19"/>
                      <w:color w:val="000000"/>
                    </w:rPr>
                    <w:t>项目概况：结合目前高新区传染病流调及疫苗配送工作等实际需要，需采购疫苗搬运、运输装卸等服务项目。</w:t>
                  </w:r>
                </w:p>
                <w:p>
                  <w:pPr>
                    <w:pStyle w:val="null3"/>
                  </w:pPr>
                  <w:r>
                    <w:rPr>
                      <w:rFonts w:ascii="仿宋_GB2312" w:hAnsi="仿宋_GB2312" w:cs="仿宋_GB2312" w:eastAsia="仿宋_GB2312"/>
                      <w:sz w:val="19"/>
                      <w:color w:val="000000"/>
                    </w:rPr>
                    <w:t>二、服务内容与要求</w:t>
                  </w:r>
                </w:p>
                <w:p>
                  <w:pPr>
                    <w:pStyle w:val="null3"/>
                  </w:pPr>
                  <w:r>
                    <w:rPr>
                      <w:rFonts w:ascii="仿宋_GB2312" w:hAnsi="仿宋_GB2312" w:cs="仿宋_GB2312" w:eastAsia="仿宋_GB2312"/>
                      <w:sz w:val="19"/>
                      <w:color w:val="000000"/>
                    </w:rPr>
                    <w:t>1、 按照高新区疫苗配送工作实际需要，严格遵守运输时间和运输温度等要求执行运输、搬运装卸工作。</w:t>
                  </w:r>
                </w:p>
                <w:p>
                  <w:pPr>
                    <w:pStyle w:val="null3"/>
                  </w:pPr>
                  <w:r>
                    <w:rPr>
                      <w:rFonts w:ascii="仿宋_GB2312" w:hAnsi="仿宋_GB2312" w:cs="仿宋_GB2312" w:eastAsia="仿宋_GB2312"/>
                      <w:sz w:val="19"/>
                      <w:color w:val="000000"/>
                    </w:rPr>
                    <w:t>2、按照西安高新区疾病预防控制中心的工作时间。如遇特殊情况, 则根据西安高新区疾病预防控制中心要求, 安排值班和应急工作。</w:t>
                  </w:r>
                </w:p>
                <w:p>
                  <w:pPr>
                    <w:pStyle w:val="null3"/>
                  </w:pPr>
                  <w:r>
                    <w:rPr>
                      <w:rFonts w:ascii="仿宋_GB2312" w:hAnsi="仿宋_GB2312" w:cs="仿宋_GB2312" w:eastAsia="仿宋_GB2312"/>
                      <w:sz w:val="19"/>
                      <w:color w:val="000000"/>
                    </w:rPr>
                    <w:t>3、持续关注冷链运输装备确保其存储温度符合疫苗储存标准；疫苗在储存、运输全过程中应当处于规定的温度环境，冷链储存、运输应当符合要求。</w:t>
                  </w:r>
                </w:p>
                <w:p>
                  <w:pPr>
                    <w:pStyle w:val="null3"/>
                  </w:pPr>
                  <w:r>
                    <w:rPr>
                      <w:rFonts w:ascii="仿宋_GB2312" w:hAnsi="仿宋_GB2312" w:cs="仿宋_GB2312" w:eastAsia="仿宋_GB2312"/>
                      <w:sz w:val="19"/>
                      <w:color w:val="000000"/>
                    </w:rPr>
                    <w:t>4、每月按照疫苗的品种、规格、批次等信息，依据相关标准和操作流程，准确、快速地完成疫苗的分拣工作，确保疫苗分类无误，数量准确。</w:t>
                  </w:r>
                </w:p>
                <w:p>
                  <w:pPr>
                    <w:pStyle w:val="null3"/>
                  </w:pPr>
                  <w:r>
                    <w:rPr>
                      <w:rFonts w:ascii="仿宋_GB2312" w:hAnsi="仿宋_GB2312" w:cs="仿宋_GB2312" w:eastAsia="仿宋_GB2312"/>
                      <w:sz w:val="19"/>
                      <w:color w:val="000000"/>
                    </w:rPr>
                    <w:t>5、定期对冷库进行巡查，每天两次（间隔不少于6小时）记录一次冷库温度，确保冷库环境符合疫苗储存要求。</w:t>
                  </w:r>
                </w:p>
                <w:p>
                  <w:pPr>
                    <w:pStyle w:val="null3"/>
                  </w:pPr>
                  <w:r>
                    <w:rPr>
                      <w:rFonts w:ascii="仿宋_GB2312" w:hAnsi="仿宋_GB2312" w:cs="仿宋_GB2312" w:eastAsia="仿宋_GB2312"/>
                      <w:sz w:val="19"/>
                      <w:color w:val="000000"/>
                    </w:rPr>
                    <w:t>6、定期检查冷库设备运行状况，包括制冷机组、货架、照明等，发现故障或安全隐患及时报告维修。</w:t>
                  </w:r>
                </w:p>
                <w:p>
                  <w:pPr>
                    <w:pStyle w:val="null3"/>
                  </w:pPr>
                  <w:r>
                    <w:rPr>
                      <w:rFonts w:ascii="仿宋_GB2312" w:hAnsi="仿宋_GB2312" w:cs="仿宋_GB2312" w:eastAsia="仿宋_GB2312"/>
                      <w:sz w:val="19"/>
                      <w:color w:val="000000"/>
                    </w:rPr>
                    <w:t>7、为保证疫苗质量，定期将运输车辆年检和维修保养时间反馈至采购人，便于采购人年检保养运输装备，确保运输车辆正常运转。</w:t>
                  </w:r>
                </w:p>
                <w:p>
                  <w:pPr>
                    <w:pStyle w:val="null3"/>
                  </w:pPr>
                  <w:r>
                    <w:rPr>
                      <w:rFonts w:ascii="仿宋_GB2312" w:hAnsi="仿宋_GB2312" w:cs="仿宋_GB2312" w:eastAsia="仿宋_GB2312"/>
                      <w:sz w:val="19"/>
                      <w:color w:val="000000"/>
                    </w:rPr>
                    <w:t>8、按照采购人要求，做好日常运输管理工作，确保各项政策措施实施落地。</w:t>
                  </w:r>
                </w:p>
                <w:p>
                  <w:pPr>
                    <w:pStyle w:val="null3"/>
                  </w:pPr>
                  <w:r>
                    <w:rPr>
                      <w:rFonts w:ascii="仿宋_GB2312" w:hAnsi="仿宋_GB2312" w:cs="仿宋_GB2312" w:eastAsia="仿宋_GB2312"/>
                      <w:sz w:val="19"/>
                      <w:color w:val="000000"/>
                    </w:rPr>
                    <w:t>9、按照风险防控要求，配合做好疫苗运输管理指导工作。</w:t>
                  </w:r>
                </w:p>
                <w:p>
                  <w:pPr>
                    <w:pStyle w:val="null3"/>
                  </w:pPr>
                  <w:r>
                    <w:rPr>
                      <w:rFonts w:ascii="仿宋_GB2312" w:hAnsi="仿宋_GB2312" w:cs="仿宋_GB2312" w:eastAsia="仿宋_GB2312"/>
                      <w:sz w:val="19"/>
                      <w:color w:val="000000"/>
                    </w:rPr>
                    <w:t>10、每月需进行持续的固定疫苗配送，以满足常规预防接种工作的需求。除固定配送外，根据疫苗使用和上级部门调配情况，还需进行不定期的加苗配送。针对突发事件或疫情暴发时，还需临时进行紧急疫苗配送的情况，以确保疫情防控工作的及时开展。</w:t>
                  </w:r>
                </w:p>
                <w:p>
                  <w:pPr>
                    <w:pStyle w:val="null3"/>
                  </w:pPr>
                  <w:r>
                    <w:rPr>
                      <w:rFonts w:ascii="仿宋_GB2312" w:hAnsi="仿宋_GB2312" w:cs="仿宋_GB2312" w:eastAsia="仿宋_GB2312"/>
                      <w:sz w:val="19"/>
                      <w:color w:val="000000"/>
                    </w:rPr>
                    <w:t>11、人员要求：</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1）须具有中华人民共和国国籍。</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2）驾驶员要求驾照C1及以上。</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3）具有较强的沟通协调能力和工作责任心及服务意识，工作积极主动，能够承受压力，吃苦耐劳。</w:t>
                  </w:r>
                </w:p>
                <w:p>
                  <w:pPr>
                    <w:pStyle w:val="null3"/>
                  </w:pPr>
                  <w:r>
                    <w:rPr>
                      <w:rFonts w:ascii="仿宋_GB2312" w:hAnsi="仿宋_GB2312" w:cs="仿宋_GB2312" w:eastAsia="仿宋_GB2312"/>
                      <w:sz w:val="19"/>
                      <w:color w:val="000000"/>
                    </w:rPr>
                    <w:t>三、服务期限：自合同签订之日起一年</w:t>
                  </w:r>
                </w:p>
                <w:p>
                  <w:pPr>
                    <w:pStyle w:val="null3"/>
                  </w:pPr>
                  <w:r>
                    <w:rPr>
                      <w:rFonts w:ascii="仿宋_GB2312" w:hAnsi="仿宋_GB2312" w:cs="仿宋_GB2312" w:eastAsia="仿宋_GB2312"/>
                      <w:sz w:val="19"/>
                      <w:color w:val="000000"/>
                    </w:rPr>
                    <w:t>四、配送范围：西安高新区，疫苗将配送至高新区各接种门诊，涵盖辖区多个乡镇和社区。</w:t>
                  </w:r>
                </w:p>
                <w:p>
                  <w:pPr>
                    <w:pStyle w:val="null3"/>
                  </w:pPr>
                  <w:r>
                    <w:rPr>
                      <w:rFonts w:ascii="仿宋_GB2312" w:hAnsi="仿宋_GB2312" w:cs="仿宋_GB2312" w:eastAsia="仿宋_GB2312"/>
                      <w:sz w:val="19"/>
                      <w:color w:val="000000"/>
                    </w:rPr>
                    <w:t>五、质量要求：达到相关质量要求合格标准。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西安高新区，疫苗将配送至高新区各接种门诊，涵盖辖区多个乡镇和社区。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30 天内支付合同价款的40%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当年10 月初支付合同价款的20%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次年3月初支付合同价款的35%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待服务期限满，支付剩余合同价款的 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1.1、如因供应商责任而造成延期，每超过一天按合同总价款的5‰支付采购人误期赔偿金。 1.2、未按合同或磋商文件要求提供的产品或者服务，质量不能满足采购人技术要求，采购单位有权终止合同，甚至对供应商违约行为进行追究。 解决争议：因本合同或与本合同有关的一切事项发生争议，由双方友好协商解决。协商不成的，任何一方均可选择以下方式解决： 2.1、向甲方所在地仲裁委员会申请仲裁。 2.2、向甲方所在地人民法院提起诉讼。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为完成本项目磋商文件中所提出的工作范围及要求的全部内容，并达到国家及采购人验收标准而产生的所有费用，包括但不限于完成该项目的人工费、运杂费、二次搬运费、管理费、巡查费、利润、税金、保险费、代理费、其它费用以及合同明示或暗示的所有风险、责任和义务等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提供2022年以来类似项目业绩合同（以合同签订时间为准），每份计2.5分，满分5分。（注：以上证明文件在磋商响应文件中附业绩合同扫描件并加盖公司公章。）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详细的服务方案（包含但不限于服务目标、实施计划、组织实施方案等），确保疫苗配送工作完全按照采购人要求执行。本项满分15分。总体服务方案详细、思路清晰，可行性高，针对性强，与采购人需求契合度高，得（10-15]分；总体服务方案较详细，可行性较高，针对性较强，与采购人需求契合度一般，得（5-10]分；总体服务方案合理性、可行性简单，针对性一般，与采购人需求契合度低，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拟投入本项目的团队人员配置方案</w:t>
            </w:r>
          </w:p>
        </w:tc>
        <w:tc>
          <w:tcPr>
            <w:tcW w:type="dxa" w:w="2492"/>
          </w:tcPr>
          <w:p>
            <w:pPr>
              <w:pStyle w:val="null3"/>
            </w:pPr>
            <w:r>
              <w:rPr>
                <w:rFonts w:ascii="仿宋_GB2312" w:hAnsi="仿宋_GB2312" w:cs="仿宋_GB2312" w:eastAsia="仿宋_GB2312"/>
              </w:rPr>
              <w:t>提供拟投入本项目的团队人员配置方案（包括但不限于人员数量、执业年限、专业程度、工作经验等）。本项目满分12分。方案描述详细，人员配置科学合理，数量充足，经验丰富，分工明确，证明材料详尽，得（8-12]分；方案描述较详细，人员配置较合理，数量较充足，经验一般，分工较明确，证明材料较详尽，得（4-8]分；方案描述简单，人员配置不够合理，数量欠缺，经验不足，分工不明确，证明材料不足，得[0-4]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实际情况提供完整的管理制度，包括但不限于人员管理制度、资料管理制度、内部监督制度等。本项满分8分。各项制度内容完整、科学合理、针对性强、可操作性强，得（4-8]分；各项制度内容较完整、较合理、具有一定的操作性，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项目实际情况（结合疫苗配送工作的特殊性）提供质量保障措施，根据响应程度及可实施性计分。本项满分8分。措施科学合理、考虑周全、措施到位，针对性完全满足采购人需求，得（4-8]分；措施不合理，内容缺失，有效性一般，针对性不能满足本项目服务需求，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项目实际情况提供进度保障措施，确保疫苗配送进度满足各个接种门诊当月的使用要求，根据响应程度及可实施性计分。本项满分8分。措施科学合理、考虑周全、思路清晰，针对性完全满足采购人需求，得（4-8]分；措施不合理，内容描述混乱，有效性一般，针对性不能满足本项目服务需求，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针对冷库设备的异常运行情况，提供应对措施</w:t>
            </w:r>
          </w:p>
        </w:tc>
        <w:tc>
          <w:tcPr>
            <w:tcW w:type="dxa" w:w="2492"/>
          </w:tcPr>
          <w:p>
            <w:pPr>
              <w:pStyle w:val="null3"/>
            </w:pPr>
            <w:r>
              <w:rPr>
                <w:rFonts w:ascii="仿宋_GB2312" w:hAnsi="仿宋_GB2312" w:cs="仿宋_GB2312" w:eastAsia="仿宋_GB2312"/>
              </w:rPr>
              <w:t>措施具有针对性、科学合理，实操性强，根据响应程度得[0-5]分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有针对本项目突发事件的应对措施，提供突发事件快速响应的时间、调动人员的数量及其他特殊事件的处理方案。本项满分8分。应急预案针对性强，有相对全面的预见性，应对措施科学、有效、可行，得（4-8]分；应急预案存在瑕疵，欠缺预见性或缺乏应对措施，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针对本项目的合理化建议，本项满分6分。建议描述详细、可操作性强、细节描述完整得（3-6]分；描述简单、可操作性低得[0-3]分；未提供不得分。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不能完全履行服务承诺时接受处罚等情况做出实质性承诺。本项满分10分。服务承诺可操作性强、细节描述详细、完整优越计（7-10]分；有相对的操作性、承诺内容良好计（3-7]分；服务承诺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