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版本号：LZBA2025-13720250325001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灵韵沣境苑周边及临沣东路市政道路建设项目监理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LZBA2025-137</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灵韵沣境苑周边及临沣东路市政道路建设项目监理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LZBA2025-137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灵韵沣境苑周边及临沣东路市政道路建设项目监理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灵韵沣境苑周边及临沣东路市政道路建设项目共包含6条市政道路，灵韵沣境苑周边5条道路位于西汉高速以南，沣河以西，浴马二路以北，南丰一路以东；临沣东路位于沣河以东，灵韵北路与现状匝道延伸段之间。建设内容为浴马一路(南丰一路-浴马四路)、浴马二路(南丰一路-浴马四路)、南丰一路(浴马二路-浴马路)、浴马四路(浴马二路-浴马路)、浴马路(南丰一路-浴马四路)、临沣东路(匝道延伸路-灵韵北路)道路、交通、给排水、线缆管廊、照明等工程。本次采购内容为灵韵沣境苑周边及临沣东路市政道路建设项目施工全专业、全过程及保修阶段的全部监理工作，同时承担相关协调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1、资质证书：供应商须具备建设行政主管部门颁发的工程监理综合资质或市政公用工程专业监理乙级或以上资质。供应商需在项目电子化交易系统中按要求上传相应证明文件并进行电子签章。</w:t>
      </w:r>
    </w:p>
    <w:p>
      <w:pPr>
        <w:pStyle w:val="null3"/>
      </w:pPr>
      <w:r>
        <w:rPr>
          <w:rFonts w:ascii="仿宋_GB2312" w:hAnsi="仿宋_GB2312" w:cs="仿宋_GB2312" w:eastAsia="仿宋_GB2312"/>
        </w:rPr>
        <w:t>2、拟派总监理工程师：拟派总监理工程师须具备市政公用工程专业国家注册监理工程师执业资格，在本单位注册，且未担任其他在建工程项目的总监理工程师。供应商需在项目电子化交易系统中按要求上传相应证明文件并进行电子签章。</w:t>
      </w:r>
    </w:p>
    <w:p>
      <w:pPr>
        <w:pStyle w:val="null3"/>
      </w:pPr>
      <w:r>
        <w:rPr>
          <w:rFonts w:ascii="仿宋_GB2312" w:hAnsi="仿宋_GB2312" w:cs="仿宋_GB2312" w:eastAsia="仿宋_GB2312"/>
        </w:rPr>
        <w:t>3、信用查询：供应商不得为“信用中国”网站（www.creditchina.gov.cn ）中列入失信被执行人和重大税收违法失信主体的供应商，不得为中国政府采购网（www.ccgp.gov.cn ）政府采购严重违法失信行为记录名单中被财政部门禁止参加政府采购活动的供应商。采购人或采购代理机构在磋商当日通过“信用中国”网(www.creditchina. gov.cn)、中国政府采购网(www.ccgp.gov.cn)查询相关主体信用记录网页截图保存。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 1 号都市之门 A 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029-85952800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杨楠 刘婧 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采购包1：643,298.60元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的计算方法：以成交金额为基数，根据《国家计委关于印发&lt;招标代理服务收费管理暂行办法&gt;的通知》（计价格[2002]1980号）以及《关于进一步放开建设项目专业服务价格的通知》（发改价格[2015]299号）规定的标准下浮61.5%收取。单次代理服务费不足5000元的按5000元计算。 2、代理服务费可以采取现金、支票、银行汇票、电汇、网银等方式缴纳。 3、代理服务费缴纳信息：开户名称：龙寰项目管理咨询有限公司 开户行名称：平安银行西安高新路支行 账 号：30201278016165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联系人：杨楠</w:t>
      </w:r>
    </w:p>
    <w:p>
      <w:pPr>
        <w:pStyle w:val="null3"/>
      </w:pPr>
      <w:r>
        <w:rPr>
          <w:rFonts w:ascii="仿宋_GB2312" w:hAnsi="仿宋_GB2312" w:cs="仿宋_GB2312" w:eastAsia="仿宋_GB2312"/>
        </w:rPr>
        <w:t>联系电话：029-88228899-615</w:t>
      </w:r>
    </w:p>
    <w:p>
      <w:pPr>
        <w:pStyle w:val="null3"/>
      </w:pPr>
      <w:r>
        <w:rPr>
          <w:rFonts w:ascii="仿宋_GB2312" w:hAnsi="仿宋_GB2312" w:cs="仿宋_GB2312" w:eastAsia="仿宋_GB2312"/>
        </w:rPr>
        <w:t>地址：西安市高新区太白南路181号西部电子社区A座A区501室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灵韵沣境苑周边及临沣东路市政道路建设项目共包含6条市政道路，灵韵沣境苑周边5条道路位于西汉高速以南，沣河以西，浴马二路以北，南丰一路以东；临沣东路位于沣河以东，灵韵北路与现状匝道延伸段之间。建设内容为浴马一路(南丰一路-浴马四路)、浴马二路(南丰一路-浴马四路)、南丰一路(浴马二路-浴马路)、浴马四路(浴马二路-浴马路)、浴马路(南丰一路-浴马四路)、临沣东路(匝道延伸路-灵韵北路)道路、交通、给排水、线缆管廊、照明等工程。本次采购内容为灵韵沣境苑周边及临沣东路市政道路建设项目施工全专业、全过程及保修阶段的全部监理工作，同时承担相关协调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643,298.60</w:t>
      </w:r>
    </w:p>
    <w:p>
      <w:pPr>
        <w:pStyle w:val="null3"/>
      </w:pPr>
      <w:r>
        <w:rPr>
          <w:rFonts w:ascii="仿宋_GB2312" w:hAnsi="仿宋_GB2312" w:cs="仿宋_GB2312" w:eastAsia="仿宋_GB2312"/>
        </w:rPr>
        <w:t>采购包最高限价（元）: 643,298.60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灵韵沣境苑周边及临沣东路市政道路建设项目监理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643,298.60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标的名称：灵韵沣境苑周边及临沣东路市政道路建设项目监理</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灵韵沣境苑周边及临沣东路市政道路建设项目监理</w:t>
            </w:r>
          </w:p>
        </w:tc>
        <w:tc>
          <w:tcPr>
            <w:tcW w:type="dxa" w:w="2076"/>
          </w:tcPr>
          <w:p>
            <w:pPr>
              <w:pStyle w:val="null3"/>
              <w:spacing w:before="150"/>
              <w:ind w:firstLine="561"/>
              <w:jc w:val="left"/>
            </w:pPr>
            <w:r>
              <w:rPr>
                <w:rFonts w:ascii="仿宋_GB2312" w:hAnsi="仿宋_GB2312" w:cs="仿宋_GB2312" w:eastAsia="仿宋_GB2312"/>
                <w:sz w:val="20"/>
                <w:color w:val="000000"/>
              </w:rPr>
              <w:t>一、</w:t>
            </w:r>
            <w:r>
              <w:rPr>
                <w:rFonts w:ascii="仿宋_GB2312" w:hAnsi="仿宋_GB2312" w:cs="仿宋_GB2312" w:eastAsia="仿宋_GB2312"/>
                <w:sz w:val="20"/>
                <w:b/>
                <w:color w:val="000000"/>
              </w:rPr>
              <w:t>项目概况</w:t>
            </w:r>
            <w:r>
              <w:rPr>
                <w:rFonts w:ascii="仿宋_GB2312" w:hAnsi="仿宋_GB2312" w:cs="仿宋_GB2312" w:eastAsia="仿宋_GB2312"/>
                <w:sz w:val="20"/>
                <w:color w:val="000000"/>
              </w:rPr>
              <w:t>：</w:t>
            </w:r>
          </w:p>
          <w:p>
            <w:pPr>
              <w:pStyle w:val="null3"/>
              <w:ind w:firstLine="562"/>
              <w:jc w:val="left"/>
            </w:pPr>
            <w:r>
              <w:rPr>
                <w:rFonts w:ascii="仿宋_GB2312" w:hAnsi="仿宋_GB2312" w:cs="仿宋_GB2312" w:eastAsia="仿宋_GB2312"/>
              </w:rPr>
              <w:t>灵韵沣境苑周边及临沣东路市政道路建设项目共包含</w:t>
            </w:r>
            <w:r>
              <w:rPr>
                <w:rFonts w:ascii="仿宋_GB2312" w:hAnsi="仿宋_GB2312" w:cs="仿宋_GB2312" w:eastAsia="仿宋_GB2312"/>
              </w:rPr>
              <w:t>6</w:t>
            </w:r>
            <w:r>
              <w:rPr>
                <w:rFonts w:ascii="仿宋_GB2312" w:hAnsi="仿宋_GB2312" w:cs="仿宋_GB2312" w:eastAsia="仿宋_GB2312"/>
              </w:rPr>
              <w:t>条市政道路，灵韵沣境苑周边</w:t>
            </w:r>
            <w:r>
              <w:rPr>
                <w:rFonts w:ascii="仿宋_GB2312" w:hAnsi="仿宋_GB2312" w:cs="仿宋_GB2312" w:eastAsia="仿宋_GB2312"/>
              </w:rPr>
              <w:t>5</w:t>
            </w:r>
            <w:r>
              <w:rPr>
                <w:rFonts w:ascii="仿宋_GB2312" w:hAnsi="仿宋_GB2312" w:cs="仿宋_GB2312" w:eastAsia="仿宋_GB2312"/>
              </w:rPr>
              <w:t>条道路位于西汉高速以南，沣河以西，浴马二路以北，南丰一路以东；临沣东路位于沣河以东，灵韵北路与现状匝道延伸段之间。建设内容为浴马一路</w:t>
            </w:r>
            <w:r>
              <w:rPr>
                <w:rFonts w:ascii="仿宋_GB2312" w:hAnsi="仿宋_GB2312" w:cs="仿宋_GB2312" w:eastAsia="仿宋_GB2312"/>
              </w:rPr>
              <w:t>(</w:t>
            </w:r>
            <w:r>
              <w:rPr>
                <w:rFonts w:ascii="仿宋_GB2312" w:hAnsi="仿宋_GB2312" w:cs="仿宋_GB2312" w:eastAsia="仿宋_GB2312"/>
              </w:rPr>
              <w:t>南丰一路</w:t>
            </w:r>
            <w:r>
              <w:rPr>
                <w:rFonts w:ascii="仿宋_GB2312" w:hAnsi="仿宋_GB2312" w:cs="仿宋_GB2312" w:eastAsia="仿宋_GB2312"/>
              </w:rPr>
              <w:t>-</w:t>
            </w:r>
            <w:r>
              <w:rPr>
                <w:rFonts w:ascii="仿宋_GB2312" w:hAnsi="仿宋_GB2312" w:cs="仿宋_GB2312" w:eastAsia="仿宋_GB2312"/>
              </w:rPr>
              <w:t>浴马四路</w:t>
            </w:r>
            <w:r>
              <w:rPr>
                <w:rFonts w:ascii="仿宋_GB2312" w:hAnsi="仿宋_GB2312" w:cs="仿宋_GB2312" w:eastAsia="仿宋_GB2312"/>
              </w:rPr>
              <w:t>)</w:t>
            </w:r>
            <w:r>
              <w:rPr>
                <w:rFonts w:ascii="仿宋_GB2312" w:hAnsi="仿宋_GB2312" w:cs="仿宋_GB2312" w:eastAsia="仿宋_GB2312"/>
              </w:rPr>
              <w:t>、浴马二路</w:t>
            </w:r>
            <w:r>
              <w:rPr>
                <w:rFonts w:ascii="仿宋_GB2312" w:hAnsi="仿宋_GB2312" w:cs="仿宋_GB2312" w:eastAsia="仿宋_GB2312"/>
              </w:rPr>
              <w:t>(</w:t>
            </w:r>
            <w:r>
              <w:rPr>
                <w:rFonts w:ascii="仿宋_GB2312" w:hAnsi="仿宋_GB2312" w:cs="仿宋_GB2312" w:eastAsia="仿宋_GB2312"/>
              </w:rPr>
              <w:t>南丰一路</w:t>
            </w:r>
            <w:r>
              <w:rPr>
                <w:rFonts w:ascii="仿宋_GB2312" w:hAnsi="仿宋_GB2312" w:cs="仿宋_GB2312" w:eastAsia="仿宋_GB2312"/>
              </w:rPr>
              <w:t>-</w:t>
            </w:r>
            <w:r>
              <w:rPr>
                <w:rFonts w:ascii="仿宋_GB2312" w:hAnsi="仿宋_GB2312" w:cs="仿宋_GB2312" w:eastAsia="仿宋_GB2312"/>
              </w:rPr>
              <w:t>浴马四路</w:t>
            </w:r>
            <w:r>
              <w:rPr>
                <w:rFonts w:ascii="仿宋_GB2312" w:hAnsi="仿宋_GB2312" w:cs="仿宋_GB2312" w:eastAsia="仿宋_GB2312"/>
              </w:rPr>
              <w:t>)</w:t>
            </w:r>
            <w:r>
              <w:rPr>
                <w:rFonts w:ascii="仿宋_GB2312" w:hAnsi="仿宋_GB2312" w:cs="仿宋_GB2312" w:eastAsia="仿宋_GB2312"/>
              </w:rPr>
              <w:t>、南丰一路</w:t>
            </w:r>
            <w:r>
              <w:rPr>
                <w:rFonts w:ascii="仿宋_GB2312" w:hAnsi="仿宋_GB2312" w:cs="仿宋_GB2312" w:eastAsia="仿宋_GB2312"/>
              </w:rPr>
              <w:t>(</w:t>
            </w:r>
            <w:r>
              <w:rPr>
                <w:rFonts w:ascii="仿宋_GB2312" w:hAnsi="仿宋_GB2312" w:cs="仿宋_GB2312" w:eastAsia="仿宋_GB2312"/>
              </w:rPr>
              <w:t>浴马二路</w:t>
            </w:r>
            <w:r>
              <w:rPr>
                <w:rFonts w:ascii="仿宋_GB2312" w:hAnsi="仿宋_GB2312" w:cs="仿宋_GB2312" w:eastAsia="仿宋_GB2312"/>
              </w:rPr>
              <w:t>-</w:t>
            </w:r>
            <w:r>
              <w:rPr>
                <w:rFonts w:ascii="仿宋_GB2312" w:hAnsi="仿宋_GB2312" w:cs="仿宋_GB2312" w:eastAsia="仿宋_GB2312"/>
              </w:rPr>
              <w:t>浴马路</w:t>
            </w:r>
            <w:r>
              <w:rPr>
                <w:rFonts w:ascii="仿宋_GB2312" w:hAnsi="仿宋_GB2312" w:cs="仿宋_GB2312" w:eastAsia="仿宋_GB2312"/>
              </w:rPr>
              <w:t>)</w:t>
            </w:r>
            <w:r>
              <w:rPr>
                <w:rFonts w:ascii="仿宋_GB2312" w:hAnsi="仿宋_GB2312" w:cs="仿宋_GB2312" w:eastAsia="仿宋_GB2312"/>
              </w:rPr>
              <w:t>、浴马四路</w:t>
            </w:r>
            <w:r>
              <w:rPr>
                <w:rFonts w:ascii="仿宋_GB2312" w:hAnsi="仿宋_GB2312" w:cs="仿宋_GB2312" w:eastAsia="仿宋_GB2312"/>
              </w:rPr>
              <w:t>(</w:t>
            </w:r>
            <w:r>
              <w:rPr>
                <w:rFonts w:ascii="仿宋_GB2312" w:hAnsi="仿宋_GB2312" w:cs="仿宋_GB2312" w:eastAsia="仿宋_GB2312"/>
              </w:rPr>
              <w:t>浴马二路</w:t>
            </w:r>
            <w:r>
              <w:rPr>
                <w:rFonts w:ascii="仿宋_GB2312" w:hAnsi="仿宋_GB2312" w:cs="仿宋_GB2312" w:eastAsia="仿宋_GB2312"/>
              </w:rPr>
              <w:t>-</w:t>
            </w:r>
            <w:r>
              <w:rPr>
                <w:rFonts w:ascii="仿宋_GB2312" w:hAnsi="仿宋_GB2312" w:cs="仿宋_GB2312" w:eastAsia="仿宋_GB2312"/>
              </w:rPr>
              <w:t>浴马路</w:t>
            </w:r>
            <w:r>
              <w:rPr>
                <w:rFonts w:ascii="仿宋_GB2312" w:hAnsi="仿宋_GB2312" w:cs="仿宋_GB2312" w:eastAsia="仿宋_GB2312"/>
              </w:rPr>
              <w:t>)</w:t>
            </w:r>
            <w:r>
              <w:rPr>
                <w:rFonts w:ascii="仿宋_GB2312" w:hAnsi="仿宋_GB2312" w:cs="仿宋_GB2312" w:eastAsia="仿宋_GB2312"/>
              </w:rPr>
              <w:t>、浴马路</w:t>
            </w:r>
            <w:r>
              <w:rPr>
                <w:rFonts w:ascii="仿宋_GB2312" w:hAnsi="仿宋_GB2312" w:cs="仿宋_GB2312" w:eastAsia="仿宋_GB2312"/>
              </w:rPr>
              <w:t>(</w:t>
            </w:r>
            <w:r>
              <w:rPr>
                <w:rFonts w:ascii="仿宋_GB2312" w:hAnsi="仿宋_GB2312" w:cs="仿宋_GB2312" w:eastAsia="仿宋_GB2312"/>
              </w:rPr>
              <w:t>南丰一路</w:t>
            </w:r>
            <w:r>
              <w:rPr>
                <w:rFonts w:ascii="仿宋_GB2312" w:hAnsi="仿宋_GB2312" w:cs="仿宋_GB2312" w:eastAsia="仿宋_GB2312"/>
              </w:rPr>
              <w:t>-</w:t>
            </w:r>
            <w:r>
              <w:rPr>
                <w:rFonts w:ascii="仿宋_GB2312" w:hAnsi="仿宋_GB2312" w:cs="仿宋_GB2312" w:eastAsia="仿宋_GB2312"/>
              </w:rPr>
              <w:t>浴马四路</w:t>
            </w:r>
            <w:r>
              <w:rPr>
                <w:rFonts w:ascii="仿宋_GB2312" w:hAnsi="仿宋_GB2312" w:cs="仿宋_GB2312" w:eastAsia="仿宋_GB2312"/>
              </w:rPr>
              <w:t>)</w:t>
            </w:r>
            <w:r>
              <w:rPr>
                <w:rFonts w:ascii="仿宋_GB2312" w:hAnsi="仿宋_GB2312" w:cs="仿宋_GB2312" w:eastAsia="仿宋_GB2312"/>
              </w:rPr>
              <w:t>、临沣东路</w:t>
            </w:r>
            <w:r>
              <w:rPr>
                <w:rFonts w:ascii="仿宋_GB2312" w:hAnsi="仿宋_GB2312" w:cs="仿宋_GB2312" w:eastAsia="仿宋_GB2312"/>
              </w:rPr>
              <w:t>(</w:t>
            </w:r>
            <w:r>
              <w:rPr>
                <w:rFonts w:ascii="仿宋_GB2312" w:hAnsi="仿宋_GB2312" w:cs="仿宋_GB2312" w:eastAsia="仿宋_GB2312"/>
              </w:rPr>
              <w:t>匝道延伸路</w:t>
            </w:r>
            <w:r>
              <w:rPr>
                <w:rFonts w:ascii="仿宋_GB2312" w:hAnsi="仿宋_GB2312" w:cs="仿宋_GB2312" w:eastAsia="仿宋_GB2312"/>
              </w:rPr>
              <w:t>-</w:t>
            </w:r>
            <w:r>
              <w:rPr>
                <w:rFonts w:ascii="仿宋_GB2312" w:hAnsi="仿宋_GB2312" w:cs="仿宋_GB2312" w:eastAsia="仿宋_GB2312"/>
              </w:rPr>
              <w:t>灵韵北路</w:t>
            </w:r>
            <w:r>
              <w:rPr>
                <w:rFonts w:ascii="仿宋_GB2312" w:hAnsi="仿宋_GB2312" w:cs="仿宋_GB2312" w:eastAsia="仿宋_GB2312"/>
              </w:rPr>
              <w:t>)</w:t>
            </w:r>
            <w:r>
              <w:rPr>
                <w:rFonts w:ascii="仿宋_GB2312" w:hAnsi="仿宋_GB2312" w:cs="仿宋_GB2312" w:eastAsia="仿宋_GB2312"/>
              </w:rPr>
              <w:t>道路、交通、给排水、线缆管廊、照明等工程。本次</w:t>
            </w:r>
            <w:r>
              <w:rPr>
                <w:rFonts w:ascii="仿宋_GB2312" w:hAnsi="仿宋_GB2312" w:cs="仿宋_GB2312" w:eastAsia="仿宋_GB2312"/>
              </w:rPr>
              <w:t>采购内容</w:t>
            </w:r>
            <w:r>
              <w:rPr>
                <w:rFonts w:ascii="仿宋_GB2312" w:hAnsi="仿宋_GB2312" w:cs="仿宋_GB2312" w:eastAsia="仿宋_GB2312"/>
              </w:rPr>
              <w:t>为灵韵沣境苑周边及临沣东路市政道路建设项目施工</w:t>
            </w:r>
            <w:r>
              <w:rPr>
                <w:rFonts w:ascii="仿宋_GB2312" w:hAnsi="仿宋_GB2312" w:cs="仿宋_GB2312" w:eastAsia="仿宋_GB2312"/>
              </w:rPr>
              <w:t>全专业、</w:t>
            </w:r>
            <w:r>
              <w:rPr>
                <w:rFonts w:ascii="仿宋_GB2312" w:hAnsi="仿宋_GB2312" w:cs="仿宋_GB2312" w:eastAsia="仿宋_GB2312"/>
              </w:rPr>
              <w:t>全过程及保修阶段的全部监理工作，同时承担相关协调工作。</w:t>
            </w:r>
          </w:p>
          <w:p>
            <w:pPr>
              <w:pStyle w:val="null3"/>
              <w:ind w:firstLine="402"/>
              <w:jc w:val="left"/>
            </w:pP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服务要求</w:t>
            </w:r>
          </w:p>
          <w:p>
            <w:pPr>
              <w:pStyle w:val="null3"/>
              <w:ind w:firstLine="400"/>
              <w:jc w:val="left"/>
            </w:pPr>
            <w:r>
              <w:rPr>
                <w:rFonts w:ascii="仿宋_GB2312" w:hAnsi="仿宋_GB2312" w:cs="仿宋_GB2312" w:eastAsia="仿宋_GB2312"/>
                <w:sz w:val="20"/>
                <w:color w:val="000000"/>
              </w:rPr>
              <w:t>1、监理人员配备</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1）监理人员数量：现场配备</w:t>
            </w:r>
            <w:r>
              <w:rPr>
                <w:rFonts w:ascii="仿宋_GB2312" w:hAnsi="仿宋_GB2312" w:cs="仿宋_GB2312" w:eastAsia="仿宋_GB2312"/>
                <w:color w:val="000000"/>
              </w:rPr>
              <w:t>市政公用工程</w:t>
            </w:r>
            <w:r>
              <w:rPr>
                <w:rFonts w:ascii="仿宋_GB2312" w:hAnsi="仿宋_GB2312" w:cs="仿宋_GB2312" w:eastAsia="仿宋_GB2312"/>
                <w:sz w:val="20"/>
                <w:color w:val="000000"/>
              </w:rPr>
              <w:t>专业总监理工程师</w:t>
            </w:r>
            <w:r>
              <w:rPr>
                <w:rFonts w:ascii="仿宋_GB2312" w:hAnsi="仿宋_GB2312" w:cs="仿宋_GB2312" w:eastAsia="仿宋_GB2312"/>
                <w:sz w:val="20"/>
                <w:color w:val="000000"/>
              </w:rPr>
              <w:t>1名；市政类专业监理工程师2名；水电类专业监理工程师1名；专职安全工程师1名，监理员不少于5人。总监理工程师、专业监理工程师、监理员等相关人员具有市政类经验。</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总监理工程师具备市政公用工程专业国家注册监理工程师证书且无在监项目，身体健康，有一定抗压能力。其他人员有相应任职的工作经验，同时满足采购人现场管理要求。项目监理机构所有人员均应为本企业职工，且为常驻监理人员，不得兼职。</w:t>
            </w:r>
          </w:p>
          <w:p>
            <w:pPr>
              <w:pStyle w:val="null3"/>
              <w:ind w:firstLine="400"/>
              <w:jc w:val="left"/>
            </w:pPr>
            <w:r>
              <w:rPr>
                <w:rFonts w:ascii="仿宋_GB2312" w:hAnsi="仿宋_GB2312" w:cs="仿宋_GB2312" w:eastAsia="仿宋_GB2312"/>
                <w:sz w:val="20"/>
                <w:color w:val="000000"/>
              </w:rPr>
              <w:t>2、监理人员管理要求</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监理单位承担本工程施工阶段的监理任务，并按照合同约定相应阶段的监理程序及监理规划、工作细则实施监理工作，对工程质量、工期和工程造价进行有效控制，做好合同、信息管理及协调建设过程中出现的各种矛盾和问题，含第三方实测实量。保修阶段监理包括检查和记录工程质量缺陷，对缺陷原因进行调查分析并确定责任归属，审核修复方案，监督修复过程并验收，审核修复费用。</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监理单位对工程项目的质量控制、进度控制、造价费用控制、安全生产及文明工地建设、治污减霾管控、合同管理、信息管理、工程资料管理、变更审查、材料计划审批、进场材料检查验收等方面进行全过程监理，并协调在施工场地或附近实施与工程有关的各项工作。</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3）监理单位要负责对施工图纸、变更等文件进行检查复核，查漏补缺，发现问题要及时沟通并告知建设单位。</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4）监理人作为监控工程建设质量的关键机构，其在实施监理工作时，要严格认真履行监理职责。在验收中，严格执行《工程建设标准强制性条文》、工程施工验收规范、设计要求及委托人的要求。</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5）对于重点部位和关键工序，监理方应进行旁站监理，确保工程施工质量和安全。</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6）审批各段分部工程开工报告，检查核实施工单位所报人员、机械设备、材料和试验，审查分部工程的施工方案和施工计划的可行性，确保工程质量和施工安全。</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检查督促各施工单位按设计图施工，现场作业的机械设备和进场的材料应符合相关标准的规定，检查落实施工单位持证上岗的人员，落实各工序的施工工艺。如发现有安全因素时，有责任提醒施工单位注意，必要时可以书面通知施工单位。</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8）监理人在工程施工管理过程中要承担建设工程成本控制的责任，严把签证关，并在合适的条件下，对设计变更提出合理可行的建设性建议，节约成本。</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9）监理资料的整理必须与工程形象进度同步，禁止事后补办资料，监理有义务督促施工单位办理资料。原始数据的来源应有记录，应在监理日志上明确记录当日办理资料的详细情况。</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10）在项目实施过程中，组织检查、评比，对监理的合同履约、规范执行、现场质量、旁站与工序检查认可。</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11）监理人在委托人委托的工程范围内享有选择工程分包人的建议权。</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12）工程各单体工程项目全过程的监理工作，委托人有权依据施工现场情况和监理人的工作情况调整监理人所负责的单体工程。</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13）因项目工期紧迫，监理人必须充分考虑24小时轮班作业，高温作业情况，作业内容及要求按照委托人要求，不得以此向委托人申要额外费用。项目总监每月在现场时间不得少于26日。</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14）项目监理部的组成人员标准应等同于或高于投标文件承诺，未经委托人代表书面同意不得以任何借口撤换监理部工作人员。</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15）监理人的定岗人员经委托人审核通过后，应在工程建设期间保持监理机构人员的稳定性，监理人未经委托人代表书面同意不得以任何借口更换投标资料中的总监或监理机构的人员组成，如事实发生，以违约论处，委托人保留终止合同，追究违约方相关责任及索赔的权力。</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16）采购范围内所有工程竣工验收前，项目监理部的人员编制不得随意减少。</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17）监理人应自行调整作息时间，做到“现场有人施工，就有人监理”，而且专业要配置合理。</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18）监理人要积极配合建设单位，按照建设单位要求对该项目进行竣工验收、验收移交，在项目未正式移交前，监理人应履行监理职责。</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19）监理人及其监理人员不得转让监理业务。</w:t>
            </w:r>
          </w:p>
          <w:p>
            <w:pPr>
              <w:pStyle w:val="null3"/>
              <w:ind w:firstLine="402"/>
              <w:jc w:val="left"/>
            </w:pPr>
            <w:r>
              <w:rPr>
                <w:rFonts w:ascii="仿宋_GB2312" w:hAnsi="仿宋_GB2312" w:cs="仿宋_GB2312" w:eastAsia="仿宋_GB2312"/>
                <w:sz w:val="20"/>
                <w:b/>
                <w:color w:val="000000"/>
              </w:rPr>
              <w:t>三、服务期限</w:t>
            </w:r>
          </w:p>
          <w:p>
            <w:pPr>
              <w:pStyle w:val="null3"/>
              <w:ind w:firstLine="400"/>
              <w:jc w:val="left"/>
            </w:pPr>
            <w:r>
              <w:rPr>
                <w:rFonts w:ascii="仿宋_GB2312" w:hAnsi="仿宋_GB2312" w:cs="仿宋_GB2312" w:eastAsia="仿宋_GB2312"/>
                <w:color w:val="000000"/>
              </w:rPr>
              <w:t>监理期限</w:t>
            </w:r>
            <w:r>
              <w:rPr>
                <w:rFonts w:ascii="仿宋_GB2312" w:hAnsi="仿宋_GB2312" w:cs="仿宋_GB2312" w:eastAsia="仿宋_GB2312"/>
                <w:color w:val="000000"/>
              </w:rPr>
              <w:t>730日历天。监理总服务期为自开工之日至工程保修期满之日止，同时应满足上级政府主管部门对项目竣工交付的要求。</w:t>
            </w:r>
          </w:p>
          <w:p>
            <w:pPr>
              <w:pStyle w:val="null3"/>
              <w:ind w:firstLine="402"/>
              <w:jc w:val="left"/>
            </w:pPr>
            <w:r>
              <w:rPr>
                <w:rFonts w:ascii="仿宋_GB2312" w:hAnsi="仿宋_GB2312" w:cs="仿宋_GB2312" w:eastAsia="仿宋_GB2312"/>
                <w:sz w:val="20"/>
                <w:b/>
                <w:color w:val="000000"/>
              </w:rPr>
              <w:t>四、质量标准</w:t>
            </w:r>
          </w:p>
          <w:p>
            <w:pPr>
              <w:pStyle w:val="null3"/>
              <w:jc w:val="both"/>
            </w:pPr>
            <w:r>
              <w:rPr>
                <w:rFonts w:ascii="仿宋_GB2312" w:hAnsi="仿宋_GB2312" w:cs="仿宋_GB2312" w:eastAsia="仿宋_GB2312"/>
                <w:sz w:val="20"/>
                <w:color w:val="000000"/>
              </w:rPr>
              <w:t xml:space="preserve">  达到国家、省市或相关行业规范</w:t>
            </w:r>
            <w:r>
              <w:rPr>
                <w:rFonts w:ascii="仿宋_GB2312" w:hAnsi="仿宋_GB2312" w:cs="仿宋_GB2312" w:eastAsia="仿宋_GB2312"/>
                <w:sz w:val="20"/>
                <w:color w:val="000000"/>
              </w:rPr>
              <w:t>“合格”标准要求。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供应商须在人员方面具备履行合同所必需的专业技术能力。</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供应商须在设备方面具备履行合同所必需的专业技术能力。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供应商须在资金方面具备履行合同所必需的专业技术能力。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监理期限730日历天。监理总服务期为自开工之日至工程保修期满之日止，同时应满足上级政府主管部门对项目竣工交付的要求。</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灵韵沣境苑周边5条道路位于西汉高速以南，沣河以西，浴马二路以北，南丰一路以东；临沣东路位于沣河以东，灵韵北路与现状匝道延伸段之间。</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按月度进行支付，当监理费累计支付至监理合同暂定总价的75％时暂停支付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工程竣工验收合格并出具验收证书、完成工程结算且完成监理费结算及财务对账确认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22.00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剩余3%结算价款，工程缺陷责任期满一次性无息支付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成交供应商领取成交通知书时须线下提交响应文件正本壹套、副本叁套、电子版(U盘贰套）。纸质响应文件应与电子响应文件保持一致。递交文件地点：西安市太白南路181号西部电子社区A座A区501室招标一部。2.需要落实的政府采购政策：2.1《国务院办公厅关于建立政府强制采购节能产品制度的通知》（国办发〔2007〕51号）；2.2《财政部 司法部关于政府采购支持监狱企业发展有关问题的通知》（财库〔2014〕68 号）；2.3《财政部、民政部、中国残疾人联合会关于促进残疾人就业政府采购政策的通知》（财库〔2017〕141号）；2.4《财政部 发展改革委 生态环境部 市场监管总局关于调整优化节能产品、环境标志产品政府采购执行机制的通知》（财库〔2019〕9号）；2.5《关于运用政府采购政策支持乡村产业振兴的通知》（财库〔2021〕19 号）；2.6《政府采购促进中小企业发展管理办法》（财库〔2020〕46号）；2.7陕西省财政厅关于印发《陕西省中小企业政府采购信用融资办法》（陕财办采〔2018〕23号）；2.8《关于进一步加大政府采购支持中小企业力度的通知》（财库〔2022〕19号）；2.9《关于扩大政府采购支持绿色建材促进建筑品质提升政策实施范围的通知》（财库〔2022〕35号）。3.支付约定补充：（1）按月度审定完成工程量×监理费率×75％进行支付，月进度付款额不足2万元时，当月不予支付，合并至次月支付；（2）当监理费累计支付至监理合同暂定总价的75％时暂停支付，待工程竣工验收合格并出具验收证书、完成工程结算且完成监理费结算及财务对账确认后，支付至监理费财务对账确认结算款的97％，剩余3％财务对账确认结算款，工程缺陷责任期满一次性无息支付。4.竞争性磋商报价为完成本项目竞争性磋商文件中所提出的工作范围及要求的全部内容，并达到国家及采购人验收标准而产生的所有费用，包括但不限于人工费、监理服务费、管理费、交通费、住宿费、办公费、利润、税金、风险、验收等完成本项目所需的全部费用。任何错报、漏报由供应商自行负责。5.磋商报价中列明的费率为固定费率，不因最终结算基准价的变化而调整。 6.最高限价：本次监理服务费最高限价为¥643298.60元（大写：陆拾肆万叁仟贰佰玖拾捌元陆角整），报价上限费率：0.7%（工程费用暂定为9189.98万元）。凡报价高于最高限价的响应报价均为无效报价，不得参与评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（1）供应商应具有独立承担民事责任的能力，提供供应商的营业执照等证明文件，自然人的身份证明等扫描件。 （2）供应商依法缴纳税收、缴纳社会保障金、具有履行合同所必需的设备和专业技术能力、参加政府采购活动前三年内，在经营活动中没有重大违法记录，供应商按照磋商文件提供的《基本资格条件承诺函》进行承诺。</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供应商须具备建设行政主管部门颁发的工程监理综合资质或市政公用工程专业监理乙级或以上资质。供应商需在项目电子化交易系统中按要求上传相应证明文件并进行电子签章。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拟派总监理工程师</w:t>
            </w:r>
          </w:p>
        </w:tc>
        <w:tc>
          <w:tcPr>
            <w:tcW w:type="dxa" w:w="3322"/>
          </w:tcPr>
          <w:p>
            <w:pPr>
              <w:pStyle w:val="null3"/>
            </w:pPr>
            <w:r>
              <w:rPr>
                <w:rFonts w:ascii="仿宋_GB2312" w:hAnsi="仿宋_GB2312" w:cs="仿宋_GB2312" w:eastAsia="仿宋_GB2312"/>
              </w:rPr>
              <w:t>拟派总监理工程师须具备市政公用工程专业国家注册监理工程师执业资格，在本单位注册，且未担任其他在建工程项目的总监理工程师。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 ）中列入失信被执行人和重大税收违法失信主体的供应商，不得为中国政府采购网（www.ccgp.gov.cn ）政府采购严重违法失信行为记录名单中被财政部门禁止参加政府采购活动的供应商。采购人或采购代理机构在磋商当日通过“信用中国”网(www.creditchina. gov.cn)、中国政府采购网(www.ccgp.gov.cn)查询相关主体信用记录网页截图保存。</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首次磋商报价表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 2、报价货币符合磋商文件要求；3、未超出磋商文件规定的最高限价。</w:t>
            </w:r>
          </w:p>
        </w:tc>
        <w:tc>
          <w:tcPr>
            <w:tcW w:type="dxa" w:w="1661"/>
          </w:tcPr>
          <w:p>
            <w:pPr>
              <w:pStyle w:val="null3"/>
            </w:pPr>
            <w:r>
              <w:rPr>
                <w:rFonts w:ascii="仿宋_GB2312" w:hAnsi="仿宋_GB2312" w:cs="仿宋_GB2312" w:eastAsia="仿宋_GB2312"/>
              </w:rPr>
              <w:t>标的清单 报价表 首次磋商报价表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合同条款偏离表 中小企业声明函 供应商应提交的相关资格证明材料 报价表 首次磋商报价表 法定代表人身份证明或法定代表人授权委托书 业绩的相关证明材料 响应文件封面 政府采购供应商拒绝政府采购领域商业贿赂承诺书 技术方案响应说明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法定代表人直接参加磋商的，须出具法定代表人身份证明及法人身份证；法定代表人授权代表参加磋商的，须出具法定代表人授权委托书和被授权人身份证。</w:t>
            </w:r>
          </w:p>
        </w:tc>
        <w:tc>
          <w:tcPr>
            <w:tcW w:type="dxa" w:w="1661"/>
          </w:tcPr>
          <w:p>
            <w:pPr>
              <w:pStyle w:val="null3"/>
            </w:pPr>
            <w:r>
              <w:rPr>
                <w:rFonts w:ascii="仿宋_GB2312" w:hAnsi="仿宋_GB2312" w:cs="仿宋_GB2312" w:eastAsia="仿宋_GB2312"/>
              </w:rPr>
              <w:t>法定代表人身份证明或法定代表人授权委托书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合同条款偏离表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监理大纲</w:t>
            </w:r>
          </w:p>
        </w:tc>
        <w:tc>
          <w:tcPr>
            <w:tcW w:type="dxa" w:w="2492"/>
          </w:tcPr>
          <w:p>
            <w:pPr>
              <w:pStyle w:val="null3"/>
            </w:pPr>
            <w:r>
              <w:rPr>
                <w:rFonts w:ascii="仿宋_GB2312" w:hAnsi="仿宋_GB2312" w:cs="仿宋_GB2312" w:eastAsia="仿宋_GB2312"/>
              </w:rPr>
              <w:t>根据各供应商针对本项目制定的监理大纲响应情况按以下分项进行评审，内容应描述详细，切实可行且符合项目实际情况；每项5分： 1、监理工作目标及监理依据； 2、质量控制措施； 3、进度控制措施； 4、投资控制措施； 5、合同管理及信息管理； 6、安全文明施工及治污减霾、应急保障措施； 7、重点部位及关键工序的控制方法； 8、监理工作流程； 9、监理工作制度； 10、监理资料的管理及保修阶段的服务工作。 评审标准： （1）专门针对本项目编制，符合本项目实际情况及实施要求，内容详尽、涵盖角度全面，合理性和可行性强，能够保障项目顺利实施的，得5分； （2）专门针对本项目编制，符合本项目实际情况及实施要求，内容详细，方案涵盖角度基本全面，有一定的合理性和可行性的，得4分； （3）专门针对本项目编制，基本符合本项目实际情况及实施要求，内容较详细，涵盖角度较全面，基本合理可行的，得3分； （4）专门针对本项目编制，基本符合本项目实际情况及实施要求，但涵盖角度不全面且实施有难度的，得2分； （5）内容简单笼统且实施难度大的，得1分； （6）未响应不得分。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拟派项目总监</w:t>
            </w:r>
          </w:p>
        </w:tc>
        <w:tc>
          <w:tcPr>
            <w:tcW w:type="dxa" w:w="2492"/>
          </w:tcPr>
          <w:p>
            <w:pPr>
              <w:pStyle w:val="null3"/>
            </w:pPr>
            <w:r>
              <w:rPr>
                <w:rFonts w:ascii="仿宋_GB2312" w:hAnsi="仿宋_GB2312" w:cs="仿宋_GB2312" w:eastAsia="仿宋_GB2312"/>
              </w:rPr>
              <w:t>1.拟派项目总监持证执业年限高于5年（含5年）得2分；持证执业年限为3年（含）～5年得1分；其余不得分。 2.拟派项目总监具有高级职称或以上者，得2分；具有中级职称者，得1分；其余不得分。 3.拟派项目总监近三年类似业绩（2022年1月至今，以合同签订日期或中标通知书或其他有效证明材料落款日期为准），每提供一个得2分，满分6分，不提供不得分。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项目组人员配备</w:t>
            </w:r>
          </w:p>
        </w:tc>
        <w:tc>
          <w:tcPr>
            <w:tcW w:type="dxa" w:w="2492"/>
          </w:tcPr>
          <w:p>
            <w:pPr>
              <w:pStyle w:val="null3"/>
            </w:pPr>
            <w:r>
              <w:rPr>
                <w:rFonts w:ascii="仿宋_GB2312" w:hAnsi="仿宋_GB2312" w:cs="仿宋_GB2312" w:eastAsia="仿宋_GB2312"/>
              </w:rPr>
              <w:t>1、项目组人员配备：总监理工程师1人、市政类专业监理工程师2名、水电类监理工程师1名、专职安全工程师1名、监理员不少于5人，以上为本项目项目组人员配备基本要求，每多配备1人加1分，满分4分； 2、项目组配备人员中每具有1名工程师或以上职称人员得1分，满分6分。 备注：磋商响应文件附相关证明文件，未提供不得分。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提供2022年1月至今（以合同签订时间为准）类似项目业绩，每份业绩计2分，满分10分。 注：响应文件中提供合同或合同关键页复印件并加盖公章。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磋商报价最低的供应商的价格为磋商基准价，其价格分为满分。其他供应商的价格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磋商报价表（二次）</w:t>
            </w:r>
          </w:p>
          <w:p>
            <w:pPr>
              <w:pStyle w:val="null3"/>
            </w:pPr>
            <w:r>
              <w:rPr>
                <w:rFonts w:ascii="仿宋_GB2312" w:hAnsi="仿宋_GB2312" w:cs="仿宋_GB2312" w:eastAsia="仿宋_GB2312"/>
              </w:rPr>
              <w:t>首次磋商报价表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及《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 2、采购标的对应的中小企业划分标准所属行业：其他未列明行业。根据《工业和信息化部、国家统计局、国家发展和改革委员会、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详见附件：法定代表人身份证明或法定代表人授权委托书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详见附件：首次磋商报价表</w:t>
      </w:r>
    </w:p>
    <w:p>
      <w:pPr>
        <w:pStyle w:val="null3"/>
        <w:ind w:firstLine="960"/>
      </w:pPr>
      <w:r>
        <w:rPr>
          <w:rFonts w:ascii="仿宋_GB2312" w:hAnsi="仿宋_GB2312" w:cs="仿宋_GB2312" w:eastAsia="仿宋_GB2312"/>
        </w:rPr>
        <w:t>详见附件：磋商报价表（二次）</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详见附件：合同条款偏离表</w:t>
      </w:r>
    </w:p>
    <w:p>
      <w:pPr>
        <w:pStyle w:val="null3"/>
        <w:ind w:firstLine="960"/>
      </w:pPr>
      <w:r>
        <w:rPr>
          <w:rFonts w:ascii="仿宋_GB2312" w:hAnsi="仿宋_GB2312" w:cs="仿宋_GB2312" w:eastAsia="仿宋_GB2312"/>
        </w:rPr>
        <w:t>详见附件：技术方案响应说明</w:t>
      </w:r>
    </w:p>
    <w:p>
      <w:pPr>
        <w:pStyle w:val="null3"/>
        <w:ind w:firstLine="960"/>
      </w:pPr>
      <w:r>
        <w:rPr>
          <w:rFonts w:ascii="仿宋_GB2312" w:hAnsi="仿宋_GB2312" w:cs="仿宋_GB2312" w:eastAsia="仿宋_GB2312"/>
        </w:rPr>
        <w:t>详见附件：业绩的相关证明材料</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详见附件：灵韵沣境苑周边及临沣东路市政道路建设项目监理合同.docx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