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版本号：LZBC2025-239（XDZ2025-21-J-9）20250303001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高新区GX3-36-13号宗地（二期）考古发掘劳务外包项目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LZBC2025-239（XDZ2025-21-J-9）</w:t>
      </w:r>
      <w:r>
        <w:br/>
      </w:r>
      <w:r>
        <w:br/>
      </w:r>
      <w:r>
        <w:br/>
      </w:r>
    </w:p>
    <w:p>
      <w:pPr>
        <w:pStyle w:val="null3"/>
        <w:jc w:val="center"/>
        <w:outlineLvl w:val="2"/>
      </w:pPr>
      <w:r>
        <w:rPr>
          <w:rFonts w:ascii="仿宋_GB2312" w:hAnsi="仿宋_GB2312" w:cs="仿宋_GB2312" w:eastAsia="仿宋_GB2312"/>
          <w:sz w:val="28"/>
          <w:b/>
        </w:rPr>
        <w:t>西安高新技术产业开发区土地储备中心</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西安高新技术产业开发区土地储备中心</w:t>
      </w:r>
      <w:r>
        <w:rPr>
          <w:rFonts w:ascii="仿宋_GB2312" w:hAnsi="仿宋_GB2312" w:cs="仿宋_GB2312" w:eastAsia="仿宋_GB2312"/>
        </w:rPr>
        <w:t>委托，拟对</w:t>
      </w:r>
      <w:r>
        <w:rPr>
          <w:rFonts w:ascii="仿宋_GB2312" w:hAnsi="仿宋_GB2312" w:cs="仿宋_GB2312" w:eastAsia="仿宋_GB2312"/>
        </w:rPr>
        <w:t>高新区GX3-36-13号宗地（二期）考古发掘劳务外包项目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LZBC2025-239（XDZ2025-21-J-9）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高新区GX3-36-13号宗地（二期）考古发掘劳务外包项目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根据西安高新区土地储备中心工作安排，拟采购单位一家，配合发掘单位完成GX3-36-13号宗地（二期）的文物考古发掘工作，宗地位于鱼化街道，云水五路以西，天谷二路以北。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采购包1（高新区GX3-36-13号宗地（二期）考古发掘劳务外包项目）：属于专门面向中小企业采购。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p>
      <w:pPr>
        <w:pStyle w:val="null3"/>
      </w:pPr>
      <w:r>
        <w:rPr>
          <w:rFonts w:ascii="仿宋_GB2312" w:hAnsi="仿宋_GB2312" w:cs="仿宋_GB2312" w:eastAsia="仿宋_GB2312"/>
        </w:rPr>
        <w:t>2、财务状况报告：供应商2023年或2024年经审计的财务报告（事业法人可提供部门决算报告）或基本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3、履行合同所必需的设备和专业技术能力书面声明函：供应商应提供履行合同所必需的设备和专业技术能力书面声明函，供应商需在项目电子化交易系统中按要求上传相应证明文件并进行电子签章。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4、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w:t>
      </w:r>
    </w:p>
    <w:p>
      <w:pPr>
        <w:pStyle w:val="null3"/>
      </w:pPr>
      <w:r>
        <w:rPr>
          <w:rFonts w:ascii="仿宋_GB2312" w:hAnsi="仿宋_GB2312" w:cs="仿宋_GB2312" w:eastAsia="仿宋_GB2312"/>
        </w:rPr>
        <w:t>6、信用状况：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西安高新区成章路丝路创智谷5号楼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029-81165139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采购包1：303,089.72元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以及『2011』534号文中规定的标准（以采购预算为基准）下浮15%，采购代理机构在成交人领取成交通知书时向成交人收取，此招标代理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西安高新技术产业开发区土地储备中心</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西安高新技术产业开发区土地储备中心</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地址：陕西省西安市高新区太白南路181号A座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根据西安高新区土地储备中心工作安排，拟采购单位一家，配合发掘单位完成GX3-36-13号宗地（二期）的文物考古发掘工作，宗地位于鱼化街道，云水五路以西，天谷二路以北。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303,089.72</w:t>
      </w:r>
    </w:p>
    <w:p>
      <w:pPr>
        <w:pStyle w:val="null3"/>
      </w:pPr>
      <w:r>
        <w:rPr>
          <w:rFonts w:ascii="仿宋_GB2312" w:hAnsi="仿宋_GB2312" w:cs="仿宋_GB2312" w:eastAsia="仿宋_GB2312"/>
        </w:rPr>
        <w:t>采购包最高限价（元）: 303,089.72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高新区GX3-36-13号宗地（二期）考古发掘劳务外包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303,089.72</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标的名称：高新区GX3-36-13号宗地（二期）考古发掘劳务外包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p>
            <w:pPr>
              <w:pStyle w:val="null3"/>
              <w:jc w:val="both"/>
            </w:pPr>
            <w:r>
              <w:rPr>
                <w:rFonts w:ascii="仿宋_GB2312" w:hAnsi="仿宋_GB2312" w:cs="仿宋_GB2312" w:eastAsia="仿宋_GB2312"/>
              </w:rPr>
              <w:t>一</w:t>
            </w:r>
            <w:r>
              <w:rPr>
                <w:rFonts w:ascii="仿宋_GB2312" w:hAnsi="仿宋_GB2312" w:cs="仿宋_GB2312" w:eastAsia="仿宋_GB2312"/>
              </w:rPr>
              <w:t>、技术要求</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供应商</w:t>
            </w:r>
            <w:r>
              <w:rPr>
                <w:rFonts w:ascii="仿宋_GB2312" w:hAnsi="仿宋_GB2312" w:cs="仿宋_GB2312" w:eastAsia="仿宋_GB2312"/>
              </w:rPr>
              <w:t>应根据国家和省、市有关法律法规及招标人的有关规定，配合考古发掘单位按时完成考古发掘</w:t>
            </w:r>
            <w:r>
              <w:rPr>
                <w:rFonts w:ascii="仿宋_GB2312" w:hAnsi="仿宋_GB2312" w:cs="仿宋_GB2312" w:eastAsia="仿宋_GB2312"/>
              </w:rPr>
              <w:t>,</w:t>
            </w:r>
            <w:r>
              <w:rPr>
                <w:rFonts w:ascii="仿宋_GB2312" w:hAnsi="仿宋_GB2312" w:cs="仿宋_GB2312" w:eastAsia="仿宋_GB2312"/>
              </w:rPr>
              <w:t>包含土方劳务、支护加固等内容。</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供应商</w:t>
            </w:r>
            <w:r>
              <w:rPr>
                <w:rFonts w:ascii="仿宋_GB2312" w:hAnsi="仿宋_GB2312" w:cs="仿宋_GB2312" w:eastAsia="仿宋_GB2312"/>
              </w:rPr>
              <w:t>的服务方案符合相关要求并切实可行。对本项目及所处区域的文物发掘熟悉。具有对关键性问题的把握及解决方案、突发事件处理方案及安全预案的经验。</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供应商</w:t>
            </w:r>
            <w:r>
              <w:rPr>
                <w:rFonts w:ascii="仿宋_GB2312" w:hAnsi="仿宋_GB2312" w:cs="仿宋_GB2312" w:eastAsia="仿宋_GB2312"/>
              </w:rPr>
              <w:t>应拥有足够的人力、财力、物力和专业技术能力等资源保证按时按质按量完成委托业务。</w:t>
            </w:r>
          </w:p>
          <w:p>
            <w:pPr>
              <w:pStyle w:val="null3"/>
              <w:ind w:firstLine="400"/>
              <w:jc w:val="both"/>
            </w:pPr>
            <w:r>
              <w:rPr>
                <w:rFonts w:ascii="仿宋_GB2312" w:hAnsi="仿宋_GB2312" w:cs="仿宋_GB2312" w:eastAsia="仿宋_GB2312"/>
              </w:rPr>
              <w:t>4.</w:t>
            </w:r>
            <w:r>
              <w:rPr>
                <w:rFonts w:ascii="仿宋_GB2312" w:hAnsi="仿宋_GB2312" w:cs="仿宋_GB2312" w:eastAsia="仿宋_GB2312"/>
              </w:rPr>
              <w:t>供应商</w:t>
            </w:r>
            <w:r>
              <w:rPr>
                <w:rFonts w:ascii="仿宋_GB2312" w:hAnsi="仿宋_GB2312" w:cs="仿宋_GB2312" w:eastAsia="仿宋_GB2312"/>
              </w:rPr>
              <w:t>应对自身安全负责，并给项目人员提供相应的保险保障。</w:t>
            </w:r>
          </w:p>
          <w:p>
            <w:pPr>
              <w:pStyle w:val="null3"/>
              <w:ind w:firstLine="400"/>
              <w:jc w:val="both"/>
            </w:pPr>
            <w:r>
              <w:rPr>
                <w:rFonts w:ascii="仿宋_GB2312" w:hAnsi="仿宋_GB2312" w:cs="仿宋_GB2312" w:eastAsia="仿宋_GB2312"/>
              </w:rPr>
              <w:t>5.</w:t>
            </w:r>
            <w:r>
              <w:rPr>
                <w:rFonts w:ascii="仿宋_GB2312" w:hAnsi="仿宋_GB2312" w:cs="仿宋_GB2312" w:eastAsia="仿宋_GB2312"/>
              </w:rPr>
              <w:t>供应商</w:t>
            </w:r>
            <w:r>
              <w:rPr>
                <w:rFonts w:ascii="仿宋_GB2312" w:hAnsi="仿宋_GB2312" w:cs="仿宋_GB2312" w:eastAsia="仿宋_GB2312"/>
              </w:rPr>
              <w:t>应有健全的组织机构和内部管理制度，有完善的质量保证体系和安全管理制度。定期对人员进行相关文物、考古知识的培训。</w:t>
            </w:r>
          </w:p>
          <w:p>
            <w:pPr>
              <w:pStyle w:val="null3"/>
              <w:ind w:firstLine="400"/>
              <w:jc w:val="both"/>
            </w:pPr>
            <w:r>
              <w:rPr>
                <w:rFonts w:ascii="仿宋_GB2312" w:hAnsi="仿宋_GB2312" w:cs="仿宋_GB2312" w:eastAsia="仿宋_GB2312"/>
              </w:rPr>
              <w:t>6.</w:t>
            </w:r>
            <w:r>
              <w:rPr>
                <w:rFonts w:ascii="仿宋_GB2312" w:hAnsi="仿宋_GB2312" w:cs="仿宋_GB2312" w:eastAsia="仿宋_GB2312"/>
              </w:rPr>
              <w:t>如被确认中标，则</w:t>
            </w:r>
            <w:r>
              <w:rPr>
                <w:rFonts w:ascii="仿宋_GB2312" w:hAnsi="仿宋_GB2312" w:cs="仿宋_GB2312" w:eastAsia="仿宋_GB2312"/>
              </w:rPr>
              <w:t>供应商</w:t>
            </w:r>
            <w:r>
              <w:rPr>
                <w:rFonts w:ascii="仿宋_GB2312" w:hAnsi="仿宋_GB2312" w:cs="仿宋_GB2312" w:eastAsia="仿宋_GB2312"/>
              </w:rPr>
              <w:t>于投标文件中承诺配备的人员必须配备到位，若需更换人员应先征得招标人同意，且替换的人员不低于被替换的人员的资质等级及工作能力。</w:t>
            </w:r>
          </w:p>
          <w:p>
            <w:pPr>
              <w:pStyle w:val="null3"/>
              <w:ind w:firstLine="400"/>
              <w:jc w:val="both"/>
            </w:pPr>
            <w:r>
              <w:rPr>
                <w:rFonts w:ascii="仿宋_GB2312" w:hAnsi="仿宋_GB2312" w:cs="仿宋_GB2312" w:eastAsia="仿宋_GB2312"/>
              </w:rPr>
              <w:t>7.</w:t>
            </w:r>
            <w:r>
              <w:rPr>
                <w:rFonts w:ascii="仿宋_GB2312" w:hAnsi="仿宋_GB2312" w:cs="仿宋_GB2312" w:eastAsia="仿宋_GB2312"/>
              </w:rPr>
              <w:t>成交人</w:t>
            </w:r>
            <w:r>
              <w:rPr>
                <w:rFonts w:ascii="仿宋_GB2312" w:hAnsi="仿宋_GB2312" w:cs="仿宋_GB2312" w:eastAsia="仿宋_GB2312"/>
              </w:rPr>
              <w:t>应独立完成工作任务，不得以任何形式将工作任务再委托其他个人和机构。</w:t>
            </w:r>
          </w:p>
          <w:p>
            <w:pPr>
              <w:pStyle w:val="null3"/>
              <w:ind w:firstLine="400"/>
              <w:jc w:val="both"/>
            </w:pPr>
            <w:r>
              <w:rPr>
                <w:rFonts w:ascii="仿宋_GB2312" w:hAnsi="仿宋_GB2312" w:cs="仿宋_GB2312" w:eastAsia="仿宋_GB2312"/>
              </w:rPr>
              <w:t>8.</w:t>
            </w:r>
            <w:r>
              <w:rPr>
                <w:rFonts w:ascii="仿宋_GB2312" w:hAnsi="仿宋_GB2312" w:cs="仿宋_GB2312" w:eastAsia="仿宋_GB2312"/>
              </w:rPr>
              <w:t>发掘过程中，</w:t>
            </w:r>
            <w:r>
              <w:rPr>
                <w:rFonts w:ascii="仿宋_GB2312" w:hAnsi="仿宋_GB2312" w:cs="仿宋_GB2312" w:eastAsia="仿宋_GB2312"/>
              </w:rPr>
              <w:t>供应商</w:t>
            </w:r>
            <w:r>
              <w:rPr>
                <w:rFonts w:ascii="仿宋_GB2312" w:hAnsi="仿宋_GB2312" w:cs="仿宋_GB2312" w:eastAsia="仿宋_GB2312"/>
              </w:rPr>
              <w:t>应采取合理措施，确保文物的安全。</w:t>
            </w:r>
          </w:p>
          <w:p>
            <w:pPr>
              <w:pStyle w:val="null3"/>
              <w:jc w:val="both"/>
            </w:pPr>
            <w:r>
              <w:rPr>
                <w:rFonts w:ascii="仿宋_GB2312" w:hAnsi="仿宋_GB2312" w:cs="仿宋_GB2312" w:eastAsia="仿宋_GB2312"/>
              </w:rPr>
              <w:t>二</w:t>
            </w:r>
            <w:r>
              <w:rPr>
                <w:rFonts w:ascii="仿宋_GB2312" w:hAnsi="仿宋_GB2312" w:cs="仿宋_GB2312" w:eastAsia="仿宋_GB2312"/>
              </w:rPr>
              <w:t>、安全要求</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供应商</w:t>
            </w:r>
            <w:r>
              <w:rPr>
                <w:rFonts w:ascii="仿宋_GB2312" w:hAnsi="仿宋_GB2312" w:cs="仿宋_GB2312" w:eastAsia="仿宋_GB2312"/>
              </w:rPr>
              <w:t>应对自身安全负责，要遵守国家的相关安全规定。</w:t>
            </w:r>
            <w:r>
              <w:rPr>
                <w:rFonts w:ascii="仿宋_GB2312" w:hAnsi="仿宋_GB2312" w:cs="仿宋_GB2312" w:eastAsia="仿宋_GB2312"/>
              </w:rPr>
              <w:t>供应商</w:t>
            </w:r>
            <w:r>
              <w:rPr>
                <w:rFonts w:ascii="仿宋_GB2312" w:hAnsi="仿宋_GB2312" w:cs="仿宋_GB2312" w:eastAsia="仿宋_GB2312"/>
              </w:rPr>
              <w:t>应严格执行《考古工地安全协议》的相关要求，遵守考古工地的安全规定，确保考古工地的施工安全、人员安全和文物安全。</w:t>
            </w:r>
            <w:r>
              <w:rPr>
                <w:rFonts w:ascii="仿宋_GB2312" w:hAnsi="仿宋_GB2312" w:cs="仿宋_GB2312" w:eastAsia="仿宋_GB2312"/>
              </w:rPr>
              <w:t xml:space="preserve">  </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应坚持“安全第一、预防为主”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供应商</w:t>
            </w:r>
            <w:r>
              <w:rPr>
                <w:rFonts w:ascii="仿宋_GB2312" w:hAnsi="仿宋_GB2312" w:cs="仿宋_GB2312" w:eastAsia="仿宋_GB2312"/>
              </w:rPr>
              <w:t>在考古发掘工作中对发现的古遗址、古墓葬等地下文物古迹负有看管保护的责任，并对相关信息负有保密的责任。</w:t>
            </w:r>
          </w:p>
          <w:p>
            <w:pPr>
              <w:pStyle w:val="null3"/>
              <w:jc w:val="both"/>
            </w:pPr>
            <w:r>
              <w:rPr>
                <w:rFonts w:ascii="仿宋_GB2312" w:hAnsi="仿宋_GB2312" w:cs="仿宋_GB2312" w:eastAsia="仿宋_GB2312"/>
                <w:sz w:val="21"/>
              </w:rPr>
              <w:t xml:space="preserve">       4.</w:t>
            </w:r>
            <w:r>
              <w:rPr>
                <w:rFonts w:ascii="仿宋_GB2312" w:hAnsi="仿宋_GB2312" w:cs="仿宋_GB2312" w:eastAsia="仿宋_GB2312"/>
                <w:sz w:val="21"/>
              </w:rPr>
              <w:t>供应商</w:t>
            </w:r>
            <w:r>
              <w:rPr>
                <w:rFonts w:ascii="仿宋_GB2312" w:hAnsi="仿宋_GB2312" w:cs="仿宋_GB2312" w:eastAsia="仿宋_GB2312"/>
                <w:sz w:val="21"/>
              </w:rPr>
              <w:t>考古驻地的所有工作人员、财物、设备、设施以及暂存文物标本的文物库房等的安全保卫工作由</w:t>
            </w:r>
            <w:r>
              <w:rPr>
                <w:rFonts w:ascii="仿宋_GB2312" w:hAnsi="仿宋_GB2312" w:cs="仿宋_GB2312" w:eastAsia="仿宋_GB2312"/>
                <w:sz w:val="21"/>
              </w:rPr>
              <w:t>供应商</w:t>
            </w:r>
            <w:r>
              <w:rPr>
                <w:rFonts w:ascii="仿宋_GB2312" w:hAnsi="仿宋_GB2312" w:cs="仿宋_GB2312" w:eastAsia="仿宋_GB2312"/>
                <w:sz w:val="21"/>
              </w:rPr>
              <w:t>全权负责。驻地暂存文物和标本的临时文物库房，必须符合有关存放文物的安全要求。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成交人接采购人通知后配合考古发掘单位同步完成考古发掘，若遇不可抗拒因素，工期顺延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协议未尽事宜，由甲、乙双方协商解决。协商不成的双方可提交甲方所在地人民法院裁判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3、根据《西安高新区财政金融局关于开展政府采购供应商基本资格条件承诺制试点工作的通知（西高财函〔2024〕111号）》，简化对供应商资格条件等的形式审查，供应商只需以书面形式提供规定格式的《基本资格条件承诺函》(详见响应文件格式第六部分),即可替代以下材料：1.财务状况报告(表)或其基本开户银行出具的资信证明材料；2.依法缴纳税收的证明材料；3.缴纳社会保障金的证明材料；4.具有履行合同所必需的设备和专业技术能力的证明材料；5.参加政府采购活动前三年内，在经营活动中没有重大违法记录的证明材料；6.未被列入失信被执行人、重大税收违法案件当事人名单及政府采购严重违法失信行为记录名单的证明材料。简化后，供应商应对承诺内容的真实性、合法性、有效性负责。经调查核实为虚假承诺的，视同为“提供虚假材料谋取中标、成交”的违法行为，依照《中华人民共和国政府采购法》等法律法规追究相应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格式03.03.docx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格式03.03.docx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格式03.03.docx 标的清单 报价表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格式03.03.docx 标的清单 报价表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法人需提供合法有效的营业执照，其他组织需提供合法有效的营业执照（或事业单位法人证书）等证明资料，自然人须提供身份证明。供应商需在项目电子化交易系统中按要求上传相应证明文件并进行电子签章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格式03.03.docx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2023年或2024年经审计的财务报告（事业法人可提供部门决算报告）或基本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格式03.03.docx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供应商应提供履行合同所必需的设备和专业技术能力书面声明函，供应商需在项目电子化交易系统中按要求上传相应证明文件并进行电子签章。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格式03.03.docx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格式03.03.docx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格式03.03.docx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tc>
        <w:tc>
          <w:tcPr>
            <w:tcW w:type="dxa" w:w="1661"/>
          </w:tcPr>
          <w:p>
            <w:pPr>
              <w:pStyle w:val="null3"/>
            </w:pPr>
            <w:r>
              <w:rPr>
                <w:rFonts w:ascii="仿宋_GB2312" w:hAnsi="仿宋_GB2312" w:cs="仿宋_GB2312" w:eastAsia="仿宋_GB2312"/>
              </w:rPr>
              <w:t>格式03.03.docx 标的清单 报价表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格式03.03.docx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磋商响应文件构成是否有缺项，是否按照磋商响应文件要求编写投标文件。</w:t>
            </w:r>
          </w:p>
        </w:tc>
        <w:tc>
          <w:tcPr>
            <w:tcW w:type="dxa" w:w="1661"/>
          </w:tcPr>
          <w:p>
            <w:pPr>
              <w:pStyle w:val="null3"/>
            </w:pPr>
            <w:r>
              <w:rPr>
                <w:rFonts w:ascii="仿宋_GB2312" w:hAnsi="仿宋_GB2312" w:cs="仿宋_GB2312" w:eastAsia="仿宋_GB2312"/>
              </w:rPr>
              <w:t>格式03.03.docx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内容无重大缺漏项，报价唯一，且没有低于成本价或高于采购预算。</w:t>
            </w:r>
          </w:p>
        </w:tc>
        <w:tc>
          <w:tcPr>
            <w:tcW w:type="dxa" w:w="1661"/>
          </w:tcPr>
          <w:p>
            <w:pPr>
              <w:pStyle w:val="null3"/>
            </w:pPr>
            <w:r>
              <w:rPr>
                <w:rFonts w:ascii="仿宋_GB2312" w:hAnsi="仿宋_GB2312" w:cs="仿宋_GB2312" w:eastAsia="仿宋_GB2312"/>
              </w:rPr>
              <w:t>格式03.03.docx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格式03.03.docx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格式03.03.docx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提供授权委托书及授权代表身份证（法定代表人、单位负责人或自然人直接参与磋商的只须提交其身份证）</w:t>
            </w:r>
          </w:p>
        </w:tc>
        <w:tc>
          <w:tcPr>
            <w:tcW w:type="dxa" w:w="1661"/>
          </w:tcPr>
          <w:p>
            <w:pPr>
              <w:pStyle w:val="null3"/>
            </w:pPr>
            <w:r>
              <w:rPr>
                <w:rFonts w:ascii="仿宋_GB2312" w:hAnsi="仿宋_GB2312" w:cs="仿宋_GB2312" w:eastAsia="仿宋_GB2312"/>
              </w:rPr>
              <w:t>格式03.03.docx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本项目整体服务方案，包括但不限于前期的准备方案、项目实施过程中的确保施工安全的方案、人员安全方案以及完工后项目的后续处理等。 方案完整、合理、全面、可行、针对性和可行性强的得5分； 方案完整、合理、全面，具有一定的可行性和针对性的得4分； 方案基本完整、合理、全面、可行性和针对性一般的得3分； 方案简单、合理性和针对性不强的得2分； 未提供或方案不能满足项目实施需求的不得分。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vMerge/>
          </w:tcPr>
          <w:p/>
        </w:tc>
        <w:tc>
          <w:tcPr>
            <w:tcW w:type="dxa" w:w="1661"/>
          </w:tcPr>
          <w:p>
            <w:pPr>
              <w:pStyle w:val="null3"/>
            </w:pPr>
            <w:r>
              <w:rPr>
                <w:rFonts w:ascii="仿宋_GB2312" w:hAnsi="仿宋_GB2312" w:cs="仿宋_GB2312" w:eastAsia="仿宋_GB2312"/>
              </w:rPr>
              <w:t>文物保护方案</w:t>
            </w:r>
          </w:p>
        </w:tc>
        <w:tc>
          <w:tcPr>
            <w:tcW w:type="dxa" w:w="2492"/>
          </w:tcPr>
          <w:p>
            <w:pPr>
              <w:pStyle w:val="null3"/>
            </w:pPr>
            <w:r>
              <w:rPr>
                <w:rFonts w:ascii="仿宋_GB2312" w:hAnsi="仿宋_GB2312" w:cs="仿宋_GB2312" w:eastAsia="仿宋_GB2312"/>
              </w:rPr>
              <w:t>供应商的文物保护方案，包括但不限于对古遗迹、古墓葬、地下文物古迹 、文物本身的保护安保、对存放文物库房的看护安保等。 方案完整、合理、全面、可行、针对性和可行性强的得5分； 方案完整、合理、全面，具有一定的可行性和针对性的得4分； 方案基本完整、合理、全面、可行性和针对性一般的得3分； 方案简单、合理性和针对性不强的得2分； 未提供或方案不能满足项目实施需求的不得分。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有定期的对人员文物及考古知识的培训方案及培训计划，列出培训的具体内容及方式，培训安排计划等。 方案完整、合理、全面、可行、针对性和可行性强的得5分； 方案完整、合理、全面，具有一定的可行性和针对性的得4分； 方案基本完整、合理、全面、可行性和针对性一般的得3分； 方案简单、合理性和针对性不强的得2分； 未提供或方案不能满足项目实施需求的不得分。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vMerge/>
          </w:tcPr>
          <w:p/>
        </w:tc>
        <w:tc>
          <w:tcPr>
            <w:tcW w:type="dxa" w:w="1661"/>
          </w:tcPr>
          <w:p>
            <w:pPr>
              <w:pStyle w:val="null3"/>
            </w:pPr>
            <w:r>
              <w:rPr>
                <w:rFonts w:ascii="仿宋_GB2312" w:hAnsi="仿宋_GB2312" w:cs="仿宋_GB2312" w:eastAsia="仿宋_GB2312"/>
              </w:rPr>
              <w:t>廉洁措施</w:t>
            </w:r>
          </w:p>
        </w:tc>
        <w:tc>
          <w:tcPr>
            <w:tcW w:type="dxa" w:w="2492"/>
          </w:tcPr>
          <w:p>
            <w:pPr>
              <w:pStyle w:val="null3"/>
            </w:pPr>
            <w:r>
              <w:rPr>
                <w:rFonts w:ascii="仿宋_GB2312" w:hAnsi="仿宋_GB2312" w:cs="仿宋_GB2312" w:eastAsia="仿宋_GB2312"/>
              </w:rPr>
              <w:t>廉洁方案和措施，对本项目发掘过程中所发现的所有文物、遗迹 、墓葬等有相关的廉洁方案和制度约束工作人员，保证工作人员恪守工作制度、廉洁自律 （5分）。 廉洁方案和措施完整、全面、可行性强，能够确保本项目廉洁要求的得5分； 方案措施基本完整、全面、有一定的可行性的得3分； 方案和措施简单，可行性一般的得1分；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保密管理体系和制度，列出供应商自身的保密体系及保密制度，对本项目涉及的相关古遗迹、古墓葬、地下文物古迹信息及其他重要信息有针对性的保密制度（5分）。 供应商有完善的保密管理制度、健全的保密管理体系、能够完全保证项目结果保密的得5分； 保密管理制度与管理体系基本完善，有一定的可行性能够确保项目结果保密的得3分； 保密管理制度与保密管理体系简单，可行性一般的得1分；未提供不得分。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vMerge/>
          </w:tcPr>
          <w:p/>
        </w:tc>
        <w:tc>
          <w:tcPr>
            <w:tcW w:type="dxa" w:w="1661"/>
          </w:tcPr>
          <w:p>
            <w:pPr>
              <w:pStyle w:val="null3"/>
            </w:pPr>
            <w:r>
              <w:rPr>
                <w:rFonts w:ascii="仿宋_GB2312" w:hAnsi="仿宋_GB2312" w:cs="仿宋_GB2312" w:eastAsia="仿宋_GB2312"/>
              </w:rPr>
              <w:t>配合及协调机制</w:t>
            </w:r>
          </w:p>
        </w:tc>
        <w:tc>
          <w:tcPr>
            <w:tcW w:type="dxa" w:w="2492"/>
          </w:tcPr>
          <w:p>
            <w:pPr>
              <w:pStyle w:val="null3"/>
            </w:pPr>
            <w:r>
              <w:rPr>
                <w:rFonts w:ascii="仿宋_GB2312" w:hAnsi="仿宋_GB2312" w:cs="仿宋_GB2312" w:eastAsia="仿宋_GB2312"/>
              </w:rPr>
              <w:t>有配合及协调机制，机制详细完善，针对性强，方案能充分体现供应商配合和协助采购人、考古发掘团队完成相关工作的能力的得5分； 方案中有配合及协调机制，机制详细，有一定的针对性，能基本体现配合和协助采购人、考古发掘团队，完成相关工作的能力的得3分； 方案中配合及协调机制简单，针对性和可行性一般，基本能满足项目实施需求的得1分； 未提供制度或不满足项目需求的不得分。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结合本项目实际情况，有详细完整的服务质量保证措施，措施详细完整、可行性、针对性强，能确保项目服务质量的得5分； 保障措施基本完整，有一定的可行性及针对性以保证项 目质量的得3分； 保障措施简单，与项目实际需求存在偏离但有一定 可行性的得1分。 未提供或不能确保项目服务要求的不得分。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vMerge/>
          </w:tcPr>
          <w:p/>
        </w:tc>
        <w:tc>
          <w:tcPr>
            <w:tcW w:type="dxa" w:w="1661"/>
          </w:tcPr>
          <w:p>
            <w:pPr>
              <w:pStyle w:val="null3"/>
            </w:pPr>
            <w:r>
              <w:rPr>
                <w:rFonts w:ascii="仿宋_GB2312" w:hAnsi="仿宋_GB2312" w:cs="仿宋_GB2312" w:eastAsia="仿宋_GB2312"/>
              </w:rPr>
              <w:t>突发状况补救措施</w:t>
            </w:r>
          </w:p>
        </w:tc>
        <w:tc>
          <w:tcPr>
            <w:tcW w:type="dxa" w:w="2492"/>
          </w:tcPr>
          <w:p>
            <w:pPr>
              <w:pStyle w:val="null3"/>
            </w:pPr>
            <w:r>
              <w:rPr>
                <w:rFonts w:ascii="仿宋_GB2312" w:hAnsi="仿宋_GB2312" w:cs="仿宋_GB2312" w:eastAsia="仿宋_GB2312"/>
              </w:rPr>
              <w:t>出现突发状况或问题后的补救措施（5分） 对于项目可能出现突发状况考虑全面且相应的应急补救措施明确、切实可行的得5分； 对于项目可能出现突发状况考虑较全面，相应的应急 补救措施较明确、有一定可行性的得3分； 对于项目可能出现突发状况考虑有缺失，但对考虑到的突发状况相应的应急补救措施有可行性的得1分； 未提供或不能确保项目服务要求的不得分。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vMerge/>
          </w:tcPr>
          <w:p/>
        </w:tc>
        <w:tc>
          <w:tcPr>
            <w:tcW w:type="dxa" w:w="1661"/>
          </w:tcPr>
          <w:p>
            <w:pPr>
              <w:pStyle w:val="null3"/>
            </w:pPr>
            <w:r>
              <w:rPr>
                <w:rFonts w:ascii="仿宋_GB2312" w:hAnsi="仿宋_GB2312" w:cs="仿宋_GB2312" w:eastAsia="仿宋_GB2312"/>
              </w:rPr>
              <w:t>安全作业及环境保护</w:t>
            </w:r>
          </w:p>
        </w:tc>
        <w:tc>
          <w:tcPr>
            <w:tcW w:type="dxa" w:w="2492"/>
          </w:tcPr>
          <w:p>
            <w:pPr>
              <w:pStyle w:val="null3"/>
            </w:pPr>
            <w:r>
              <w:rPr>
                <w:rFonts w:ascii="仿宋_GB2312" w:hAnsi="仿宋_GB2312" w:cs="仿宋_GB2312" w:eastAsia="仿宋_GB2312"/>
              </w:rPr>
              <w:t>确保安全作业及环境保护技术组织措施 （5分） 措施详细完整、可行性、针对性强，能确保安全作业及环境干净、卫生，不破坏周围环境的得5分； 保障措施基本完整，有一定的可行性及针对性以保证作 业安全及周围环境卫生的得3分； 保障措施简单但有一定的可行性的得1分； 未提供或不能确保项目服务要求的不得分；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vMerge/>
          </w:tcPr>
          <w:p/>
        </w:tc>
        <w:tc>
          <w:tcPr>
            <w:tcW w:type="dxa" w:w="1661"/>
          </w:tcPr>
          <w:p>
            <w:pPr>
              <w:pStyle w:val="null3"/>
            </w:pPr>
            <w:r>
              <w:rPr>
                <w:rFonts w:ascii="仿宋_GB2312" w:hAnsi="仿宋_GB2312" w:cs="仿宋_GB2312" w:eastAsia="仿宋_GB2312"/>
              </w:rPr>
              <w:t>重、难点分析及解决</w:t>
            </w:r>
          </w:p>
        </w:tc>
        <w:tc>
          <w:tcPr>
            <w:tcW w:type="dxa" w:w="2492"/>
          </w:tcPr>
          <w:p>
            <w:pPr>
              <w:pStyle w:val="null3"/>
            </w:pPr>
            <w:r>
              <w:rPr>
                <w:rFonts w:ascii="仿宋_GB2312" w:hAnsi="仿宋_GB2312" w:cs="仿宋_GB2312" w:eastAsia="仿宋_GB2312"/>
              </w:rPr>
              <w:t>根据本项目的实际情况，提出有针对性的关键点分析及解决方案，关键点分析准确，解决方案针对性强的得5分； 关键点分析基本准确、提出的解决方案有一定的针对 性和可行性的得3分； 对重点、难点分析与项目实际情况存在偏离，部分 解决方案的可行和合理的得1分；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vMerge/>
          </w:tcPr>
          <w:p/>
        </w:tc>
        <w:tc>
          <w:tcPr>
            <w:tcW w:type="dxa" w:w="1661"/>
          </w:tcPr>
          <w:p>
            <w:pPr>
              <w:pStyle w:val="null3"/>
            </w:pPr>
            <w:r>
              <w:rPr>
                <w:rFonts w:ascii="仿宋_GB2312" w:hAnsi="仿宋_GB2312" w:cs="仿宋_GB2312" w:eastAsia="仿宋_GB2312"/>
              </w:rPr>
              <w:t>人员配置情况</w:t>
            </w:r>
          </w:p>
        </w:tc>
        <w:tc>
          <w:tcPr>
            <w:tcW w:type="dxa" w:w="2492"/>
          </w:tcPr>
          <w:p>
            <w:pPr>
              <w:pStyle w:val="null3"/>
            </w:pPr>
            <w:r>
              <w:rPr>
                <w:rFonts w:ascii="仿宋_GB2312" w:hAnsi="仿宋_GB2312" w:cs="仿宋_GB2312" w:eastAsia="仿宋_GB2312"/>
              </w:rPr>
              <w:t>供应商有针对本项目的专业服务团队，人员配备数量充足，组织结构合理，人员分工明确满足要求、各专业配置齐全、人员相关资料提供充足的、人员证书齐全，能充分满足本项目需求的得5分； 有针对本项目的专业服务团队，人员配备数量充足，专业人员配备能够基本满足项目实施需要，分工有一定的合理性，专业配置齐全、人员相关资料提供充足的，基本能满足项目需求的得4分； 有针对本项目的专业服务团队，人员配备数量一般、专业配置基本能够基本满足项目实施需要但分工合理性有缺失的，人员相关资料提供有缺失，人员证书未附全的得3分； 有针对本项目的专业服务团队，人员配备数量较少，专业配置有缺失的，人员证书未附全的得2分； 有针对本项目的专业服务团队，人员配备简单、人员证书未附的得1分； 人员配置严重不足或未提供的不得分。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vMerge/>
          </w:tcPr>
          <w:p/>
        </w:tc>
        <w:tc>
          <w:tcPr>
            <w:tcW w:type="dxa" w:w="1661"/>
          </w:tcPr>
          <w:p>
            <w:pPr>
              <w:pStyle w:val="null3"/>
            </w:pPr>
            <w:r>
              <w:rPr>
                <w:rFonts w:ascii="仿宋_GB2312" w:hAnsi="仿宋_GB2312" w:cs="仿宋_GB2312" w:eastAsia="仿宋_GB2312"/>
              </w:rPr>
              <w:t>设备 、机具投入情况</w:t>
            </w:r>
          </w:p>
        </w:tc>
        <w:tc>
          <w:tcPr>
            <w:tcW w:type="dxa" w:w="2492"/>
          </w:tcPr>
          <w:p>
            <w:pPr>
              <w:pStyle w:val="null3"/>
            </w:pPr>
            <w:r>
              <w:rPr>
                <w:rFonts w:ascii="仿宋_GB2312" w:hAnsi="仿宋_GB2312" w:cs="仿宋_GB2312" w:eastAsia="仿宋_GB2312"/>
              </w:rPr>
              <w:t>设备满足项目实施需求及要求，用于本项目考古发掘劳务，投入设备、机具数量充足，设备数量能够满足项目实施，根据项目的性质投入的设备合理的，设备机具具有先进性和科学性，在一定程度能够帮助优化工作内容的得5分； 设备满足项目实施需求及要求，用于本项目考古发掘劳务，投入设备、机具数量基本充足，基本满足项目实施设备数量，根据项目的性质投入的设备合理的，有一定的先进性和科学性，基本可以辅助优化工作内容的得3分； 拟投入的设备用于本项目考古发掘劳务，针对项目实施内容投入设备、机具简单，并且数量较少的，设备先进性和科学性一般的得1分； 未提供或提供设备、机具不能满足项目实施需求的不得分。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针对本项目有完善的管理体系，项目组的组织架构、沟通方式和工作职责合理有效，管理制度、工作流程完整、可行、有效的得5分； 管理体系基本完善、合理，部分管理制度和工作流程可行性一般的得3分； 管理体系完整性有缺失，但其内容有一定的可行性的得1分； 未提供或管理体系简单不足以满足项目顺利实施的不得分。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针对本项目质量、项目实施进度、后期服务等方面做出承诺 承诺涵盖全面且承诺可行的得5分； 承诺内容涵盖有缺失但所承诺内容可行的得3分； 承诺简单，承诺内容可行性一般的得1分；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vMerge/>
          </w:tcPr>
          <w:p/>
        </w:tc>
        <w:tc>
          <w:tcPr>
            <w:tcW w:type="dxa" w:w="1661"/>
          </w:tcPr>
          <w:p>
            <w:pPr>
              <w:pStyle w:val="null3"/>
            </w:pPr>
            <w:r>
              <w:rPr>
                <w:rFonts w:ascii="仿宋_GB2312" w:hAnsi="仿宋_GB2312" w:cs="仿宋_GB2312" w:eastAsia="仿宋_GB2312"/>
              </w:rPr>
              <w:t>人员及文物承诺</w:t>
            </w:r>
          </w:p>
        </w:tc>
        <w:tc>
          <w:tcPr>
            <w:tcW w:type="dxa" w:w="2492"/>
          </w:tcPr>
          <w:p>
            <w:pPr>
              <w:pStyle w:val="null3"/>
            </w:pPr>
            <w:r>
              <w:rPr>
                <w:rFonts w:ascii="仿宋_GB2312" w:hAnsi="仿宋_GB2312" w:cs="仿宋_GB2312" w:eastAsia="仿宋_GB2312"/>
              </w:rPr>
              <w:t>针对人员到位情况、人员及文物安全等方面做出承诺（5分） 承诺涵盖全面且承诺可行的得5分； 承诺内容涵盖有缺失但所承诺内容可行的得3分； 承诺简单，承诺内容可行性一般的得1分；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以供应商近三年（2022年1月1日以来）同类业绩计算，每份合同为1个业绩，每提供一个得3分，满分15分。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采用低价优先法计算，即满足磋商文件要求且最终报价最低的最终磋商报价为评标基准价，其价格分为满分。 得分＝（评标基准价/磋商报价）×10 注： 1.磋商小组认为供应商的报价明显低于其他通过符合性审查供应商的报价，有可能影响服务质量或者不能诚信履约的，应当要求其在评审现场合理的时间内提供电子或书面说明，必要时提交相关证明材料；供应商不能证明其报价合理性的，磋商小组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格式03.03.docx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详见附件：格式03.03.docx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详见附件：合同03.03.docx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