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版本号：XDZ2025-57-N-3220250421001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五星街道太原庄村农业生产机械采购项目（二期）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XDZ2025-57-N-32</w:t>
      </w:r>
      <w:r>
        <w:br/>
      </w:r>
      <w:r>
        <w:br/>
      </w:r>
      <w:r>
        <w:br/>
      </w:r>
    </w:p>
    <w:p>
      <w:pPr>
        <w:pStyle w:val="null3"/>
        <w:jc w:val="center"/>
        <w:outlineLvl w:val="2"/>
      </w:pPr>
      <w:r>
        <w:rPr>
          <w:rFonts w:ascii="仿宋_GB2312" w:hAnsi="仿宋_GB2312" w:cs="仿宋_GB2312" w:eastAsia="仿宋_GB2312"/>
          <w:sz w:val="28"/>
          <w:b/>
        </w:rPr>
        <w:t>西安市长安区五星街道办事处</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西安市长安区五星街道办事处</w:t>
      </w:r>
      <w:r>
        <w:rPr>
          <w:rFonts w:ascii="仿宋_GB2312" w:hAnsi="仿宋_GB2312" w:cs="仿宋_GB2312" w:eastAsia="仿宋_GB2312"/>
        </w:rPr>
        <w:t>委托，拟对</w:t>
      </w:r>
      <w:r>
        <w:rPr>
          <w:rFonts w:ascii="仿宋_GB2312" w:hAnsi="仿宋_GB2312" w:cs="仿宋_GB2312" w:eastAsia="仿宋_GB2312"/>
        </w:rPr>
        <w:t>五星街道太原庄村农业生产机械采购项目（二期）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XDZ2025-57-N-32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五星街道太原庄村农业生产机械采购项目（二期）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太原庄村坐落于五星街道西南部，古灵感寺以北，沣河东岸，南与滦镇为邻，西南与东大街办相接，前有滦东路，后靠五楼村，左挨太和路，右傍沣河水。共有村民901户3700余人，10个村民小组。该村原有可耕农田700余亩，退林还耕增加可耕农田400余亩，共计1100余亩耕地可用于耕种。村民以农业种植为主，主要经济作物有小麦、玉米、油菜花、蔬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2、法定代表人授权书：法定代表人授权书（附法定代表人、被授权人身份证复印件）及被授权人身份证（法定代表人直接参加投标，须提供法定代表人身份证明及身份证）；非法人单位参照执行；</w:t>
      </w:r>
    </w:p>
    <w:p>
      <w:pPr>
        <w:pStyle w:val="null3"/>
      </w:pPr>
      <w:r>
        <w:rPr>
          <w:rFonts w:ascii="仿宋_GB2312" w:hAnsi="仿宋_GB2312" w:cs="仿宋_GB2312" w:eastAsia="仿宋_GB2312"/>
        </w:rPr>
        <w:t>3、控股管理关系：本项目不接受联合体磋商，投标单位负责人为同一人或者存在控股、管理关系的不同单位，不得参加同一招标项目投标。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西安市长安区五星街道办事处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西安市长安区五星街道进五路1号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西安市长安区五星街道办事处经办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029-84168017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西安市南二环西段朱雀十字西南角成长大厦8楼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18629578957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谢寒珂</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代理服务费收费标准：按照国家计委颁布的《招标代理服务收费管理暂行办法》（计价格[2002]1980号）和（发改办价格[2003]857号）收费标准计取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西安市长安区五星街道办事处</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西安市长安区五星街道办事处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联系电话：18629578957</w:t>
      </w:r>
    </w:p>
    <w:p>
      <w:pPr>
        <w:pStyle w:val="null3"/>
      </w:pPr>
      <w:r>
        <w:rPr>
          <w:rFonts w:ascii="仿宋_GB2312" w:hAnsi="仿宋_GB2312" w:cs="仿宋_GB2312" w:eastAsia="仿宋_GB2312"/>
        </w:rPr>
        <w:t>地址：西安市南二环与朱雀路十字西南角成长大厦8楼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太原庄村坐落于五星街道西南部，古灵感寺以北，沣河东岸，南与滦镇为邻，西南与东大街办相接，前有滦东路，后靠五楼村，左挨太和路，右傍沣河水。共有村民901户3700余人，10个村民小组。该村原有可耕农田700余亩，退林还耕增加可耕农田400余亩，共计1100余亩耕地可用于耕种。村民以农业种植为主，主要经济作物有小麦、玉米、油菜花、蔬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1,104,600.00</w:t>
      </w:r>
    </w:p>
    <w:p>
      <w:pPr>
        <w:pStyle w:val="null3"/>
      </w:pPr>
      <w:r>
        <w:rPr>
          <w:rFonts w:ascii="仿宋_GB2312" w:hAnsi="仿宋_GB2312" w:cs="仿宋_GB2312" w:eastAsia="仿宋_GB2312"/>
        </w:rPr>
        <w:t>采购包最高限价（元）: 1,104,600.00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五星街道太原庄村农业生产机械采购项目（二期）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1,104,600.00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标的名称：五星街道太原庄村农业生产机械采购项目（二期）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农机具名称</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用途</w:t>
                  </w:r>
                </w:p>
              </w:tc>
            </w:tr>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轮式收割机200马力（小麦，玉米）</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配套发动机结构型式：立式、直列、水冷、四冲程；</w:t>
                  </w:r>
                  <w:r>
                    <w:br/>
                  </w:r>
                  <w:r>
                    <w:rPr>
                      <w:rFonts w:ascii="仿宋_GB2312" w:hAnsi="仿宋_GB2312" w:cs="仿宋_GB2312" w:eastAsia="仿宋_GB2312"/>
                      <w:sz w:val="22"/>
                      <w:color w:val="000000"/>
                    </w:rPr>
                    <w:t xml:space="preserve"> 配套发动机额定功率kW：≥140；</w:t>
                  </w:r>
                  <w:r>
                    <w:br/>
                  </w:r>
                  <w:r>
                    <w:rPr>
                      <w:rFonts w:ascii="仿宋_GB2312" w:hAnsi="仿宋_GB2312" w:cs="仿宋_GB2312" w:eastAsia="仿宋_GB2312"/>
                      <w:sz w:val="22"/>
                      <w:color w:val="000000"/>
                    </w:rPr>
                    <w:t xml:space="preserve"> 配套发动机额定转速r/min：≥2300；</w:t>
                  </w:r>
                  <w:r>
                    <w:br/>
                  </w:r>
                  <w:r>
                    <w:rPr>
                      <w:rFonts w:ascii="仿宋_GB2312" w:hAnsi="仿宋_GB2312" w:cs="仿宋_GB2312" w:eastAsia="仿宋_GB2312"/>
                      <w:sz w:val="22"/>
                      <w:color w:val="000000"/>
                    </w:rPr>
                    <w:t xml:space="preserve"> 整机外形尺寸(长×宽×高)mm：≥7020×3000×3450；</w:t>
                  </w:r>
                  <w:r>
                    <w:br/>
                  </w:r>
                  <w:r>
                    <w:rPr>
                      <w:rFonts w:ascii="仿宋_GB2312" w:hAnsi="仿宋_GB2312" w:cs="仿宋_GB2312" w:eastAsia="仿宋_GB2312"/>
                      <w:sz w:val="22"/>
                      <w:color w:val="000000"/>
                    </w:rPr>
                    <w:t xml:space="preserve"> 工作行数(通道数) 5行；</w:t>
                  </w:r>
                  <w:r>
                    <w:br/>
                  </w:r>
                  <w:r>
                    <w:rPr>
                      <w:rFonts w:ascii="仿宋_GB2312" w:hAnsi="仿宋_GB2312" w:cs="仿宋_GB2312" w:eastAsia="仿宋_GB2312"/>
                      <w:sz w:val="22"/>
                      <w:color w:val="000000"/>
                    </w:rPr>
                    <w:t xml:space="preserve"> 行距mm：≥580；</w:t>
                  </w:r>
                  <w:r>
                    <w:br/>
                  </w:r>
                  <w:r>
                    <w:rPr>
                      <w:rFonts w:ascii="仿宋_GB2312" w:hAnsi="仿宋_GB2312" w:cs="仿宋_GB2312" w:eastAsia="仿宋_GB2312"/>
                      <w:sz w:val="22"/>
                      <w:color w:val="000000"/>
                    </w:rPr>
                    <w:t xml:space="preserve"> 工作幅宽mm：≥2950；</w:t>
                  </w:r>
                  <w:r>
                    <w:br/>
                  </w:r>
                  <w:r>
                    <w:rPr>
                      <w:rFonts w:ascii="仿宋_GB2312" w:hAnsi="仿宋_GB2312" w:cs="仿宋_GB2312" w:eastAsia="仿宋_GB2312"/>
                      <w:sz w:val="22"/>
                      <w:color w:val="000000"/>
                    </w:rPr>
                    <w:t xml:space="preserve"> 最小离地间隙mm：≥400；</w:t>
                  </w:r>
                  <w:r>
                    <w:br/>
                  </w:r>
                  <w:r>
                    <w:rPr>
                      <w:rFonts w:ascii="仿宋_GB2312" w:hAnsi="仿宋_GB2312" w:cs="仿宋_GB2312" w:eastAsia="仿宋_GB2312"/>
                      <w:sz w:val="22"/>
                      <w:color w:val="000000"/>
                    </w:rPr>
                    <w:t xml:space="preserve"> 作业速度km/h：1.0-9.0；</w:t>
                  </w:r>
                  <w:r>
                    <w:br/>
                  </w:r>
                  <w:r>
                    <w:rPr>
                      <w:rFonts w:ascii="仿宋_GB2312" w:hAnsi="仿宋_GB2312" w:cs="仿宋_GB2312" w:eastAsia="仿宋_GB2312"/>
                      <w:sz w:val="22"/>
                      <w:color w:val="000000"/>
                    </w:rPr>
                    <w:t xml:space="preserve"> 摘穗机构型式：摘穗板式；</w:t>
                  </w:r>
                  <w:r>
                    <w:br/>
                  </w:r>
                  <w:r>
                    <w:rPr>
                      <w:rFonts w:ascii="仿宋_GB2312" w:hAnsi="仿宋_GB2312" w:cs="仿宋_GB2312" w:eastAsia="仿宋_GB2312"/>
                      <w:sz w:val="22"/>
                      <w:color w:val="000000"/>
                    </w:rPr>
                    <w:t xml:space="preserve"> 摘穗辊/板数量（个）：10；</w:t>
                  </w:r>
                  <w:r>
                    <w:br/>
                  </w:r>
                  <w:r>
                    <w:rPr>
                      <w:rFonts w:ascii="仿宋_GB2312" w:hAnsi="仿宋_GB2312" w:cs="仿宋_GB2312" w:eastAsia="仿宋_GB2312"/>
                      <w:sz w:val="22"/>
                      <w:color w:val="000000"/>
                    </w:rPr>
                    <w:t xml:space="preserve"> 割台型式：卧式；</w:t>
                  </w:r>
                  <w:r>
                    <w:br/>
                  </w:r>
                  <w:r>
                    <w:rPr>
                      <w:rFonts w:ascii="仿宋_GB2312" w:hAnsi="仿宋_GB2312" w:cs="仿宋_GB2312" w:eastAsia="仿宋_GB2312"/>
                      <w:sz w:val="22"/>
                      <w:color w:val="000000"/>
                    </w:rPr>
                    <w:t xml:space="preserve"> 脱粒滚筒数量1个；</w:t>
                  </w:r>
                  <w:r>
                    <w:br/>
                  </w:r>
                  <w:r>
                    <w:rPr>
                      <w:rFonts w:ascii="仿宋_GB2312" w:hAnsi="仿宋_GB2312" w:cs="仿宋_GB2312" w:eastAsia="仿宋_GB2312"/>
                      <w:sz w:val="22"/>
                      <w:color w:val="000000"/>
                    </w:rPr>
                    <w:t xml:space="preserve"> 主脱粒滚筒型式：纵轴流；</w:t>
                  </w:r>
                  <w:r>
                    <w:br/>
                  </w:r>
                  <w:r>
                    <w:rPr>
                      <w:rFonts w:ascii="仿宋_GB2312" w:hAnsi="仿宋_GB2312" w:cs="仿宋_GB2312" w:eastAsia="仿宋_GB2312"/>
                      <w:sz w:val="22"/>
                      <w:color w:val="000000"/>
                    </w:rPr>
                    <w:t xml:space="preserve"> 主脱粒滚筒尺寸(外径×长度)mm：Φ700×2900；</w:t>
                  </w:r>
                  <w:r>
                    <w:br/>
                  </w:r>
                  <w:r>
                    <w:rPr>
                      <w:rFonts w:ascii="仿宋_GB2312" w:hAnsi="仿宋_GB2312" w:cs="仿宋_GB2312" w:eastAsia="仿宋_GB2312"/>
                      <w:sz w:val="22"/>
                      <w:color w:val="000000"/>
                    </w:rPr>
                    <w:t xml:space="preserve"> 风扇数量1个；</w:t>
                  </w:r>
                  <w:r>
                    <w:br/>
                  </w:r>
                  <w:r>
                    <w:br/>
                  </w:r>
                  <w:r>
                    <w:rPr>
                      <w:rFonts w:ascii="仿宋_GB2312" w:hAnsi="仿宋_GB2312" w:cs="仿宋_GB2312" w:eastAsia="仿宋_GB2312"/>
                    </w:rPr>
                    <w:t xml:space="preserve">  </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用于收割小麦、玉米作业</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履带式收割机135</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结构型式：履带自走全喂入式；</w:t>
                  </w:r>
                  <w:r>
                    <w:br/>
                  </w:r>
                  <w:r>
                    <w:rPr>
                      <w:rFonts w:ascii="仿宋_GB2312" w:hAnsi="仿宋_GB2312" w:cs="仿宋_GB2312" w:eastAsia="仿宋_GB2312"/>
                      <w:sz w:val="22"/>
                      <w:color w:val="000000"/>
                    </w:rPr>
                    <w:t xml:space="preserve"> 配套发动机结构型式：立式、直列、水冷、四冲程；</w:t>
                  </w:r>
                  <w:r>
                    <w:br/>
                  </w:r>
                  <w:r>
                    <w:rPr>
                      <w:rFonts w:ascii="仿宋_GB2312" w:hAnsi="仿宋_GB2312" w:cs="仿宋_GB2312" w:eastAsia="仿宋_GB2312"/>
                      <w:sz w:val="22"/>
                      <w:color w:val="000000"/>
                    </w:rPr>
                    <w:t xml:space="preserve"> 发动机气缸数量4缸；</w:t>
                  </w:r>
                  <w:r>
                    <w:br/>
                  </w:r>
                  <w:r>
                    <w:rPr>
                      <w:rFonts w:ascii="仿宋_GB2312" w:hAnsi="仿宋_GB2312" w:cs="仿宋_GB2312" w:eastAsia="仿宋_GB2312"/>
                      <w:sz w:val="22"/>
                      <w:color w:val="000000"/>
                    </w:rPr>
                    <w:t xml:space="preserve"> 发动机标定功率kW：≥96；</w:t>
                  </w:r>
                  <w:r>
                    <w:br/>
                  </w:r>
                  <w:r>
                    <w:rPr>
                      <w:rFonts w:ascii="仿宋_GB2312" w:hAnsi="仿宋_GB2312" w:cs="仿宋_GB2312" w:eastAsia="仿宋_GB2312"/>
                      <w:sz w:val="22"/>
                      <w:color w:val="000000"/>
                    </w:rPr>
                    <w:t xml:space="preserve"> 发动机标定转速r/min：≥2400；</w:t>
                  </w:r>
                  <w:r>
                    <w:br/>
                  </w:r>
                  <w:r>
                    <w:rPr>
                      <w:rFonts w:ascii="仿宋_GB2312" w:hAnsi="仿宋_GB2312" w:cs="仿宋_GB2312" w:eastAsia="仿宋_GB2312"/>
                      <w:sz w:val="22"/>
                      <w:color w:val="000000"/>
                    </w:rPr>
                    <w:t xml:space="preserve"> 整机外形尺寸(长×宽×高)mm：≥5750×2840×2980；</w:t>
                  </w:r>
                  <w:r>
                    <w:br/>
                  </w:r>
                  <w:r>
                    <w:rPr>
                      <w:rFonts w:ascii="仿宋_GB2312" w:hAnsi="仿宋_GB2312" w:cs="仿宋_GB2312" w:eastAsia="仿宋_GB2312"/>
                      <w:sz w:val="22"/>
                      <w:color w:val="000000"/>
                    </w:rPr>
                    <w:t xml:space="preserve"> 割台工作幅宽mm：≥2360；</w:t>
                  </w:r>
                  <w:r>
                    <w:br/>
                  </w:r>
                  <w:r>
                    <w:rPr>
                      <w:rFonts w:ascii="仿宋_GB2312" w:hAnsi="仿宋_GB2312" w:cs="仿宋_GB2312" w:eastAsia="仿宋_GB2312"/>
                      <w:sz w:val="22"/>
                      <w:color w:val="000000"/>
                    </w:rPr>
                    <w:t xml:space="preserve"> 最小离地间隙mm：≥320；</w:t>
                  </w:r>
                  <w:r>
                    <w:br/>
                  </w:r>
                  <w:r>
                    <w:rPr>
                      <w:rFonts w:ascii="仿宋_GB2312" w:hAnsi="仿宋_GB2312" w:cs="仿宋_GB2312" w:eastAsia="仿宋_GB2312"/>
                      <w:sz w:val="22"/>
                      <w:color w:val="000000"/>
                    </w:rPr>
                    <w:t xml:space="preserve"> 喂入量kg/s：8；</w:t>
                  </w:r>
                  <w:r>
                    <w:br/>
                  </w:r>
                  <w:r>
                    <w:rPr>
                      <w:rFonts w:ascii="仿宋_GB2312" w:hAnsi="仿宋_GB2312" w:cs="仿宋_GB2312" w:eastAsia="仿宋_GB2312"/>
                      <w:sz w:val="22"/>
                      <w:color w:val="000000"/>
                    </w:rPr>
                    <w:t xml:space="preserve"> 作业挡位：3；</w:t>
                  </w:r>
                  <w:r>
                    <w:br/>
                  </w:r>
                  <w:r>
                    <w:rPr>
                      <w:rFonts w:ascii="仿宋_GB2312" w:hAnsi="仿宋_GB2312" w:cs="仿宋_GB2312" w:eastAsia="仿宋_GB2312"/>
                      <w:sz w:val="22"/>
                      <w:color w:val="000000"/>
                    </w:rPr>
                    <w:t xml:space="preserve"> 割台搅龙型式：螺旋扒齿式；</w:t>
                  </w:r>
                  <w:r>
                    <w:br/>
                  </w:r>
                  <w:r>
                    <w:rPr>
                      <w:rFonts w:ascii="仿宋_GB2312" w:hAnsi="仿宋_GB2312" w:cs="仿宋_GB2312" w:eastAsia="仿宋_GB2312"/>
                      <w:sz w:val="22"/>
                      <w:color w:val="000000"/>
                    </w:rPr>
                    <w:t xml:space="preserve"> 履带接地压力kPa：23.8；</w:t>
                  </w:r>
                  <w:r>
                    <w:br/>
                  </w:r>
                  <w:r>
                    <w:rPr>
                      <w:rFonts w:ascii="仿宋_GB2312" w:hAnsi="仿宋_GB2312" w:cs="仿宋_GB2312" w:eastAsia="仿宋_GB2312"/>
                      <w:sz w:val="22"/>
                      <w:color w:val="000000"/>
                    </w:rPr>
                    <w:t xml:space="preserve"> 拨禾轮型式：偏心拨齿(弹齿)式；</w:t>
                  </w:r>
                  <w:r>
                    <w:br/>
                  </w:r>
                  <w:r>
                    <w:rPr>
                      <w:rFonts w:ascii="仿宋_GB2312" w:hAnsi="仿宋_GB2312" w:cs="仿宋_GB2312" w:eastAsia="仿宋_GB2312"/>
                      <w:sz w:val="22"/>
                      <w:color w:val="000000"/>
                    </w:rPr>
                    <w:t xml:space="preserve"> 拨禾轮直径mm：Φ900；</w:t>
                  </w:r>
                  <w:r>
                    <w:br/>
                  </w:r>
                  <w:r>
                    <w:rPr>
                      <w:rFonts w:ascii="仿宋_GB2312" w:hAnsi="仿宋_GB2312" w:cs="仿宋_GB2312" w:eastAsia="仿宋_GB2312"/>
                      <w:sz w:val="22"/>
                      <w:color w:val="000000"/>
                    </w:rPr>
                    <w:t xml:space="preserve"> 拨禾轮板数5个；</w:t>
                  </w:r>
                  <w:r>
                    <w:br/>
                  </w:r>
                  <w:r>
                    <w:rPr>
                      <w:rFonts w:ascii="仿宋_GB2312" w:hAnsi="仿宋_GB2312" w:cs="仿宋_GB2312" w:eastAsia="仿宋_GB2312"/>
                      <w:sz w:val="22"/>
                      <w:color w:val="000000"/>
                    </w:rPr>
                    <w:t xml:space="preserve"> 脱粒滚筒数量1个；</w:t>
                  </w:r>
                  <w:r>
                    <w:br/>
                  </w:r>
                  <w:r>
                    <w:rPr>
                      <w:rFonts w:ascii="仿宋_GB2312" w:hAnsi="仿宋_GB2312" w:cs="仿宋_GB2312" w:eastAsia="仿宋_GB2312"/>
                      <w:sz w:val="22"/>
                      <w:color w:val="000000"/>
                    </w:rPr>
                    <w:t xml:space="preserve"> 主脱粒滚筒型式：纵向轴流杆齿式；</w:t>
                  </w:r>
                  <w:r>
                    <w:br/>
                  </w:r>
                  <w:r>
                    <w:rPr>
                      <w:rFonts w:ascii="仿宋_GB2312" w:hAnsi="仿宋_GB2312" w:cs="仿宋_GB2312" w:eastAsia="仿宋_GB2312"/>
                      <w:sz w:val="22"/>
                      <w:color w:val="000000"/>
                    </w:rPr>
                    <w:t xml:space="preserve"> 复脱方式：板齿风叶式；</w:t>
                  </w:r>
                  <w:r>
                    <w:br/>
                  </w:r>
                  <w:r>
                    <w:rPr>
                      <w:rFonts w:ascii="仿宋_GB2312" w:hAnsi="仿宋_GB2312" w:cs="仿宋_GB2312" w:eastAsia="仿宋_GB2312"/>
                      <w:sz w:val="22"/>
                      <w:color w:val="000000"/>
                    </w:rPr>
                    <w:t xml:space="preserve"> 风扇型式：离心蜗壳式；</w:t>
                  </w:r>
                  <w:r>
                    <w:br/>
                  </w:r>
                  <w:r>
                    <w:rPr>
                      <w:rFonts w:ascii="仿宋_GB2312" w:hAnsi="仿宋_GB2312" w:cs="仿宋_GB2312" w:eastAsia="仿宋_GB2312"/>
                      <w:sz w:val="22"/>
                      <w:color w:val="000000"/>
                    </w:rPr>
                    <w:t xml:space="preserve"> 风扇直径mm：Φ400；</w:t>
                  </w:r>
                  <w:r>
                    <w:br/>
                  </w:r>
                  <w:r>
                    <w:rPr>
                      <w:rFonts w:ascii="仿宋_GB2312" w:hAnsi="仿宋_GB2312" w:cs="仿宋_GB2312" w:eastAsia="仿宋_GB2312"/>
                      <w:sz w:val="22"/>
                      <w:color w:val="000000"/>
                    </w:rPr>
                    <w:t xml:space="preserve"> 风扇数量1个；</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用于收割小麦、玉米作业</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拖拉机（200马力四驱）</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整机型式：轮式；</w:t>
                  </w:r>
                  <w:r>
                    <w:br/>
                  </w:r>
                  <w:r>
                    <w:rPr>
                      <w:rFonts w:ascii="仿宋_GB2312" w:hAnsi="仿宋_GB2312" w:cs="仿宋_GB2312" w:eastAsia="仿宋_GB2312"/>
                      <w:sz w:val="24"/>
                      <w:color w:val="000000"/>
                    </w:rPr>
                    <w:t xml:space="preserve"> 整机驱动型式：四驱；</w:t>
                  </w:r>
                  <w:r>
                    <w:br/>
                  </w:r>
                  <w:r>
                    <w:rPr>
                      <w:rFonts w:ascii="仿宋_GB2312" w:hAnsi="仿宋_GB2312" w:cs="仿宋_GB2312" w:eastAsia="仿宋_GB2312"/>
                      <w:sz w:val="24"/>
                      <w:color w:val="000000"/>
                    </w:rPr>
                    <w:t xml:space="preserve"> 整机外廓尺寸(长×宽×高及部位)mm：≥5360×2380×3100 （警示灯顶部）；</w:t>
                  </w:r>
                  <w:r>
                    <w:br/>
                  </w:r>
                  <w:r>
                    <w:rPr>
                      <w:rFonts w:ascii="仿宋_GB2312" w:hAnsi="仿宋_GB2312" w:cs="仿宋_GB2312" w:eastAsia="仿宋_GB2312"/>
                      <w:sz w:val="24"/>
                      <w:color w:val="000000"/>
                    </w:rPr>
                    <w:t xml:space="preserve"> 轴距或履带接地长mm：≥2700；；</w:t>
                  </w:r>
                  <w:r>
                    <w:br/>
                  </w:r>
                  <w:r>
                    <w:rPr>
                      <w:rFonts w:ascii="仿宋_GB2312" w:hAnsi="仿宋_GB2312" w:cs="仿宋_GB2312" w:eastAsia="仿宋_GB2312"/>
                      <w:sz w:val="24"/>
                      <w:color w:val="000000"/>
                    </w:rPr>
                    <w:t xml:space="preserve"> 常用轮距(前轮/后轮)或轨距mm：≥1880/1900</w:t>
                  </w:r>
                  <w:r>
                    <w:br/>
                  </w:r>
                  <w:r>
                    <w:rPr>
                      <w:rFonts w:ascii="仿宋_GB2312" w:hAnsi="仿宋_GB2312" w:cs="仿宋_GB2312" w:eastAsia="仿宋_GB2312"/>
                      <w:sz w:val="24"/>
                      <w:color w:val="000000"/>
                    </w:rPr>
                    <w:t xml:space="preserve"> 轮距(前轮/后轮)或轨距mm：1800、1880、1960、2040/1800～2060；</w:t>
                  </w:r>
                  <w:r>
                    <w:br/>
                  </w:r>
                  <w:r>
                    <w:rPr>
                      <w:rFonts w:ascii="仿宋_GB2312" w:hAnsi="仿宋_GB2312" w:cs="仿宋_GB2312" w:eastAsia="仿宋_GB2312"/>
                      <w:sz w:val="24"/>
                      <w:color w:val="000000"/>
                    </w:rPr>
                    <w:t xml:space="preserve"> 最小离地间隙及部位mm：≥470 ；</w:t>
                  </w:r>
                  <w:r>
                    <w:br/>
                  </w:r>
                  <w:r>
                    <w:rPr>
                      <w:rFonts w:ascii="仿宋_GB2312" w:hAnsi="仿宋_GB2312" w:cs="仿宋_GB2312" w:eastAsia="仿宋_GB2312"/>
                      <w:sz w:val="24"/>
                      <w:color w:val="000000"/>
                    </w:rPr>
                    <w:t xml:space="preserve"> 离合器壳体前端面至后驱动轴轴心线的水平距离mm：≥1360；</w:t>
                  </w:r>
                  <w:r>
                    <w:br/>
                  </w:r>
                  <w:r>
                    <w:rPr>
                      <w:rFonts w:ascii="仿宋_GB2312" w:hAnsi="仿宋_GB2312" w:cs="仿宋_GB2312" w:eastAsia="仿宋_GB2312"/>
                      <w:sz w:val="24"/>
                      <w:color w:val="000000"/>
                    </w:rPr>
                    <w:t xml:space="preserve"> 变速箱齿轮副轴孔中心距mm：≥118；</w:t>
                  </w:r>
                  <w:r>
                    <w:br/>
                  </w:r>
                  <w:r>
                    <w:rPr>
                      <w:rFonts w:ascii="仿宋_GB2312" w:hAnsi="仿宋_GB2312" w:cs="仿宋_GB2312" w:eastAsia="仿宋_GB2312"/>
                      <w:sz w:val="24"/>
                      <w:color w:val="000000"/>
                    </w:rPr>
                    <w:t xml:space="preserve"> 主变速挡位数：4；</w:t>
                  </w:r>
                  <w:r>
                    <w:br/>
                  </w:r>
                  <w:r>
                    <w:rPr>
                      <w:rFonts w:ascii="仿宋_GB2312" w:hAnsi="仿宋_GB2312" w:cs="仿宋_GB2312" w:eastAsia="仿宋_GB2312"/>
                      <w:sz w:val="24"/>
                      <w:color w:val="000000"/>
                    </w:rPr>
                    <w:t xml:space="preserve"> 副变速挡位数：2×（2+1）；</w:t>
                  </w:r>
                  <w:r>
                    <w:br/>
                  </w:r>
                  <w:r>
                    <w:rPr>
                      <w:rFonts w:ascii="仿宋_GB2312" w:hAnsi="仿宋_GB2312" w:cs="仿宋_GB2312" w:eastAsia="仿宋_GB2312"/>
                      <w:sz w:val="24"/>
                      <w:color w:val="000000"/>
                    </w:rPr>
                    <w:t xml:space="preserve"> 发动机气缸数：6；</w:t>
                  </w:r>
                  <w:r>
                    <w:br/>
                  </w:r>
                  <w:r>
                    <w:rPr>
                      <w:rFonts w:ascii="仿宋_GB2312" w:hAnsi="仿宋_GB2312" w:cs="仿宋_GB2312" w:eastAsia="仿宋_GB2312"/>
                      <w:sz w:val="24"/>
                      <w:color w:val="000000"/>
                    </w:rPr>
                    <w:t xml:space="preserve"> 发动机冷却方式：水冷；</w:t>
                  </w:r>
                  <w:r>
                    <w:br/>
                  </w:r>
                  <w:r>
                    <w:rPr>
                      <w:rFonts w:ascii="仿宋_GB2312" w:hAnsi="仿宋_GB2312" w:cs="仿宋_GB2312" w:eastAsia="仿宋_GB2312"/>
                      <w:sz w:val="24"/>
                      <w:color w:val="000000"/>
                    </w:rPr>
                    <w:t xml:space="preserve"> 转向系型式：全液压；</w:t>
                  </w:r>
                  <w:r>
                    <w:br/>
                  </w:r>
                  <w:r>
                    <w:rPr>
                      <w:rFonts w:ascii="仿宋_GB2312" w:hAnsi="仿宋_GB2312" w:cs="仿宋_GB2312" w:eastAsia="仿宋_GB2312"/>
                      <w:sz w:val="24"/>
                      <w:color w:val="000000"/>
                    </w:rPr>
                    <w:t xml:space="preserve"> 转向系转向操纵机构：方向盘；</w:t>
                  </w:r>
                  <w:r>
                    <w:br/>
                  </w:r>
                  <w:r>
                    <w:rPr>
                      <w:rFonts w:ascii="仿宋_GB2312" w:hAnsi="仿宋_GB2312" w:cs="仿宋_GB2312" w:eastAsia="仿宋_GB2312"/>
                      <w:sz w:val="24"/>
                      <w:color w:val="000000"/>
                    </w:rPr>
                    <w:t xml:space="preserve"> 转向系转向机构型式：前轮转向；</w:t>
                  </w:r>
                  <w:r>
                    <w:br/>
                  </w:r>
                  <w:r>
                    <w:rPr>
                      <w:rFonts w:ascii="仿宋_GB2312" w:hAnsi="仿宋_GB2312" w:cs="仿宋_GB2312" w:eastAsia="仿宋_GB2312"/>
                      <w:sz w:val="24"/>
                      <w:color w:val="000000"/>
                    </w:rPr>
                    <w:t xml:space="preserve"> 悬挂装置型式：后置三点悬挂；</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配套农机用于耕地、犁地、播种作业</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拖拉机（160马力四驱）</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整机型式：轮式；</w:t>
                  </w:r>
                  <w:r>
                    <w:br/>
                  </w:r>
                  <w:r>
                    <w:rPr>
                      <w:rFonts w:ascii="仿宋_GB2312" w:hAnsi="仿宋_GB2312" w:cs="仿宋_GB2312" w:eastAsia="仿宋_GB2312"/>
                      <w:sz w:val="24"/>
                      <w:color w:val="000000"/>
                    </w:rPr>
                    <w:t xml:space="preserve"> 整机驱动型式：四驱；</w:t>
                  </w:r>
                  <w:r>
                    <w:br/>
                  </w:r>
                  <w:r>
                    <w:rPr>
                      <w:rFonts w:ascii="仿宋_GB2312" w:hAnsi="仿宋_GB2312" w:cs="仿宋_GB2312" w:eastAsia="仿宋_GB2312"/>
                      <w:sz w:val="24"/>
                      <w:color w:val="000000"/>
                    </w:rPr>
                    <w:t xml:space="preserve"> 整机外廓尺寸(长×宽×高及部位)mm：≥5120×2140×2980 (安全架顶端）；</w:t>
                  </w:r>
                  <w:r>
                    <w:br/>
                  </w:r>
                  <w:r>
                    <w:rPr>
                      <w:rFonts w:ascii="仿宋_GB2312" w:hAnsi="仿宋_GB2312" w:cs="仿宋_GB2312" w:eastAsia="仿宋_GB2312"/>
                      <w:sz w:val="24"/>
                      <w:color w:val="000000"/>
                    </w:rPr>
                    <w:t xml:space="preserve"> 轴距或履带接地长mm：≥2630；</w:t>
                  </w:r>
                  <w:r>
                    <w:br/>
                  </w:r>
                  <w:r>
                    <w:rPr>
                      <w:rFonts w:ascii="仿宋_GB2312" w:hAnsi="仿宋_GB2312" w:cs="仿宋_GB2312" w:eastAsia="仿宋_GB2312"/>
                      <w:sz w:val="24"/>
                      <w:color w:val="000000"/>
                    </w:rPr>
                    <w:t xml:space="preserve"> 最小离地间隙及部位mm：≥440（前桥底部）；</w:t>
                  </w:r>
                  <w:r>
                    <w:br/>
                  </w:r>
                  <w:r>
                    <w:rPr>
                      <w:rFonts w:ascii="仿宋_GB2312" w:hAnsi="仿宋_GB2312" w:cs="仿宋_GB2312" w:eastAsia="仿宋_GB2312"/>
                      <w:sz w:val="24"/>
                      <w:color w:val="000000"/>
                    </w:rPr>
                    <w:t xml:space="preserve"> 离合器壳体前端面至后驱动轴轴心线的水平距离mm：≥1310；</w:t>
                  </w:r>
                  <w:r>
                    <w:br/>
                  </w:r>
                  <w:r>
                    <w:rPr>
                      <w:rFonts w:ascii="仿宋_GB2312" w:hAnsi="仿宋_GB2312" w:cs="仿宋_GB2312" w:eastAsia="仿宋_GB2312"/>
                      <w:sz w:val="24"/>
                      <w:color w:val="000000"/>
                    </w:rPr>
                    <w:t xml:space="preserve"> 变速箱齿轮副轴孔中心距mm：≥118；</w:t>
                  </w:r>
                  <w:r>
                    <w:br/>
                  </w:r>
                  <w:r>
                    <w:rPr>
                      <w:rFonts w:ascii="仿宋_GB2312" w:hAnsi="仿宋_GB2312" w:cs="仿宋_GB2312" w:eastAsia="仿宋_GB2312"/>
                      <w:sz w:val="24"/>
                      <w:color w:val="000000"/>
                    </w:rPr>
                    <w:t xml:space="preserve"> 挡位数（前进/倒退）：16/8；</w:t>
                  </w:r>
                  <w:r>
                    <w:br/>
                  </w:r>
                  <w:r>
                    <w:rPr>
                      <w:rFonts w:ascii="仿宋_GB2312" w:hAnsi="仿宋_GB2312" w:cs="仿宋_GB2312" w:eastAsia="仿宋_GB2312"/>
                      <w:sz w:val="24"/>
                      <w:color w:val="000000"/>
                    </w:rPr>
                    <w:t xml:space="preserve"> 发动机与主离合器联接方式 ：直联；</w:t>
                  </w:r>
                  <w:r>
                    <w:br/>
                  </w:r>
                  <w:r>
                    <w:rPr>
                      <w:rFonts w:ascii="仿宋_GB2312" w:hAnsi="仿宋_GB2312" w:cs="仿宋_GB2312" w:eastAsia="仿宋_GB2312"/>
                      <w:sz w:val="24"/>
                      <w:color w:val="000000"/>
                    </w:rPr>
                    <w:t xml:space="preserve"> 发动机结构型式：直列、直喷、水冷、四冲程；</w:t>
                  </w:r>
                  <w:r>
                    <w:br/>
                  </w:r>
                  <w:r>
                    <w:rPr>
                      <w:rFonts w:ascii="仿宋_GB2312" w:hAnsi="仿宋_GB2312" w:cs="仿宋_GB2312" w:eastAsia="仿宋_GB2312"/>
                      <w:sz w:val="24"/>
                      <w:color w:val="000000"/>
                    </w:rPr>
                    <w:t xml:space="preserve"> 发动机进气方式：增压中冷；</w:t>
                  </w:r>
                  <w:r>
                    <w:br/>
                  </w:r>
                  <w:r>
                    <w:rPr>
                      <w:rFonts w:ascii="仿宋_GB2312" w:hAnsi="仿宋_GB2312" w:cs="仿宋_GB2312" w:eastAsia="仿宋_GB2312"/>
                      <w:sz w:val="24"/>
                      <w:color w:val="000000"/>
                    </w:rPr>
                    <w:t xml:space="preserve"> 发动机气缸数：6；</w:t>
                  </w:r>
                  <w:r>
                    <w:br/>
                  </w:r>
                  <w:r>
                    <w:rPr>
                      <w:rFonts w:ascii="仿宋_GB2312" w:hAnsi="仿宋_GB2312" w:cs="仿宋_GB2312" w:eastAsia="仿宋_GB2312"/>
                      <w:sz w:val="24"/>
                      <w:color w:val="000000"/>
                    </w:rPr>
                    <w:t xml:space="preserve"> 发动机冷却方式：水冷；</w:t>
                  </w:r>
                  <w:r>
                    <w:br/>
                  </w:r>
                  <w:r>
                    <w:rPr>
                      <w:rFonts w:ascii="仿宋_GB2312" w:hAnsi="仿宋_GB2312" w:cs="仿宋_GB2312" w:eastAsia="仿宋_GB2312"/>
                      <w:sz w:val="24"/>
                      <w:color w:val="000000"/>
                    </w:rPr>
                    <w:t xml:space="preserve"> 转向系型式：全液压；</w:t>
                  </w:r>
                  <w:r>
                    <w:br/>
                  </w:r>
                  <w:r>
                    <w:rPr>
                      <w:rFonts w:ascii="仿宋_GB2312" w:hAnsi="仿宋_GB2312" w:cs="仿宋_GB2312" w:eastAsia="仿宋_GB2312"/>
                      <w:sz w:val="24"/>
                      <w:color w:val="000000"/>
                    </w:rPr>
                    <w:t xml:space="preserve"> 转向系转向操纵机构：方向盘；</w:t>
                  </w:r>
                  <w:r>
                    <w:br/>
                  </w:r>
                  <w:r>
                    <w:rPr>
                      <w:rFonts w:ascii="仿宋_GB2312" w:hAnsi="仿宋_GB2312" w:cs="仿宋_GB2312" w:eastAsia="仿宋_GB2312"/>
                      <w:sz w:val="24"/>
                      <w:color w:val="000000"/>
                    </w:rPr>
                    <w:t xml:space="preserve"> 转向系转向机构型式：前轮转向；</w:t>
                  </w:r>
                  <w:r>
                    <w:br/>
                  </w:r>
                  <w:r>
                    <w:rPr>
                      <w:rFonts w:ascii="仿宋_GB2312" w:hAnsi="仿宋_GB2312" w:cs="仿宋_GB2312" w:eastAsia="仿宋_GB2312"/>
                      <w:sz w:val="24"/>
                      <w:color w:val="000000"/>
                    </w:rPr>
                    <w:t xml:space="preserve"> 轮胎数量(前轮/后轮) 个： 2/2；</w:t>
                  </w:r>
                  <w:r>
                    <w:br/>
                  </w:r>
                  <w:r>
                    <w:rPr>
                      <w:rFonts w:ascii="仿宋_GB2312" w:hAnsi="仿宋_GB2312" w:cs="仿宋_GB2312" w:eastAsia="仿宋_GB2312"/>
                      <w:sz w:val="24"/>
                      <w:color w:val="000000"/>
                    </w:rPr>
                    <w:t xml:space="preserve"> 悬挂装置型式：后置三点悬挂；</w:t>
                  </w:r>
                  <w:r>
                    <w:br/>
                  </w:r>
                  <w:r>
                    <w:rPr>
                      <w:rFonts w:ascii="仿宋_GB2312" w:hAnsi="仿宋_GB2312" w:cs="仿宋_GB2312" w:eastAsia="仿宋_GB2312"/>
                      <w:sz w:val="24"/>
                      <w:color w:val="000000"/>
                    </w:rPr>
                    <w:t xml:space="preserve"> 动力输出轴花键数目： 8键；</w:t>
                  </w:r>
                  <w:r>
                    <w:br/>
                  </w:r>
                  <w:r>
                    <w:rPr>
                      <w:rFonts w:ascii="仿宋_GB2312" w:hAnsi="仿宋_GB2312" w:cs="仿宋_GB2312" w:eastAsia="仿宋_GB2312"/>
                    </w:rPr>
                    <w:t xml:space="preserve">  </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配套农机用于耕地、犁地、播种作业</w:t>
                  </w: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2.5米宽幅沟播机</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结构型式:机械式+悬挂式；</w:t>
                  </w:r>
                  <w:r>
                    <w:br/>
                  </w:r>
                  <w:r>
                    <w:rPr>
                      <w:rFonts w:ascii="仿宋_GB2312" w:hAnsi="仿宋_GB2312" w:cs="仿宋_GB2312" w:eastAsia="仿宋_GB2312"/>
                      <w:sz w:val="24"/>
                      <w:color w:val="000000"/>
                    </w:rPr>
                    <w:t xml:space="preserve"> 配套动力范围kW：80.85～88.2；</w:t>
                  </w:r>
                  <w:r>
                    <w:br/>
                  </w:r>
                  <w:r>
                    <w:rPr>
                      <w:rFonts w:ascii="仿宋_GB2312" w:hAnsi="仿宋_GB2312" w:cs="仿宋_GB2312" w:eastAsia="仿宋_GB2312"/>
                      <w:sz w:val="24"/>
                      <w:color w:val="000000"/>
                    </w:rPr>
                    <w:t xml:space="preserve"> 整机外形尺寸（长×宽×高）mm：≥2110×2980×1380；</w:t>
                  </w:r>
                  <w:r>
                    <w:br/>
                  </w:r>
                  <w:r>
                    <w:rPr>
                      <w:rFonts w:ascii="仿宋_GB2312" w:hAnsi="仿宋_GB2312" w:cs="仿宋_GB2312" w:eastAsia="仿宋_GB2312"/>
                      <w:sz w:val="24"/>
                      <w:color w:val="000000"/>
                    </w:rPr>
                    <w:t xml:space="preserve"> 作业速度范围m/s：0.69～1.39；</w:t>
                  </w:r>
                  <w:r>
                    <w:br/>
                  </w:r>
                  <w:r>
                    <w:rPr>
                      <w:rFonts w:ascii="仿宋_GB2312" w:hAnsi="仿宋_GB2312" w:cs="仿宋_GB2312" w:eastAsia="仿宋_GB2312"/>
                      <w:sz w:val="24"/>
                      <w:color w:val="000000"/>
                    </w:rPr>
                    <w:t xml:space="preserve"> 作业小时生产率hm2/h：0.47～0.73；</w:t>
                  </w:r>
                  <w:r>
                    <w:br/>
                  </w:r>
                  <w:r>
                    <w:rPr>
                      <w:rFonts w:ascii="仿宋_GB2312" w:hAnsi="仿宋_GB2312" w:cs="仿宋_GB2312" w:eastAsia="仿宋_GB2312"/>
                      <w:sz w:val="24"/>
                      <w:color w:val="000000"/>
                    </w:rPr>
                    <w:t xml:space="preserve"> 工作幅宽cm：≥250；</w:t>
                  </w:r>
                  <w:r>
                    <w:br/>
                  </w:r>
                  <w:r>
                    <w:rPr>
                      <w:rFonts w:ascii="仿宋_GB2312" w:hAnsi="仿宋_GB2312" w:cs="仿宋_GB2312" w:eastAsia="仿宋_GB2312"/>
                      <w:sz w:val="24"/>
                      <w:color w:val="000000"/>
                    </w:rPr>
                    <w:t xml:space="preserve"> 耕深cm：12～16；</w:t>
                  </w:r>
                  <w:r>
                    <w:br/>
                  </w:r>
                  <w:r>
                    <w:rPr>
                      <w:rFonts w:ascii="仿宋_GB2312" w:hAnsi="仿宋_GB2312" w:cs="仿宋_GB2312" w:eastAsia="仿宋_GB2312"/>
                      <w:sz w:val="24"/>
                      <w:color w:val="000000"/>
                    </w:rPr>
                    <w:t xml:space="preserve"> 行距cm：≥18；</w:t>
                  </w:r>
                  <w:r>
                    <w:br/>
                  </w:r>
                  <w:r>
                    <w:rPr>
                      <w:rFonts w:ascii="仿宋_GB2312" w:hAnsi="仿宋_GB2312" w:cs="仿宋_GB2312" w:eastAsia="仿宋_GB2312"/>
                      <w:sz w:val="24"/>
                      <w:color w:val="000000"/>
                    </w:rPr>
                    <w:t xml:space="preserve"> 工作行数14行：</w:t>
                  </w:r>
                  <w:r>
                    <w:br/>
                  </w:r>
                  <w:r>
                    <w:rPr>
                      <w:rFonts w:ascii="仿宋_GB2312" w:hAnsi="仿宋_GB2312" w:cs="仿宋_GB2312" w:eastAsia="仿宋_GB2312"/>
                      <w:sz w:val="24"/>
                      <w:color w:val="000000"/>
                    </w:rPr>
                    <w:t xml:space="preserve"> 旋耕部分传动方式：中间传动；</w:t>
                  </w:r>
                  <w:r>
                    <w:br/>
                  </w:r>
                  <w:r>
                    <w:rPr>
                      <w:rFonts w:ascii="仿宋_GB2312" w:hAnsi="仿宋_GB2312" w:cs="仿宋_GB2312" w:eastAsia="仿宋_GB2312"/>
                      <w:sz w:val="24"/>
                      <w:color w:val="000000"/>
                    </w:rPr>
                    <w:t xml:space="preserve"> 总安装刀数72把；</w:t>
                  </w:r>
                  <w:r>
                    <w:br/>
                  </w:r>
                  <w:r>
                    <w:rPr>
                      <w:rFonts w:ascii="仿宋_GB2312" w:hAnsi="仿宋_GB2312" w:cs="仿宋_GB2312" w:eastAsia="仿宋_GB2312"/>
                      <w:sz w:val="24"/>
                      <w:color w:val="000000"/>
                    </w:rPr>
                    <w:t xml:space="preserve"> 排种器数量14个；</w:t>
                  </w:r>
                  <w:r>
                    <w:br/>
                  </w:r>
                  <w:r>
                    <w:rPr>
                      <w:rFonts w:ascii="仿宋_GB2312" w:hAnsi="仿宋_GB2312" w:cs="仿宋_GB2312" w:eastAsia="仿宋_GB2312"/>
                      <w:sz w:val="24"/>
                      <w:color w:val="000000"/>
                    </w:rPr>
                    <w:t xml:space="preserve"> 排肥器数量7个；</w:t>
                  </w:r>
                  <w:r>
                    <w:br/>
                  </w:r>
                  <w:r>
                    <w:rPr>
                      <w:rFonts w:ascii="仿宋_GB2312" w:hAnsi="仿宋_GB2312" w:cs="仿宋_GB2312" w:eastAsia="仿宋_GB2312"/>
                      <w:sz w:val="24"/>
                      <w:color w:val="000000"/>
                    </w:rPr>
                    <w:t xml:space="preserve"> 排种开沟器数量14个；</w:t>
                  </w:r>
                  <w:r>
                    <w:br/>
                  </w:r>
                  <w:r>
                    <w:rPr>
                      <w:rFonts w:ascii="仿宋_GB2312" w:hAnsi="仿宋_GB2312" w:cs="仿宋_GB2312" w:eastAsia="仿宋_GB2312"/>
                      <w:sz w:val="24"/>
                      <w:color w:val="000000"/>
                    </w:rPr>
                    <w:t xml:space="preserve"> 排肥开沟器数量7个；</w:t>
                  </w:r>
                  <w:r>
                    <w:br/>
                  </w:r>
                  <w:r>
                    <w:rPr>
                      <w:rFonts w:ascii="仿宋_GB2312" w:hAnsi="仿宋_GB2312" w:cs="仿宋_GB2312" w:eastAsia="仿宋_GB2312"/>
                      <w:sz w:val="24"/>
                      <w:color w:val="000000"/>
                    </w:rPr>
                    <w:t xml:space="preserve"> 种/肥箱容积L：110/210；</w:t>
                  </w:r>
                  <w:r>
                    <w:br/>
                  </w:r>
                  <w:r>
                    <w:rPr>
                      <w:rFonts w:ascii="仿宋_GB2312" w:hAnsi="仿宋_GB2312" w:cs="仿宋_GB2312" w:eastAsia="仿宋_GB2312"/>
                      <w:sz w:val="24"/>
                      <w:color w:val="000000"/>
                    </w:rPr>
                    <w:t xml:space="preserve"> 播种部分传动方式：链条传动；</w:t>
                  </w:r>
                  <w:r>
                    <w:br/>
                  </w:r>
                  <w:r>
                    <w:rPr>
                      <w:rFonts w:ascii="仿宋_GB2312" w:hAnsi="仿宋_GB2312" w:cs="仿宋_GB2312" w:eastAsia="仿宋_GB2312"/>
                      <w:sz w:val="24"/>
                      <w:color w:val="000000"/>
                    </w:rPr>
                    <w:t xml:space="preserve"> 地轮型式：滚筒；</w:t>
                  </w:r>
                  <w:r>
                    <w:br/>
                  </w:r>
                  <w:r>
                    <w:rPr>
                      <w:rFonts w:ascii="仿宋_GB2312" w:hAnsi="仿宋_GB2312" w:cs="仿宋_GB2312" w:eastAsia="仿宋_GB2312"/>
                    </w:rPr>
                    <w:t xml:space="preserve">  </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配套拖拉机用于播种作业</w:t>
                  </w:r>
                </w:p>
              </w:tc>
            </w:tr>
          </w:tbl>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油菜旋耕施肥播种机</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结构型式：悬挂式；普通旋播；条播；</w:t>
                  </w:r>
                  <w:r>
                    <w:br/>
                  </w:r>
                  <w:r>
                    <w:rPr>
                      <w:rFonts w:ascii="仿宋_GB2312" w:hAnsi="仿宋_GB2312" w:cs="仿宋_GB2312" w:eastAsia="仿宋_GB2312"/>
                      <w:sz w:val="24"/>
                      <w:color w:val="000000"/>
                    </w:rPr>
                    <w:t xml:space="preserve"> 整机外形尺寸（长×宽×高）mm：≥1970×2675×1365；</w:t>
                  </w:r>
                  <w:r>
                    <w:br/>
                  </w:r>
                  <w:r>
                    <w:rPr>
                      <w:rFonts w:ascii="仿宋_GB2312" w:hAnsi="仿宋_GB2312" w:cs="仿宋_GB2312" w:eastAsia="仿宋_GB2312"/>
                      <w:sz w:val="24"/>
                      <w:color w:val="000000"/>
                    </w:rPr>
                    <w:t xml:space="preserve"> 配套动力范围kW：73.5～88.2；</w:t>
                  </w:r>
                  <w:r>
                    <w:br/>
                  </w:r>
                  <w:r>
                    <w:rPr>
                      <w:rFonts w:ascii="仿宋_GB2312" w:hAnsi="仿宋_GB2312" w:cs="仿宋_GB2312" w:eastAsia="仿宋_GB2312"/>
                      <w:sz w:val="24"/>
                      <w:color w:val="000000"/>
                    </w:rPr>
                    <w:t xml:space="preserve"> 作业速度范围m/s：0.69～1.39；</w:t>
                  </w:r>
                  <w:r>
                    <w:br/>
                  </w:r>
                  <w:r>
                    <w:rPr>
                      <w:rFonts w:ascii="仿宋_GB2312" w:hAnsi="仿宋_GB2312" w:cs="仿宋_GB2312" w:eastAsia="仿宋_GB2312"/>
                      <w:sz w:val="24"/>
                      <w:color w:val="000000"/>
                    </w:rPr>
                    <w:t xml:space="preserve"> 作业小时生产率hm2/h：0.43～0.85；</w:t>
                  </w:r>
                  <w:r>
                    <w:br/>
                  </w:r>
                  <w:r>
                    <w:rPr>
                      <w:rFonts w:ascii="仿宋_GB2312" w:hAnsi="仿宋_GB2312" w:cs="仿宋_GB2312" w:eastAsia="仿宋_GB2312"/>
                      <w:sz w:val="24"/>
                      <w:color w:val="000000"/>
                    </w:rPr>
                    <w:t xml:space="preserve"> 工作幅宽mm：≥2300；</w:t>
                  </w:r>
                  <w:r>
                    <w:br/>
                  </w:r>
                  <w:r>
                    <w:rPr>
                      <w:rFonts w:ascii="仿宋_GB2312" w:hAnsi="仿宋_GB2312" w:cs="仿宋_GB2312" w:eastAsia="仿宋_GB2312"/>
                      <w:sz w:val="24"/>
                      <w:color w:val="000000"/>
                    </w:rPr>
                    <w:t xml:space="preserve"> 耕深㎝：8～18；</w:t>
                  </w:r>
                  <w:r>
                    <w:br/>
                  </w:r>
                  <w:r>
                    <w:rPr>
                      <w:rFonts w:ascii="仿宋_GB2312" w:hAnsi="仿宋_GB2312" w:cs="仿宋_GB2312" w:eastAsia="仿宋_GB2312"/>
                      <w:sz w:val="24"/>
                      <w:color w:val="000000"/>
                    </w:rPr>
                    <w:t xml:space="preserve"> 行距㎝：22；</w:t>
                  </w:r>
                  <w:r>
                    <w:br/>
                  </w:r>
                  <w:r>
                    <w:rPr>
                      <w:rFonts w:ascii="仿宋_GB2312" w:hAnsi="仿宋_GB2312" w:cs="仿宋_GB2312" w:eastAsia="仿宋_GB2312"/>
                      <w:sz w:val="24"/>
                      <w:color w:val="000000"/>
                    </w:rPr>
                    <w:t xml:space="preserve"> 工作行数9行；</w:t>
                  </w:r>
                  <w:r>
                    <w:br/>
                  </w:r>
                  <w:r>
                    <w:rPr>
                      <w:rFonts w:ascii="仿宋_GB2312" w:hAnsi="仿宋_GB2312" w:cs="仿宋_GB2312" w:eastAsia="仿宋_GB2312"/>
                      <w:sz w:val="24"/>
                      <w:color w:val="000000"/>
                    </w:rPr>
                    <w:t xml:space="preserve"> 排种器数量9个；</w:t>
                  </w:r>
                  <w:r>
                    <w:br/>
                  </w:r>
                  <w:r>
                    <w:rPr>
                      <w:rFonts w:ascii="仿宋_GB2312" w:hAnsi="仿宋_GB2312" w:cs="仿宋_GB2312" w:eastAsia="仿宋_GB2312"/>
                      <w:sz w:val="24"/>
                      <w:color w:val="000000"/>
                    </w:rPr>
                    <w:t xml:space="preserve"> 排种开沟器数量9个；</w:t>
                  </w:r>
                  <w:r>
                    <w:br/>
                  </w:r>
                  <w:r>
                    <w:rPr>
                      <w:rFonts w:ascii="仿宋_GB2312" w:hAnsi="仿宋_GB2312" w:cs="仿宋_GB2312" w:eastAsia="仿宋_GB2312"/>
                      <w:sz w:val="24"/>
                      <w:color w:val="000000"/>
                    </w:rPr>
                    <w:t xml:space="preserve"> 种箱容积L：100；</w:t>
                  </w:r>
                  <w:r>
                    <w:br/>
                  </w:r>
                  <w:r>
                    <w:rPr>
                      <w:rFonts w:ascii="仿宋_GB2312" w:hAnsi="仿宋_GB2312" w:cs="仿宋_GB2312" w:eastAsia="仿宋_GB2312"/>
                      <w:sz w:val="24"/>
                      <w:color w:val="000000"/>
                    </w:rPr>
                    <w:t xml:space="preserve"> 排肥器数量8个；</w:t>
                  </w:r>
                  <w:r>
                    <w:br/>
                  </w:r>
                  <w:r>
                    <w:rPr>
                      <w:rFonts w:ascii="仿宋_GB2312" w:hAnsi="仿宋_GB2312" w:cs="仿宋_GB2312" w:eastAsia="仿宋_GB2312"/>
                      <w:sz w:val="24"/>
                      <w:color w:val="000000"/>
                    </w:rPr>
                    <w:t xml:space="preserve"> 肥箱容积L：190；</w:t>
                  </w:r>
                  <w:r>
                    <w:br/>
                  </w:r>
                  <w:r>
                    <w:rPr>
                      <w:rFonts w:ascii="仿宋_GB2312" w:hAnsi="仿宋_GB2312" w:cs="仿宋_GB2312" w:eastAsia="仿宋_GB2312"/>
                      <w:sz w:val="24"/>
                      <w:color w:val="000000"/>
                    </w:rPr>
                    <w:t xml:space="preserve"> 刀辊设计转速r/min：280；</w:t>
                  </w:r>
                  <w:r>
                    <w:br/>
                  </w:r>
                  <w:r>
                    <w:rPr>
                      <w:rFonts w:ascii="仿宋_GB2312" w:hAnsi="仿宋_GB2312" w:cs="仿宋_GB2312" w:eastAsia="仿宋_GB2312"/>
                      <w:sz w:val="24"/>
                      <w:color w:val="000000"/>
                    </w:rPr>
                    <w:t xml:space="preserve"> 刀辊最大回转半径mm：245；</w:t>
                  </w:r>
                  <w:r>
                    <w:br/>
                  </w:r>
                  <w:r>
                    <w:rPr>
                      <w:rFonts w:ascii="仿宋_GB2312" w:hAnsi="仿宋_GB2312" w:cs="仿宋_GB2312" w:eastAsia="仿宋_GB2312"/>
                      <w:sz w:val="24"/>
                      <w:color w:val="000000"/>
                    </w:rPr>
                    <w:t xml:space="preserve"> 旋耕刀型号：ⅠT245/ⅠT245左；</w:t>
                  </w:r>
                  <w:r>
                    <w:br/>
                  </w:r>
                  <w:r>
                    <w:rPr>
                      <w:rFonts w:ascii="仿宋_GB2312" w:hAnsi="仿宋_GB2312" w:cs="仿宋_GB2312" w:eastAsia="仿宋_GB2312"/>
                      <w:sz w:val="24"/>
                      <w:color w:val="000000"/>
                    </w:rPr>
                    <w:t xml:space="preserve"> 总安装刀数68把；</w:t>
                  </w:r>
                  <w:r>
                    <w:br/>
                  </w:r>
                  <w:r>
                    <w:rPr>
                      <w:rFonts w:ascii="仿宋_GB2312" w:hAnsi="仿宋_GB2312" w:cs="仿宋_GB2312" w:eastAsia="仿宋_GB2312"/>
                      <w:sz w:val="24"/>
                      <w:color w:val="000000"/>
                    </w:rPr>
                    <w:t xml:space="preserve"> 地轮型式：辊筒；</w:t>
                  </w:r>
                  <w:r>
                    <w:br/>
                  </w:r>
                  <w:r>
                    <w:rPr>
                      <w:rFonts w:ascii="仿宋_GB2312" w:hAnsi="仿宋_GB2312" w:cs="仿宋_GB2312" w:eastAsia="仿宋_GB2312"/>
                      <w:sz w:val="24"/>
                      <w:color w:val="000000"/>
                    </w:rPr>
                    <w:t xml:space="preserve"> 播前/播后镇压机构配置方式：无/非独立式；</w:t>
                  </w:r>
                  <w:r>
                    <w:br/>
                  </w:r>
                  <w:r>
                    <w:rPr>
                      <w:rFonts w:ascii="仿宋_GB2312" w:hAnsi="仿宋_GB2312" w:cs="仿宋_GB2312" w:eastAsia="仿宋_GB2312"/>
                      <w:sz w:val="24"/>
                      <w:color w:val="000000"/>
                    </w:rPr>
                    <w:t xml:space="preserve"> 播前/播后镇压机构配置型式：无/辊筒；</w:t>
                  </w:r>
                  <w:r>
                    <w:br/>
                  </w:r>
                  <w:r>
                    <w:rPr>
                      <w:rFonts w:ascii="仿宋_GB2312" w:hAnsi="仿宋_GB2312" w:cs="仿宋_GB2312" w:eastAsia="仿宋_GB2312"/>
                      <w:sz w:val="24"/>
                      <w:color w:val="000000"/>
                    </w:rPr>
                    <w:t xml:space="preserve"> 镇压强度调节方式：多级调节；</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用于油菜播种作业</w:t>
                  </w: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密植播种机</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结构型式：机械式；悬挂式；</w:t>
                  </w:r>
                  <w:r>
                    <w:br/>
                  </w:r>
                  <w:r>
                    <w:rPr>
                      <w:rFonts w:ascii="仿宋_GB2312" w:hAnsi="仿宋_GB2312" w:cs="仿宋_GB2312" w:eastAsia="仿宋_GB2312"/>
                      <w:sz w:val="24"/>
                      <w:color w:val="000000"/>
                    </w:rPr>
                    <w:t xml:space="preserve"> 配套动力范围kW：73.5～147；</w:t>
                  </w:r>
                  <w:r>
                    <w:br/>
                  </w:r>
                  <w:r>
                    <w:rPr>
                      <w:rFonts w:ascii="仿宋_GB2312" w:hAnsi="仿宋_GB2312" w:cs="仿宋_GB2312" w:eastAsia="仿宋_GB2312"/>
                      <w:sz w:val="24"/>
                      <w:color w:val="000000"/>
                    </w:rPr>
                    <w:t xml:space="preserve"> 整机外形尺寸（长×宽×高）mm：≥2100×2250×1450；</w:t>
                  </w:r>
                  <w:r>
                    <w:br/>
                  </w:r>
                  <w:r>
                    <w:rPr>
                      <w:rFonts w:ascii="仿宋_GB2312" w:hAnsi="仿宋_GB2312" w:cs="仿宋_GB2312" w:eastAsia="仿宋_GB2312"/>
                      <w:sz w:val="24"/>
                      <w:color w:val="000000"/>
                    </w:rPr>
                    <w:t xml:space="preserve"> 作业速度范围km/h：5～8；</w:t>
                  </w:r>
                  <w:r>
                    <w:br/>
                  </w:r>
                  <w:r>
                    <w:rPr>
                      <w:rFonts w:ascii="仿宋_GB2312" w:hAnsi="仿宋_GB2312" w:cs="仿宋_GB2312" w:eastAsia="仿宋_GB2312"/>
                      <w:sz w:val="24"/>
                      <w:color w:val="000000"/>
                    </w:rPr>
                    <w:t xml:space="preserve"> 作业小时生产率hm2/h：0.52～1.05；</w:t>
                  </w:r>
                  <w:r>
                    <w:br/>
                  </w:r>
                  <w:r>
                    <w:rPr>
                      <w:rFonts w:ascii="仿宋_GB2312" w:hAnsi="仿宋_GB2312" w:cs="仿宋_GB2312" w:eastAsia="仿宋_GB2312"/>
                      <w:sz w:val="24"/>
                      <w:color w:val="000000"/>
                    </w:rPr>
                    <w:t xml:space="preserve"> 行距mm：650；</w:t>
                  </w:r>
                  <w:r>
                    <w:br/>
                  </w:r>
                  <w:r>
                    <w:rPr>
                      <w:rFonts w:ascii="仿宋_GB2312" w:hAnsi="仿宋_GB2312" w:cs="仿宋_GB2312" w:eastAsia="仿宋_GB2312"/>
                      <w:sz w:val="24"/>
                      <w:color w:val="000000"/>
                    </w:rPr>
                    <w:t xml:space="preserve"> 工作行数4行；</w:t>
                  </w:r>
                  <w:r>
                    <w:br/>
                  </w:r>
                  <w:r>
                    <w:rPr>
                      <w:rFonts w:ascii="仿宋_GB2312" w:hAnsi="仿宋_GB2312" w:cs="仿宋_GB2312" w:eastAsia="仿宋_GB2312"/>
                      <w:sz w:val="24"/>
                      <w:color w:val="000000"/>
                    </w:rPr>
                    <w:t xml:space="preserve"> 排种器数量4个；</w:t>
                  </w:r>
                  <w:r>
                    <w:br/>
                  </w:r>
                  <w:r>
                    <w:rPr>
                      <w:rFonts w:ascii="仿宋_GB2312" w:hAnsi="仿宋_GB2312" w:cs="仿宋_GB2312" w:eastAsia="仿宋_GB2312"/>
                      <w:sz w:val="24"/>
                      <w:color w:val="000000"/>
                    </w:rPr>
                    <w:t xml:space="preserve"> 排肥器数量4个；</w:t>
                  </w:r>
                  <w:r>
                    <w:br/>
                  </w:r>
                  <w:r>
                    <w:rPr>
                      <w:rFonts w:ascii="仿宋_GB2312" w:hAnsi="仿宋_GB2312" w:cs="仿宋_GB2312" w:eastAsia="仿宋_GB2312"/>
                      <w:sz w:val="24"/>
                      <w:color w:val="000000"/>
                    </w:rPr>
                    <w:t xml:space="preserve"> 种/肥箱容积L：种：10×4 肥：245；</w:t>
                  </w:r>
                  <w:r>
                    <w:br/>
                  </w:r>
                  <w:r>
                    <w:rPr>
                      <w:rFonts w:ascii="仿宋_GB2312" w:hAnsi="仿宋_GB2312" w:cs="仿宋_GB2312" w:eastAsia="仿宋_GB2312"/>
                      <w:sz w:val="24"/>
                      <w:color w:val="000000"/>
                    </w:rPr>
                    <w:t xml:space="preserve"> 种/肥排量调节方式：种：档位调节；肥：档位调节；</w:t>
                  </w:r>
                  <w:r>
                    <w:br/>
                  </w:r>
                  <w:r>
                    <w:rPr>
                      <w:rFonts w:ascii="仿宋_GB2312" w:hAnsi="仿宋_GB2312" w:cs="仿宋_GB2312" w:eastAsia="仿宋_GB2312"/>
                      <w:sz w:val="24"/>
                      <w:color w:val="000000"/>
                    </w:rPr>
                    <w:t xml:space="preserve"> 传动机构型式：齿轮+轴；</w:t>
                  </w:r>
                  <w:r>
                    <w:br/>
                  </w:r>
                  <w:r>
                    <w:rPr>
                      <w:rFonts w:ascii="仿宋_GB2312" w:hAnsi="仿宋_GB2312" w:cs="仿宋_GB2312" w:eastAsia="仿宋_GB2312"/>
                      <w:sz w:val="24"/>
                      <w:color w:val="000000"/>
                    </w:rPr>
                    <w:t xml:space="preserve"> 开沟器型式：种：锄铲式；肥：锄铲式；</w:t>
                  </w:r>
                  <w:r>
                    <w:br/>
                  </w:r>
                  <w:r>
                    <w:rPr>
                      <w:rFonts w:ascii="仿宋_GB2312" w:hAnsi="仿宋_GB2312" w:cs="仿宋_GB2312" w:eastAsia="仿宋_GB2312"/>
                      <w:sz w:val="24"/>
                      <w:color w:val="000000"/>
                    </w:rPr>
                    <w:t xml:space="preserve"> 开沟器数量（个）： 4+4；</w:t>
                  </w:r>
                  <w:r>
                    <w:br/>
                  </w:r>
                  <w:r>
                    <w:rPr>
                      <w:rFonts w:ascii="仿宋_GB2312" w:hAnsi="仿宋_GB2312" w:cs="仿宋_GB2312" w:eastAsia="仿宋_GB2312"/>
                      <w:sz w:val="24"/>
                      <w:color w:val="000000"/>
                    </w:rPr>
                    <w:t xml:space="preserve"> 开沟器深度调节范围mm：0～75；</w:t>
                  </w:r>
                  <w:r>
                    <w:br/>
                  </w:r>
                  <w:r>
                    <w:rPr>
                      <w:rFonts w:ascii="仿宋_GB2312" w:hAnsi="仿宋_GB2312" w:cs="仿宋_GB2312" w:eastAsia="仿宋_GB2312"/>
                      <w:sz w:val="24"/>
                      <w:color w:val="000000"/>
                    </w:rPr>
                    <w:t xml:space="preserve"> 地轮型式：橡胶轮；</w:t>
                  </w:r>
                  <w:r>
                    <w:br/>
                  </w:r>
                  <w:r>
                    <w:rPr>
                      <w:rFonts w:ascii="仿宋_GB2312" w:hAnsi="仿宋_GB2312" w:cs="仿宋_GB2312" w:eastAsia="仿宋_GB2312"/>
                      <w:sz w:val="24"/>
                      <w:color w:val="000000"/>
                    </w:rPr>
                    <w:t xml:space="preserve"> 地轮高度调节范围mm：0～75；</w:t>
                  </w:r>
                  <w:r>
                    <w:br/>
                  </w:r>
                  <w:r>
                    <w:rPr>
                      <w:rFonts w:ascii="仿宋_GB2312" w:hAnsi="仿宋_GB2312" w:cs="仿宋_GB2312" w:eastAsia="仿宋_GB2312"/>
                      <w:sz w:val="24"/>
                      <w:color w:val="000000"/>
                    </w:rPr>
                    <w:t xml:space="preserve"> 破茬清垄工作部件型式：组合式刀盘；</w:t>
                  </w:r>
                  <w:r>
                    <w:br/>
                  </w:r>
                  <w:r>
                    <w:rPr>
                      <w:rFonts w:ascii="仿宋_GB2312" w:hAnsi="仿宋_GB2312" w:cs="仿宋_GB2312" w:eastAsia="仿宋_GB2312"/>
                      <w:sz w:val="24"/>
                      <w:color w:val="000000"/>
                    </w:rPr>
                    <w:t xml:space="preserve"> 覆土器型式：U型覆土器；</w:t>
                  </w:r>
                  <w:r>
                    <w:br/>
                  </w:r>
                  <w:r>
                    <w:rPr>
                      <w:rFonts w:ascii="仿宋_GB2312" w:hAnsi="仿宋_GB2312" w:cs="仿宋_GB2312" w:eastAsia="仿宋_GB2312"/>
                      <w:sz w:val="24"/>
                      <w:color w:val="000000"/>
                    </w:rPr>
                    <w:t xml:space="preserve"> 镇压器型式：地轮；</w:t>
                  </w:r>
                  <w:r>
                    <w:br/>
                  </w:r>
                  <w:r>
                    <w:rPr>
                      <w:rFonts w:ascii="仿宋_GB2312" w:hAnsi="仿宋_GB2312" w:cs="仿宋_GB2312" w:eastAsia="仿宋_GB2312"/>
                      <w:sz w:val="24"/>
                      <w:color w:val="000000"/>
                    </w:rPr>
                    <w:t xml:space="preserve"> 秸秆切割装置型式：直刀；</w:t>
                  </w:r>
                  <w:r>
                    <w:br/>
                  </w:r>
                  <w:r>
                    <w:br/>
                  </w:r>
                  <w:r>
                    <w:rPr>
                      <w:rFonts w:ascii="仿宋_GB2312" w:hAnsi="仿宋_GB2312" w:cs="仿宋_GB2312" w:eastAsia="仿宋_GB2312"/>
                    </w:rPr>
                    <w:t xml:space="preserve">  </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配套拖拉机用于玉米插种</w:t>
                  </w:r>
                </w:p>
              </w:tc>
            </w:tr>
          </w:tbl>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tbl>
            <w:tblPr>
              <w:tblBorders>
                <w:top w:val="single"/>
                <w:left w:val="single"/>
                <w:bottom w:val="single"/>
                <w:right w:val="single"/>
                <w:insideH w:val="single"/>
                <w:insideV w:val="single"/>
              </w:tblBorders>
            </w:tblPr>
            <w:tblGrid>
              <w:gridCol w:w="78"/>
              <w:gridCol w:w="285"/>
              <w:gridCol w:w="1154"/>
              <w:gridCol w:w="171"/>
              <w:gridCol w:w="171"/>
            </w:tblGrid>
            <w:tr>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植保无人机及附件</w:t>
                  </w:r>
                </w:p>
              </w:tc>
              <w:tc>
                <w:tcPr>
                  <w:tcW w:type="dxa" w:w="1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空机重量：≥56 kg（含电池）；</w:t>
                  </w:r>
                  <w:r>
                    <w:br/>
                  </w:r>
                  <w:r>
                    <w:rPr>
                      <w:rFonts w:ascii="仿宋_GB2312" w:hAnsi="仿宋_GB2312" w:cs="仿宋_GB2312" w:eastAsia="仿宋_GB2312"/>
                      <w:sz w:val="24"/>
                      <w:color w:val="000000"/>
                    </w:rPr>
                    <w:t xml:space="preserve"> 最大喷洒起飞重量：126 kg（标配 2 喷头）；</w:t>
                  </w:r>
                  <w:r>
                    <w:br/>
                  </w:r>
                  <w:r>
                    <w:rPr>
                      <w:rFonts w:ascii="仿宋_GB2312" w:hAnsi="仿宋_GB2312" w:cs="仿宋_GB2312" w:eastAsia="仿宋_GB2312"/>
                      <w:sz w:val="24"/>
                      <w:color w:val="000000"/>
                    </w:rPr>
                    <w:t xml:space="preserve"> 最大轴距：2440 mm（对角线轴距）；</w:t>
                  </w:r>
                  <w:r>
                    <w:br/>
                  </w:r>
                  <w:r>
                    <w:rPr>
                      <w:rFonts w:ascii="仿宋_GB2312" w:hAnsi="仿宋_GB2312" w:cs="仿宋_GB2312" w:eastAsia="仿宋_GB2312"/>
                      <w:sz w:val="24"/>
                      <w:color w:val="000000"/>
                    </w:rPr>
                    <w:t xml:space="preserve"> 外形尺寸：</w:t>
                  </w:r>
                  <w:r>
                    <w:br/>
                  </w:r>
                  <w:r>
                    <w:rPr>
                      <w:rFonts w:ascii="仿宋_GB2312" w:hAnsi="仿宋_GB2312" w:cs="仿宋_GB2312" w:eastAsia="仿宋_GB2312"/>
                      <w:sz w:val="24"/>
                      <w:color w:val="000000"/>
                    </w:rPr>
                    <w:t xml:space="preserve"> 机臂展开，桨叶展开：≥3175mm×3490mm×960mm；</w:t>
                  </w:r>
                  <w:r>
                    <w:br/>
                  </w:r>
                  <w:r>
                    <w:rPr>
                      <w:rFonts w:ascii="仿宋_GB2312" w:hAnsi="仿宋_GB2312" w:cs="仿宋_GB2312" w:eastAsia="仿宋_GB2312"/>
                      <w:sz w:val="24"/>
                      <w:color w:val="000000"/>
                    </w:rPr>
                    <w:t xml:space="preserve"> 机臂展开，桨叶折叠：≥1820mm×2100mm×960mm；</w:t>
                  </w:r>
                  <w:r>
                    <w:br/>
                  </w:r>
                  <w:r>
                    <w:rPr>
                      <w:rFonts w:ascii="仿宋_GB2312" w:hAnsi="仿宋_GB2312" w:cs="仿宋_GB2312" w:eastAsia="仿宋_GB2312"/>
                      <w:sz w:val="24"/>
                      <w:color w:val="000000"/>
                    </w:rPr>
                    <w:t xml:space="preserve"> 机臂折叠，桨叶折叠：≥1130mm×880mm×960 mm；</w:t>
                  </w:r>
                  <w:r>
                    <w:br/>
                  </w:r>
                  <w:r>
                    <w:rPr>
                      <w:rFonts w:ascii="仿宋_GB2312" w:hAnsi="仿宋_GB2312" w:cs="仿宋_GB2312" w:eastAsia="仿宋_GB2312"/>
                      <w:sz w:val="24"/>
                      <w:color w:val="000000"/>
                    </w:rPr>
                    <w:t xml:space="preserve"> 可设置最大飞行半径：≥2 km；</w:t>
                  </w:r>
                  <w:r>
                    <w:br/>
                  </w:r>
                  <w:r>
                    <w:rPr>
                      <w:rFonts w:ascii="仿宋_GB2312" w:hAnsi="仿宋_GB2312" w:cs="仿宋_GB2312" w:eastAsia="仿宋_GB2312"/>
                      <w:sz w:val="24"/>
                      <w:color w:val="000000"/>
                    </w:rPr>
                    <w:t xml:space="preserve"> 工作环境温度：0 ℃ 至 40 ℃；</w:t>
                  </w:r>
                  <w:r>
                    <w:br/>
                  </w:r>
                  <w:r>
                    <w:rPr>
                      <w:rFonts w:ascii="仿宋_GB2312" w:hAnsi="仿宋_GB2312" w:cs="仿宋_GB2312" w:eastAsia="仿宋_GB2312"/>
                      <w:sz w:val="24"/>
                      <w:color w:val="000000"/>
                    </w:rPr>
                    <w:t xml:space="preserve"> 最大可承受风速：6 m/s；随机附带发动机、喷药、播散装置；附带4人培训操作。</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4台</w:t>
                  </w:r>
                </w:p>
              </w:tc>
              <w:tc>
                <w:tcPr>
                  <w:tcW w:type="dxa" w:w="1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用于小麦、玉米、油菜喷洒农药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供应商需在项目电子化交易系统中按要求填写《响应函》完成承诺并进行电子签章。提供基本资格条件承诺函即可。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投标报价未超过采购预算或者最高限价的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交货期满足磋商文件要求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质保期满足磋商文件要求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法律、法规和磋商文件规定的其他情形</w:t>
            </w:r>
          </w:p>
        </w:tc>
        <w:tc>
          <w:tcPr>
            <w:tcW w:type="dxa" w:w="1661"/>
          </w:tcPr>
          <w:p>
            <w:pPr>
              <w:pStyle w:val="null3"/>
            </w:pPr>
            <w:r>
              <w:rPr>
                <w:rFonts w:ascii="仿宋_GB2312" w:hAnsi="仿宋_GB2312" w:cs="仿宋_GB2312" w:eastAsia="仿宋_GB2312"/>
              </w:rPr>
              <w:t>响应文件封面 产品技术参数表 供应商应提交的相关资格证明材料.docx 商务应答表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根据供应商提供所投产品技术参数表及相应的证明材料（包括但不限于测试报告、功能截图等技术证明材料），经评审专家审定得分。 基本分（20分）：完全符合、响应磋商文件要求，没有负偏离计20分，参数每负偏离一项，扣0.5分，扣完为止。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根据投标人提供的所投货物的合法来源渠道直接或间接证明文件等进行评审：合法来源渠道直接或间接证明文件能形成完整证据链，提供所有所需设备的完整证据链的得7分；合法来源渠道直接或间接证明文件能基本形成完整证据链，提供所有所需设备的比较完整证据链的得5分；合法来源渠道直接或间接证明文件能形成证据链不太清晰，提供所有所需设备的证据链不太清晰的得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1.针对本项目的组织实施、产品的供货组织措施完善， 并针对本项目特点做出合理计划及调配，由专业的技术人员提供服务，能保证产品达到最佳使用状态； 供货措施完整详细、科学合理，满足各项要求得5 分；供货措施较为清晰合理得3分；供货措施内容基本完整得1分，未提供得 0 分； 2.针对本次采购任务有具体的供货、调试、运行组织措施，能够保证设备产品供货、调试、运行并达到各项要求，组织措施合理、可行得5分；组织措施较为合理、可行得3分；组织措施基本合理、可行得1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实施安排合理，有明确的项目进度安排计划，能够在承诺的时间内按期交货，提供供货进度计划、供货时间保障；进度安排合理，保障措施可靠得5分；进度安排较为合理，保障措施较可靠得3分；进度安排基本合理， 保障措施基本可靠得1分，未提供得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确保投标产品无假货、水货、翻新货、不良市场反馈， 检验手续合法有效，且无产权纠纷，须具有相关的质量保证承诺；质量保证内容完整，结构清晰，科学合理，可操作性强， 能完全满足项目需求计5分，质量保证内容较完整、清晰得3分；质量保证内容基本完整、清晰得1分， 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所投产品认定为节能产品的得1 分（若项目为单一产品， 得 1 分；若非单一产品，每种产品得 0.5 分，最高得 1 分）；所投产品认定为环保产品的得 1 分（若项目为单一产品， 得 1 分；若非单一产品，每种产品得 0.5 分，最高得 1 分）；既是节能产品又是环保产品可同时得分，非节能、环保产品的不得分。属于强制采购的节能产品，不再给予加分。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投标人针对本项目有专业的服务团队，包括但不限于① 项目负责人②管理人员③送货人员④设备安装人员⑤培训人员⑥售后服务人员⑦技术支持人员。 以上各项人员齐全至少配备 1 人得 3 分，在此基础上每增加1 人得 0.5 分，最多得2分。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提供投标供应商自2022年1月1日起至投标截止日止实施过的类似项目业绩，提供合同的复印件并加盖单位公章，以合同的签订日期为准。每提供1份得2分，最多得10分，未提供或提供的合同内容模糊无法辨认得0分。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1.具有相应的物力、人力保障，有设备配送、检验、设备发生故障后的补救措施，售后服务计划与措施、制定售后服务承诺。内容齐全完整得3分，内容欠缺得1分，未提供得0分； 2.售后服务机构健全，能够满足采购方售后服务正常运转，并提供详细的售后服务机构及售后网点信息（包括网点地址、联系人、联系电话等），内容齐全完整得3分，内容欠缺得1分，未提供得0分；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 其他供应商的价格分统一按照下列公式计算： 价格分=(评标基准价／磋商报价)×报价分值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