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61401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3723421D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单位：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%</w:t>
      </w:r>
    </w:p>
    <w:tbl>
      <w:tblPr>
        <w:tblStyle w:val="2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6FC19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CB767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9042AD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2BB8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406D1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9648D1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BF72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537D2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31E4FA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4B9B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30ED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磋商报价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上浮%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0547944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百分之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</w:p>
          <w:p w14:paraId="3DB805AD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>%</w:t>
            </w:r>
          </w:p>
        </w:tc>
      </w:tr>
      <w:tr w14:paraId="61D13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4007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B665E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DE9E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2640E4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bookmarkStart w:id="2" w:name="_GoBack" w:colFirst="0" w:colLast="1"/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D1C04A">
            <w:pPr>
              <w:widowControl/>
              <w:numPr>
                <w:ilvl w:val="0"/>
                <w:numId w:val="1"/>
              </w:numPr>
              <w:spacing w:line="360" w:lineRule="auto"/>
              <w:ind w:firstLine="482" w:firstLineChars="20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本项目采用报价上浮（%）的形式进行磋商报价。</w:t>
            </w:r>
          </w:p>
          <w:p w14:paraId="5F02106D">
            <w:pPr>
              <w:widowControl/>
              <w:numPr>
                <w:ilvl w:val="0"/>
                <w:numId w:val="1"/>
              </w:numPr>
              <w:spacing w:line="360" w:lineRule="auto"/>
              <w:ind w:firstLine="482" w:firstLineChars="200"/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最终结算金额以《陕西省市场监督管理局技术评审经费管理办法</w:t>
            </w:r>
            <w:bookmarkStart w:id="0" w:name="OLE_LINK14"/>
            <w:bookmarkStart w:id="1" w:name="OLE_LINK15"/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》</w:t>
            </w:r>
            <w:bookmarkEnd w:id="0"/>
            <w:bookmarkEnd w:id="1"/>
            <w:r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中规定标准*（1+上浮率）进行结算，结算总金额累计不超过本项目采购预算370000.00元。</w:t>
            </w:r>
          </w:p>
        </w:tc>
      </w:tr>
      <w:bookmarkEnd w:id="2"/>
    </w:tbl>
    <w:p w14:paraId="5464F48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6AA9C5B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57F20E7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3B00E3A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7D388D0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6236D38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5177F592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2257EDE8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</w:p>
    <w:p w14:paraId="7A769448">
      <w:pPr>
        <w:widowControl w:val="0"/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</w:p>
    <w:p w14:paraId="0A57EFA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</w:p>
    <w:p w14:paraId="666A71E0">
      <w:pPr>
        <w:widowControl w:val="0"/>
        <w:spacing w:line="360" w:lineRule="auto"/>
        <w:ind w:firstLine="482" w:firstLineChars="200"/>
        <w:jc w:val="both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</w:p>
    <w:p w14:paraId="1CD0EFF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</w:p>
    <w:p w14:paraId="3E3D5FC4">
      <w:pPr>
        <w:widowControl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3567A8F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2C032CE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502"/>
        <w:gridCol w:w="748"/>
        <w:gridCol w:w="1076"/>
        <w:gridCol w:w="1515"/>
        <w:gridCol w:w="1763"/>
        <w:gridCol w:w="1379"/>
      </w:tblGrid>
      <w:tr w14:paraId="5CAFF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316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E544D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88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7FC4E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1B3A0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3FF6F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88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06F4D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  <w:t>固定单价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 （元） </w:t>
            </w:r>
          </w:p>
        </w:tc>
        <w:tc>
          <w:tcPr>
            <w:tcW w:w="103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07CAB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  <w:t>上浮（%）</w:t>
            </w:r>
          </w:p>
        </w:tc>
        <w:tc>
          <w:tcPr>
            <w:tcW w:w="80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B61BEF9">
            <w:pPr>
              <w:spacing w:line="36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  <w:t>上浮后单价（元）</w:t>
            </w:r>
          </w:p>
        </w:tc>
      </w:tr>
      <w:tr w14:paraId="563EE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AF2C8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8010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评审组长</w:t>
            </w: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4012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3306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人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70E4D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700元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/日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9662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F7742C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65FF4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3DFB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99152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评审组员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2AD3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9793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人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6FAB2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500 元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/日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9AE7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2CB58D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5CB3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05FA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FC96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 小时以内评审组长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35D7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5217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人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6DC8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450 元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CCEC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8D5E9E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19CE8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3F02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BABA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 小时以内评审组员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5C9A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2285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  <w:lang w:val="en-US" w:eastAsia="zh-CN"/>
              </w:rPr>
              <w:t>人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1D1D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350 元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718D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1D6ED08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12F6F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56D6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AA11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F8A6C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6D87F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5236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795F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5EF1DC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33E27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AB96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D8B2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E13C0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4C8BF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AD49F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839A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5EAD0A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</w:tr>
      <w:tr w14:paraId="30D9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316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31F5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8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F3D27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B43BF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C5099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4E34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2F1CA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9A9DD78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</w:tbl>
    <w:p w14:paraId="45B99819">
      <w:pPr>
        <w:widowControl/>
        <w:spacing w:line="360" w:lineRule="auto"/>
        <w:ind w:firstLine="0" w:firstLineChars="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685613E6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备注：</w:t>
      </w:r>
      <w:r>
        <w:rPr>
          <w:rFonts w:hint="eastAsia" w:ascii="仿宋" w:hAnsi="仿宋" w:eastAsia="仿宋" w:cs="仿宋"/>
          <w:kern w:val="0"/>
          <w:sz w:val="24"/>
          <w:szCs w:val="21"/>
          <w:lang w:val="en-US" w:eastAsia="zh-CN"/>
        </w:rPr>
        <w:t>1、</w:t>
      </w:r>
      <w:r>
        <w:rPr>
          <w:rFonts w:hint="eastAsia" w:ascii="仿宋" w:hAnsi="仿宋" w:eastAsia="仿宋" w:cs="仿宋"/>
          <w:kern w:val="0"/>
          <w:sz w:val="24"/>
          <w:szCs w:val="21"/>
        </w:rPr>
        <w:t>报价以元为单位，保留小数点后两位。</w:t>
      </w:r>
    </w:p>
    <w:p w14:paraId="2AA389E1">
      <w:pPr>
        <w:spacing w:line="360" w:lineRule="auto"/>
        <w:ind w:firstLine="720" w:firstLineChars="300"/>
        <w:jc w:val="left"/>
        <w:rPr>
          <w:rFonts w:hint="default" w:ascii="仿宋" w:hAnsi="仿宋" w:eastAsia="仿宋" w:cs="仿宋"/>
          <w:kern w:val="0"/>
          <w:sz w:val="24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1"/>
          <w:lang w:val="en-US" w:eastAsia="zh-CN"/>
        </w:rPr>
        <w:t>2、《陕西省市场监督管理局技术评审经费管理办法》</w:t>
      </w:r>
      <w:r>
        <w:rPr>
          <w:rFonts w:hint="eastAsia" w:ascii="仿宋" w:hAnsi="仿宋" w:eastAsia="仿宋" w:cs="仿宋"/>
          <w:kern w:val="0"/>
          <w:sz w:val="24"/>
          <w:szCs w:val="21"/>
        </w:rPr>
        <w:t>第五条“专家评审劳务费标准为（税前）：评审组长不超过700元/人/日，评审组员不超过500 元/人/日。评审时间在4 小时以内按照评审组长不超过450 元/人，组员不超过350 元/人支付。国家级专家、外省特邀专家视情况确定评审劳务费。”</w:t>
      </w:r>
      <w:r>
        <w:rPr>
          <w:rFonts w:hint="eastAsia" w:ascii="仿宋" w:hAnsi="仿宋" w:eastAsia="仿宋" w:cs="仿宋"/>
          <w:kern w:val="0"/>
          <w:sz w:val="24"/>
          <w:szCs w:val="21"/>
          <w:lang w:val="en-US" w:eastAsia="zh-CN"/>
        </w:rPr>
        <w:t>在服务期内，若有最新政策文件规定，按照最新政策规定执行。</w:t>
      </w:r>
    </w:p>
    <w:p w14:paraId="0E8B573E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sz w:val="24"/>
          <w:szCs w:val="24"/>
        </w:rPr>
      </w:pPr>
    </w:p>
    <w:p w14:paraId="0EC6F31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44DF068B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4F9E7B2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17506C5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77C65B2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46193037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4B88F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C90128"/>
    <w:multiLevelType w:val="singleLevel"/>
    <w:tmpl w:val="44C901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50C56"/>
    <w:rsid w:val="1DEA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2025-04-29T07:04:46Z</dcterms:created>
  <dc:creator>Administrator</dc:creator>
  <cp:lastModifiedBy>囔囔</cp:lastModifiedBy>
  <dcterms:modified xsi:type="dcterms:W3CDTF">2025-04-29T07:06:58Z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5FFA1D4F4FC24D289D9708B7162F2F43_12</vt:lpwstr>
  </property>
</Properties>
</file>