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E98CD">
      <w:pPr>
        <w:pStyle w:val="2"/>
        <w:numPr>
          <w:ilvl w:val="0"/>
          <w:numId w:val="0"/>
        </w:numPr>
        <w:spacing w:before="240" w:beforeLines="100" w:after="240" w:afterLines="100"/>
        <w:jc w:val="center"/>
        <w:rPr>
          <w:rFonts w:hint="eastAsia" w:ascii="仿宋" w:hAnsi="仿宋" w:eastAsia="仿宋" w:cs="仿宋"/>
          <w:bCs/>
          <w:sz w:val="36"/>
          <w:szCs w:val="36"/>
          <w:highlight w:val="none"/>
        </w:rPr>
      </w:pPr>
      <w:bookmarkStart w:id="0" w:name="_Toc20370"/>
      <w:bookmarkStart w:id="1" w:name="_Toc18545"/>
      <w:r>
        <w:rPr>
          <w:rFonts w:hint="eastAsia" w:ascii="仿宋" w:hAnsi="仿宋" w:eastAsia="仿宋" w:cs="仿宋"/>
          <w:bCs/>
          <w:sz w:val="36"/>
          <w:szCs w:val="36"/>
          <w:highlight w:val="none"/>
        </w:rPr>
        <w:t>合同条款及格式</w:t>
      </w:r>
      <w:bookmarkEnd w:id="0"/>
      <w:bookmarkEnd w:id="1"/>
    </w:p>
    <w:p w14:paraId="65786B39">
      <w:pPr>
        <w:spacing w:line="360" w:lineRule="auto"/>
        <w:jc w:val="left"/>
        <w:rPr>
          <w:rFonts w:hint="default" w:ascii="仿宋" w:hAnsi="仿宋" w:eastAsia="仿宋" w:cs="仿宋"/>
          <w:b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委托方（以下简称甲方）：</w:t>
      </w:r>
      <w:r>
        <w:rPr>
          <w:rFonts w:hint="eastAsia" w:ascii="仿宋" w:hAnsi="仿宋" w:eastAsia="仿宋" w:cs="仿宋"/>
          <w:b/>
          <w:szCs w:val="24"/>
          <w:highlight w:val="none"/>
          <w:u w:val="single"/>
          <w:lang w:val="en-US" w:eastAsia="zh-CN"/>
        </w:rPr>
        <w:t xml:space="preserve">                       </w:t>
      </w:r>
    </w:p>
    <w:p w14:paraId="3D866618">
      <w:pPr>
        <w:spacing w:line="360" w:lineRule="auto"/>
        <w:jc w:val="left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承接方（以下简称乙方）：</w:t>
      </w:r>
      <w:r>
        <w:rPr>
          <w:rFonts w:hint="eastAsia" w:ascii="仿宋" w:hAnsi="仿宋" w:eastAsia="仿宋" w:cs="仿宋"/>
          <w:b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szCs w:val="24"/>
          <w:highlight w:val="none"/>
        </w:rPr>
        <w:t xml:space="preserve"> </w:t>
      </w:r>
    </w:p>
    <w:p w14:paraId="5592D874">
      <w:pPr>
        <w:spacing w:line="360" w:lineRule="auto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   根据《中华人民共和国民法典》《中华人民共和国政府采购法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》等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法律法规的要求，经双方友好协商，订立本合同。</w:t>
      </w:r>
    </w:p>
    <w:p w14:paraId="76411513">
      <w:pPr>
        <w:pStyle w:val="3"/>
        <w:spacing w:before="0" w:after="0"/>
        <w:ind w:left="0"/>
        <w:rPr>
          <w:rFonts w:hint="eastAsia"/>
          <w:sz w:val="24"/>
          <w:szCs w:val="24"/>
          <w:highlight w:val="none"/>
        </w:rPr>
      </w:pPr>
      <w:bookmarkStart w:id="2" w:name="_Toc15187"/>
      <w:r>
        <w:rPr>
          <w:rFonts w:hint="eastAsia"/>
          <w:sz w:val="24"/>
          <w:szCs w:val="24"/>
          <w:highlight w:val="none"/>
        </w:rPr>
        <w:t>一、工作任务</w:t>
      </w:r>
      <w:bookmarkEnd w:id="2"/>
    </w:p>
    <w:p w14:paraId="7D5F9C9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详见采购内容及服务要求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。</w:t>
      </w:r>
    </w:p>
    <w:p w14:paraId="613ECEF5">
      <w:pPr>
        <w:pStyle w:val="3"/>
        <w:spacing w:before="0" w:after="0"/>
        <w:ind w:left="0" w:leftChars="0" w:firstLine="0" w:firstLineChars="0"/>
        <w:rPr>
          <w:rFonts w:hint="eastAsia"/>
          <w:sz w:val="24"/>
          <w:szCs w:val="24"/>
          <w:highlight w:val="none"/>
        </w:rPr>
      </w:pPr>
      <w:bookmarkStart w:id="3" w:name="_Toc6435"/>
      <w:r>
        <w:rPr>
          <w:rFonts w:hint="eastAsia"/>
          <w:sz w:val="24"/>
          <w:szCs w:val="24"/>
          <w:highlight w:val="none"/>
        </w:rPr>
        <w:t>二、服务期限</w:t>
      </w:r>
      <w:bookmarkEnd w:id="3"/>
    </w:p>
    <w:p w14:paraId="194E59D5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服务期限为：</w:t>
      </w:r>
      <w:r>
        <w:rPr>
          <w:rFonts w:hint="eastAsia" w:ascii="仿宋" w:hAnsi="仿宋" w:eastAsia="仿宋" w:cs="仿宋"/>
          <w:sz w:val="24"/>
          <w:highlight w:val="none"/>
          <w:u w:val="none"/>
        </w:rPr>
        <w:t>自合同签订之日起两年内取得省政府批复文件并完成备案</w:t>
      </w:r>
      <w:r>
        <w:rPr>
          <w:rFonts w:hint="eastAsia" w:ascii="仿宋_GB2312" w:hAnsi="仿宋_GB2312" w:eastAsia="仿宋_GB2312" w:cs="仿宋_GB2312"/>
          <w:highlight w:val="none"/>
        </w:rPr>
        <w:t>。</w:t>
      </w:r>
    </w:p>
    <w:p w14:paraId="4CB72B2F">
      <w:pPr>
        <w:pStyle w:val="3"/>
        <w:spacing w:before="0" w:after="0"/>
        <w:ind w:left="0"/>
        <w:rPr>
          <w:rFonts w:hint="eastAsia"/>
          <w:sz w:val="24"/>
          <w:szCs w:val="24"/>
          <w:highlight w:val="none"/>
        </w:rPr>
      </w:pPr>
      <w:bookmarkStart w:id="4" w:name="_Toc7662"/>
      <w:r>
        <w:rPr>
          <w:rFonts w:hint="eastAsia"/>
          <w:sz w:val="24"/>
          <w:szCs w:val="24"/>
          <w:highlight w:val="none"/>
        </w:rPr>
        <w:t>三、合同文件及解释</w:t>
      </w:r>
      <w:bookmarkEnd w:id="4"/>
    </w:p>
    <w:p w14:paraId="6C9F0B2D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合同协议书</w:t>
      </w:r>
    </w:p>
    <w:p w14:paraId="558892CD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成交通知书</w:t>
      </w:r>
    </w:p>
    <w:p w14:paraId="27CFF5F4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竞争性磋商文件及澄清补遗文件</w:t>
      </w:r>
    </w:p>
    <w:p w14:paraId="6542D93C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auto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  <w:t>成交单位磋商响应文件</w:t>
      </w:r>
    </w:p>
    <w:p w14:paraId="597DAB29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auto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  <w:t>技术标准、规范</w:t>
      </w:r>
    </w:p>
    <w:p w14:paraId="5A202BB0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auto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  <w:t>其他合同文件</w:t>
      </w:r>
    </w:p>
    <w:p w14:paraId="42094948">
      <w:pPr>
        <w:pStyle w:val="3"/>
        <w:spacing w:before="0" w:after="0"/>
        <w:ind w:left="0"/>
        <w:rPr>
          <w:rFonts w:hint="eastAsia"/>
          <w:color w:val="auto"/>
          <w:sz w:val="24"/>
          <w:szCs w:val="24"/>
          <w:highlight w:val="none"/>
        </w:rPr>
      </w:pPr>
      <w:bookmarkStart w:id="5" w:name="_Toc28812"/>
      <w:r>
        <w:rPr>
          <w:rFonts w:hint="eastAsia"/>
          <w:color w:val="auto"/>
          <w:sz w:val="24"/>
          <w:szCs w:val="24"/>
          <w:highlight w:val="none"/>
        </w:rPr>
        <w:t>四、合同价款、结算与支付</w:t>
      </w:r>
      <w:bookmarkEnd w:id="5"/>
    </w:p>
    <w:p w14:paraId="0B2B7DDB">
      <w:pPr>
        <w:shd w:val="clear" w:color="auto" w:fill="FFFFFF"/>
        <w:snapToGrid w:val="0"/>
        <w:spacing w:line="360" w:lineRule="auto"/>
        <w:rPr>
          <w:rFonts w:ascii="仿宋_GB2312" w:hAnsi="仿宋_GB2312" w:eastAsia="仿宋_GB2312" w:cs="仿宋_GB2312"/>
          <w:color w:val="auto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  <w:t>1、本合同总价款</w:t>
      </w:r>
    </w:p>
    <w:p w14:paraId="6A67F961">
      <w:pPr>
        <w:spacing w:line="360" w:lineRule="auto"/>
        <w:ind w:left="1" w:firstLine="480" w:firstLineChars="200"/>
        <w:rPr>
          <w:rFonts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  <w:t>本合同总价款为</w:t>
      </w:r>
      <w:r>
        <w:rPr>
          <w:rFonts w:hint="eastAsia" w:ascii="仿宋_GB2312" w:hAnsi="仿宋_GB2312" w:eastAsia="仿宋_GB2312" w:cs="仿宋_GB2312"/>
          <w:b/>
          <w:color w:val="auto"/>
          <w:kern w:val="28"/>
          <w:highlight w:val="none"/>
          <w:u w:val="single"/>
        </w:rPr>
        <w:t>RMB            （人民币大写：         )</w:t>
      </w:r>
      <w:r>
        <w:rPr>
          <w:rFonts w:hint="eastAsia" w:ascii="仿宋_GB2312" w:hAnsi="仿宋_GB2312" w:eastAsia="仿宋_GB2312" w:cs="仿宋_GB2312"/>
          <w:b/>
          <w:color w:val="auto"/>
          <w:kern w:val="28"/>
          <w:highlight w:val="none"/>
          <w:u w:val="singl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  <w:t>该合同总价包括承接甲方项目所承担的全过程的一切费用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。</w:t>
      </w:r>
    </w:p>
    <w:p w14:paraId="1E9BC476">
      <w:pPr>
        <w:numPr>
          <w:ilvl w:val="0"/>
          <w:numId w:val="1"/>
        </w:numPr>
        <w:shd w:val="clear" w:color="auto" w:fill="FFFFFF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  <w:t>付款方式</w:t>
      </w:r>
    </w:p>
    <w:p w14:paraId="3FFDEA8C">
      <w:pPr>
        <w:spacing w:line="360" w:lineRule="auto"/>
        <w:ind w:left="1" w:firstLine="480" w:firstLineChars="200"/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8"/>
          <w:highlight w:val="none"/>
          <w:lang w:val="en-US" w:eastAsia="zh-CN"/>
        </w:rPr>
        <w:t>合同签订后支付合同总价款的40%作为预付款，取得省政府批复文件并完成备案后，支付剩余合同款项，付款前乙方须提供正规票据</w:t>
      </w:r>
      <w:r>
        <w:rPr>
          <w:rFonts w:hint="eastAsia" w:ascii="仿宋_GB2312" w:hAnsi="仿宋_GB2312" w:eastAsia="仿宋_GB2312" w:cs="仿宋_GB2312"/>
          <w:color w:val="auto"/>
          <w:kern w:val="28"/>
          <w:highlight w:val="none"/>
        </w:rPr>
        <w:t>。</w:t>
      </w:r>
    </w:p>
    <w:p w14:paraId="0A6DEE87">
      <w:pPr>
        <w:pStyle w:val="3"/>
        <w:spacing w:before="0" w:after="0" w:line="360" w:lineRule="auto"/>
        <w:ind w:left="0"/>
        <w:rPr>
          <w:rFonts w:hint="eastAsia"/>
          <w:color w:val="auto"/>
          <w:sz w:val="24"/>
          <w:szCs w:val="24"/>
          <w:highlight w:val="none"/>
        </w:rPr>
      </w:pPr>
      <w:bookmarkStart w:id="6" w:name="_Toc25254"/>
      <w:r>
        <w:rPr>
          <w:rFonts w:hint="eastAsia"/>
          <w:color w:val="auto"/>
          <w:sz w:val="24"/>
          <w:szCs w:val="24"/>
          <w:highlight w:val="none"/>
        </w:rPr>
        <w:t>五、甲方职责</w:t>
      </w:r>
      <w:bookmarkEnd w:id="6"/>
    </w:p>
    <w:p w14:paraId="1F1424A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7" w:name="_Toc26537"/>
      <w:r>
        <w:rPr>
          <w:rFonts w:hint="eastAsia" w:ascii="仿宋" w:hAnsi="仿宋" w:eastAsia="仿宋" w:cs="仿宋"/>
          <w:color w:val="auto"/>
          <w:szCs w:val="24"/>
          <w:highlight w:val="none"/>
        </w:rPr>
        <w:t>1、甲方按本合同规定的内容，在规定的时间内向乙方提交基础资料及文件，并对其完整性、正确性、及时性负责。</w:t>
      </w:r>
    </w:p>
    <w:p w14:paraId="1CD933F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2、甲方派专人协助乙方开展外业调查、调研、座谈会等工作。</w:t>
      </w:r>
    </w:p>
    <w:p w14:paraId="38350B1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3、需负责与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高新区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相关部门的对接工作；</w:t>
      </w:r>
    </w:p>
    <w:p w14:paraId="6039971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ascii="仿宋" w:hAnsi="仿宋" w:eastAsia="仿宋" w:cs="仿宋"/>
          <w:color w:val="auto"/>
          <w:szCs w:val="24"/>
          <w:highlight w:val="none"/>
        </w:rPr>
        <w:t>4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、乙方的工作费用按合同约定及时支付。</w:t>
      </w:r>
    </w:p>
    <w:p w14:paraId="51FB5002">
      <w:pPr>
        <w:pStyle w:val="3"/>
        <w:ind w:left="0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六、乙方职责</w:t>
      </w:r>
      <w:bookmarkEnd w:id="7"/>
    </w:p>
    <w:p w14:paraId="785CE4A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8" w:name="_Toc15130"/>
      <w:r>
        <w:rPr>
          <w:rFonts w:hint="eastAsia" w:ascii="仿宋" w:hAnsi="仿宋" w:eastAsia="仿宋" w:cs="仿宋"/>
          <w:color w:val="auto"/>
          <w:szCs w:val="24"/>
          <w:highlight w:val="none"/>
        </w:rPr>
        <w:t>1、乙方应按国家相应技术规范、标准、规程及合同约定的各项要求，进行相关工作，按合同规定的进度要求提交质量合格的成果文件，并对其负责。</w:t>
      </w:r>
    </w:p>
    <w:p w14:paraId="59C1390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2、乙方按本合同规定的内容、进度及份数向甲方提交成果文件，并根据审查结论对不超出原定范围的内容做必要调整补充。</w:t>
      </w:r>
    </w:p>
    <w:p w14:paraId="7C460FE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3、乙方应做好质量与技术管理工作，加强全过程的质量控制，保证项目内容的合理性。</w:t>
      </w:r>
    </w:p>
    <w:p w14:paraId="69DB78D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4、对甲方的各种技术资料做好保密工作，未经甲方许可不得向任何单位和个人泄露。</w:t>
      </w:r>
    </w:p>
    <w:p w14:paraId="573C61DC">
      <w:pPr>
        <w:pStyle w:val="3"/>
        <w:ind w:left="0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七、提交成果及验收</w:t>
      </w:r>
      <w:bookmarkEnd w:id="8"/>
    </w:p>
    <w:p w14:paraId="32EF055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一、提交成果</w:t>
      </w:r>
    </w:p>
    <w:p w14:paraId="07602469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1、文本</w:t>
      </w:r>
    </w:p>
    <w:p w14:paraId="24F2A93D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①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土地征收成片开发方案.doc</w:t>
      </w:r>
    </w:p>
    <w:p w14:paraId="6DB1566D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2、表格</w:t>
      </w:r>
    </w:p>
    <w:p w14:paraId="727AEEFD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①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土地征收成片开发特性表.xlsx</w:t>
      </w:r>
    </w:p>
    <w:p w14:paraId="52051A48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②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土地征收成片开发土地利用权属地类统计表.xlsx</w:t>
      </w:r>
    </w:p>
    <w:p w14:paraId="067201A0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③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土地征收成片开发拟建设项目用地情况表.xlsx</w:t>
      </w:r>
    </w:p>
    <w:p w14:paraId="7FCD43AF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④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土地征收成片开发公益性用地情况统计表.xlsx</w:t>
      </w:r>
    </w:p>
    <w:p w14:paraId="3CE7BFEE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⑤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土地征收成片开发时序表.xlsx</w:t>
      </w:r>
    </w:p>
    <w:p w14:paraId="72BA70BE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⑥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已批准成片开发方案实施进度情况统计表.xlsx</w:t>
      </w:r>
    </w:p>
    <w:p w14:paraId="61F143F9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3、图件</w:t>
      </w:r>
    </w:p>
    <w:p w14:paraId="33CC7F6C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①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土地征收成片开发范围位置示意图.jpg</w:t>
      </w:r>
    </w:p>
    <w:p w14:paraId="69B60019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②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土地征收成片开发范围国土空间规划图.jpg</w:t>
      </w:r>
    </w:p>
    <w:p w14:paraId="3F920862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③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土地征收成片开发范围拟建项目</w:t>
      </w:r>
      <w:r>
        <w:rPr>
          <w:rFonts w:hint="eastAsia" w:ascii="仿宋_GB2312" w:eastAsia="仿宋_GB2312"/>
          <w:color w:val="000000"/>
          <w:szCs w:val="24"/>
          <w:highlight w:val="none"/>
          <w:lang w:val="en-US" w:eastAsia="zh-CN"/>
        </w:rPr>
        <w:t>用途布局及时序图</w:t>
      </w:r>
      <w:r>
        <w:rPr>
          <w:rFonts w:hint="eastAsia" w:ascii="仿宋_GB2312" w:eastAsia="仿宋_GB2312"/>
          <w:color w:val="000000"/>
          <w:szCs w:val="24"/>
          <w:highlight w:val="none"/>
        </w:rPr>
        <w:t>.jpg</w:t>
      </w:r>
    </w:p>
    <w:p w14:paraId="75C2E4CF">
      <w:pPr>
        <w:spacing w:line="360" w:lineRule="auto"/>
        <w:ind w:firstLine="480" w:firstLineChars="200"/>
        <w:rPr>
          <w:rFonts w:hint="eastAsia" w:ascii="仿宋_GB2312" w:eastAsia="仿宋_GB2312"/>
          <w:color w:val="000000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4、数据库</w:t>
      </w:r>
    </w:p>
    <w:p w14:paraId="3BC54AA1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_GB2312" w:eastAsia="仿宋_GB2312"/>
          <w:color w:val="000000"/>
          <w:szCs w:val="24"/>
          <w:highlight w:val="none"/>
        </w:rPr>
        <w:t>①</w:t>
      </w:r>
      <w:r>
        <w:rPr>
          <w:rFonts w:hint="eastAsia" w:ascii="仿宋_GB2312" w:eastAsia="仿宋_GB2312"/>
          <w:szCs w:val="24"/>
          <w:highlight w:val="none"/>
          <w:lang w:val="en-US" w:eastAsia="zh-CN"/>
        </w:rPr>
        <w:t>高新区</w:t>
      </w:r>
      <w:r>
        <w:rPr>
          <w:rFonts w:hint="eastAsia" w:ascii="仿宋_GB2312" w:eastAsia="仿宋_GB2312"/>
          <w:color w:val="000000"/>
          <w:szCs w:val="24"/>
          <w:highlight w:val="none"/>
        </w:rPr>
        <w:t>土地征收成片开发.mdb</w:t>
      </w:r>
      <w:r>
        <w:rPr>
          <w:rFonts w:hint="eastAsia" w:ascii="仿宋" w:hAnsi="仿宋" w:eastAsia="仿宋" w:cs="仿宋"/>
          <w:szCs w:val="24"/>
          <w:highlight w:val="none"/>
        </w:rPr>
        <w:t xml:space="preserve">。   </w:t>
      </w:r>
    </w:p>
    <w:p w14:paraId="48E8ECD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二、验收规范</w:t>
      </w:r>
    </w:p>
    <w:p w14:paraId="61B1DC73">
      <w:pPr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</w:pPr>
      <w:bookmarkStart w:id="9" w:name="_Toc31756"/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1、《中华人民共和国土地管理法》（2020年1月1日施行）；</w:t>
      </w:r>
    </w:p>
    <w:p w14:paraId="6AE39FEA">
      <w:pPr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2、《中华人民共和国土地管理法实施条例》（2021年9月1日施行）；</w:t>
      </w:r>
    </w:p>
    <w:p w14:paraId="4C85526C">
      <w:pPr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3、《中华人民共和国城乡规划法》（2019年4月23日修正）；</w:t>
      </w:r>
    </w:p>
    <w:p w14:paraId="202FDACE">
      <w:pPr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4、《基本农田保护条例》（2011年1月8日修订）；</w:t>
      </w:r>
    </w:p>
    <w:p w14:paraId="1BEB726C">
      <w:pPr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5、</w:t>
      </w:r>
      <w:r>
        <w:rPr>
          <w:rFonts w:hint="eastAsia" w:ascii="仿宋_GB2312" w:eastAsia="仿宋_GB2312" w:cs="Times New Roman"/>
          <w:color w:val="000000"/>
          <w:szCs w:val="24"/>
          <w:highlight w:val="none"/>
          <w:lang w:eastAsia="zh-CN"/>
        </w:rPr>
        <w:t>《</w:t>
      </w:r>
      <w:r>
        <w:rPr>
          <w:rFonts w:hint="eastAsia" w:ascii="仿宋_GB2312" w:eastAsia="仿宋_GB2312"/>
          <w:color w:val="000000"/>
          <w:szCs w:val="24"/>
          <w:highlight w:val="none"/>
        </w:rPr>
        <w:t>自然资源部关于印发&lt;土地征收成片开发标准&gt;的通知》（自然资规〔2023〕7号）</w:t>
      </w: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；</w:t>
      </w:r>
    </w:p>
    <w:p w14:paraId="1112804F">
      <w:pPr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6、</w:t>
      </w:r>
      <w:r>
        <w:rPr>
          <w:rFonts w:hint="eastAsia" w:ascii="仿宋_GB2312" w:eastAsia="仿宋_GB2312"/>
          <w:color w:val="000000"/>
          <w:szCs w:val="24"/>
          <w:highlight w:val="none"/>
        </w:rPr>
        <w:t>陕西省自然资源厅《关于印发陕西省土地征收成片开发标准实施细则》的通知（陕自然资规〔2024年〕297号）</w:t>
      </w: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；</w:t>
      </w:r>
    </w:p>
    <w:p w14:paraId="3921C128">
      <w:pPr>
        <w:spacing w:line="360" w:lineRule="auto"/>
        <w:ind w:firstLine="480" w:firstLineChars="200"/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7、西安市自然资源和规划局《关于印发&lt;土地征收成片开发工作实施意见&gt;的通知》（市资源发〔2022〕61号）；</w:t>
      </w:r>
    </w:p>
    <w:p w14:paraId="7342F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</w:rPr>
        <w:t>8、《国土空间调查、规划、用途管制用地用海分类指南（试行）》</w:t>
      </w: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  <w:lang w:val="en-US" w:eastAsia="zh-CN"/>
        </w:rPr>
        <w:t>自然资发</w:t>
      </w:r>
      <w:r>
        <w:rPr>
          <w:rFonts w:hint="eastAsia" w:ascii="仿宋_GB2312" w:eastAsia="仿宋_GB2312" w:cs="Times New Roman"/>
          <w:color w:val="000000"/>
          <w:szCs w:val="24"/>
          <w:highlight w:val="none"/>
          <w:lang w:val="en-US" w:eastAsia="zh-CN"/>
        </w:rPr>
        <w:t>〔2023〕234号</w:t>
      </w:r>
      <w:r>
        <w:rPr>
          <w:rFonts w:hint="eastAsia" w:ascii="仿宋_GB2312" w:hAnsi="Times New Roman" w:eastAsia="仿宋_GB2312" w:cs="Times New Roman"/>
          <w:color w:val="000000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lang w:val="en-US" w:eastAsia="zh-CN"/>
        </w:rPr>
        <w:t>。</w:t>
      </w:r>
    </w:p>
    <w:p w14:paraId="1A9E049D">
      <w:pPr>
        <w:pStyle w:val="3"/>
        <w:ind w:left="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八、双方权利及义务</w:t>
      </w:r>
      <w:bookmarkEnd w:id="9"/>
    </w:p>
    <w:p w14:paraId="7EB5E388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甲方：</w:t>
      </w:r>
    </w:p>
    <w:p w14:paraId="21792B5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1、甲方有权对合同规定范围内乙方的服务行为进行监督和检查，拥有监管权。甲方认为不合理的部分有权下达整改通知书，并要求乙方限期整改。</w:t>
      </w:r>
    </w:p>
    <w:p w14:paraId="6B8ABDF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2、负责检查监督乙方管理工作的实施及制度的执行情况。</w:t>
      </w:r>
    </w:p>
    <w:p w14:paraId="2ED6B207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乙方：</w:t>
      </w:r>
    </w:p>
    <w:p w14:paraId="746CFD3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1、对本合同规定的委托服务范围内的项目享有管理权及服务义务。</w:t>
      </w:r>
    </w:p>
    <w:p w14:paraId="5C3290F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2、根据本合同的规定向甲方收取相关服务费用，并有权在本项目管理范围内管理及合理使用。</w:t>
      </w:r>
    </w:p>
    <w:p w14:paraId="0B34F49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3、按照合同规定的期限完成工作任务向甲方提交成果资料。</w:t>
      </w:r>
    </w:p>
    <w:p w14:paraId="30DC8FF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4、及时向甲方通告本项目服务范围内有关服务的重大事项，及时配合处理投诉。</w:t>
      </w:r>
    </w:p>
    <w:p w14:paraId="052CAE5A">
      <w:pPr>
        <w:pStyle w:val="3"/>
        <w:ind w:left="0"/>
        <w:rPr>
          <w:rFonts w:hint="eastAsia"/>
          <w:sz w:val="24"/>
          <w:szCs w:val="24"/>
          <w:highlight w:val="none"/>
        </w:rPr>
      </w:pPr>
      <w:bookmarkStart w:id="10" w:name="_Toc8023"/>
      <w:r>
        <w:rPr>
          <w:rFonts w:hint="eastAsia"/>
          <w:sz w:val="24"/>
          <w:szCs w:val="24"/>
          <w:highlight w:val="none"/>
        </w:rPr>
        <w:t>九、违约责任</w:t>
      </w:r>
      <w:bookmarkEnd w:id="10"/>
    </w:p>
    <w:p w14:paraId="4DD8B5B2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 xml:space="preserve">1、一方违反本合同任一条款即构成违约，违约方应赔偿对方因此而受到的损失。 </w:t>
      </w:r>
    </w:p>
    <w:p w14:paraId="5624BAE5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2、如果发生不可抗力，如行政命令、政策法规、故意破坏、禁运、战争、自然灾害（如洪水和地震）或其他超出协议双方控制的事件，因而一方无法履行协议，受到不可抗力影响的一方可以提前十五天书面通知对方终止合同。本合同因不可抗力而终止的，甲方应按乙方实际完成并提交成果的工作量支付报酬</w:t>
      </w:r>
      <w:r>
        <w:rPr>
          <w:rFonts w:hint="eastAsia" w:ascii="仿宋_GB2312" w:hAnsi="仿宋_GB2312" w:eastAsia="仿宋_GB2312" w:cs="仿宋_GB2312"/>
          <w:highlight w:val="none"/>
        </w:rPr>
        <w:t>。</w:t>
      </w:r>
    </w:p>
    <w:p w14:paraId="064FC070">
      <w:pPr>
        <w:pStyle w:val="3"/>
        <w:ind w:left="0"/>
        <w:rPr>
          <w:rFonts w:hint="eastAsia"/>
          <w:sz w:val="24"/>
          <w:szCs w:val="24"/>
          <w:highlight w:val="none"/>
        </w:rPr>
      </w:pPr>
      <w:bookmarkStart w:id="11" w:name="_Toc31556"/>
      <w:r>
        <w:rPr>
          <w:rFonts w:hint="eastAsia"/>
          <w:sz w:val="24"/>
          <w:szCs w:val="24"/>
          <w:highlight w:val="none"/>
        </w:rPr>
        <w:t>十、合同生效、变更、解除的条件</w:t>
      </w:r>
      <w:bookmarkEnd w:id="11"/>
    </w:p>
    <w:p w14:paraId="4EC02C6E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1、本合同自双方法定代表人签字并加盖公章后生效，合同履行完毕自行终止。</w:t>
      </w:r>
    </w:p>
    <w:p w14:paraId="0B134E3A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2、本合同的变更必须经过甲乙双方共同协商并签订补充协议，补</w:t>
      </w:r>
      <w:r>
        <w:rPr>
          <w:rFonts w:hint="eastAsia" w:ascii="仿宋" w:hAnsi="仿宋" w:eastAsia="仿宋" w:cs="仿宋"/>
          <w:highlight w:val="none"/>
          <w:lang w:val="en-US" w:eastAsia="zh-CN"/>
        </w:rPr>
        <w:t>充</w:t>
      </w:r>
      <w:r>
        <w:rPr>
          <w:rFonts w:hint="eastAsia" w:ascii="仿宋" w:hAnsi="仿宋" w:eastAsia="仿宋" w:cs="仿宋"/>
          <w:highlight w:val="none"/>
        </w:rPr>
        <w:t>协议与本合同具有同等法律效力。</w:t>
      </w:r>
    </w:p>
    <w:p w14:paraId="5D857EE2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3、成果所有权归甲方所有，未经甲方同意不得提供他人使用。</w:t>
      </w:r>
    </w:p>
    <w:p w14:paraId="2771A389">
      <w:pPr>
        <w:pStyle w:val="3"/>
        <w:ind w:left="0"/>
        <w:rPr>
          <w:rFonts w:hint="eastAsia"/>
          <w:sz w:val="24"/>
          <w:szCs w:val="24"/>
          <w:highlight w:val="none"/>
        </w:rPr>
      </w:pPr>
      <w:bookmarkStart w:id="12" w:name="_Toc28033"/>
      <w:r>
        <w:rPr>
          <w:rFonts w:hint="eastAsia"/>
          <w:sz w:val="24"/>
          <w:szCs w:val="24"/>
          <w:highlight w:val="none"/>
        </w:rPr>
        <w:t>十一、解决争议的方法</w:t>
      </w:r>
      <w:bookmarkEnd w:id="12"/>
    </w:p>
    <w:p w14:paraId="6265983C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本合同在执行过程中，如发生任何争议、纠纷或因违反、终止本合同引起的对损失、损害的任何赔偿，应事先协商，在乙方和甲方之间达成一致意见。如未能达成一致可以采取诉讼,诉讼机构为项目所在地人民法院。</w:t>
      </w:r>
    </w:p>
    <w:p w14:paraId="674F6E17">
      <w:pPr>
        <w:pStyle w:val="3"/>
        <w:ind w:left="0"/>
        <w:rPr>
          <w:rFonts w:hint="eastAsia"/>
          <w:sz w:val="24"/>
          <w:szCs w:val="24"/>
          <w:highlight w:val="none"/>
        </w:rPr>
      </w:pPr>
      <w:bookmarkStart w:id="13" w:name="_Toc15985"/>
      <w:r>
        <w:rPr>
          <w:rFonts w:hint="eastAsia"/>
          <w:sz w:val="24"/>
          <w:szCs w:val="24"/>
          <w:highlight w:val="none"/>
        </w:rPr>
        <w:t>十二、不可抗力</w:t>
      </w:r>
      <w:bookmarkEnd w:id="13"/>
    </w:p>
    <w:p w14:paraId="602D3A04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1、本合同项下的“不可抗力”是指不能预见，不能避免且不能克服的客观情况，使得本合同一方当事人无法履行合同义务，如战争、严重火灾、水灾、风灾和地震以及其他经三方同意属于不可抗力的事故。</w:t>
      </w:r>
    </w:p>
    <w:p w14:paraId="4B80C302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2、一方因不可抗力不能履行合同或不能完全履行合同的，根据不可抗力的影响，可以部分或全部地免除责任。由于不可抗力原因致使项目开发中断时，项目交付日期及付款日期相应顺延，各方不承担违约责任。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030DEB03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3、如不可抗力时间延续90天以上的，各方通过协商达成在合理的时间内继续履行合同，或部分履行合同，或终止合同的履行。</w:t>
      </w:r>
    </w:p>
    <w:p w14:paraId="3E41C96F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4、一方迟延履行后发生不可抗力的，不能免除责任。</w:t>
      </w:r>
    </w:p>
    <w:p w14:paraId="4A3DC9B0">
      <w:pPr>
        <w:pStyle w:val="3"/>
        <w:ind w:left="0"/>
        <w:rPr>
          <w:rFonts w:hint="eastAsia"/>
          <w:sz w:val="24"/>
          <w:szCs w:val="24"/>
          <w:highlight w:val="none"/>
        </w:rPr>
      </w:pPr>
      <w:bookmarkStart w:id="14" w:name="_Toc26522"/>
      <w:r>
        <w:rPr>
          <w:rFonts w:hint="eastAsia"/>
          <w:sz w:val="24"/>
          <w:szCs w:val="24"/>
          <w:highlight w:val="none"/>
        </w:rPr>
        <w:t>十三、保密条款</w:t>
      </w:r>
      <w:bookmarkEnd w:id="14"/>
    </w:p>
    <w:p w14:paraId="0C61AC31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双方承诺，除非法律另有规定或双方一致同意，任何一方不得将本协议的内容向第三方透露，否则，应向对方承担相应的违约责任。</w:t>
      </w:r>
    </w:p>
    <w:p w14:paraId="0160D0DD">
      <w:pPr>
        <w:shd w:val="clear" w:color="auto" w:fill="FFFFFF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kern w:val="28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双方同意在本协议期限内或之后，（1）只为本协议目的而使用属于对方的保密资料，（2）在未得到对方书面同意之前，不将对方的保密资料披露给第三方，以及（3）如果披露方要求，接受方应立即将任何被要求退还的保密资料退还给披露方。</w:t>
      </w:r>
    </w:p>
    <w:p w14:paraId="36B22241">
      <w:pPr>
        <w:shd w:val="clear" w:color="auto" w:fill="FFFFFF"/>
        <w:snapToGrid w:val="0"/>
        <w:spacing w:line="360" w:lineRule="auto"/>
        <w:ind w:firstLine="480" w:firstLineChars="200"/>
        <w:rPr>
          <w:rFonts w:hint="eastAsia"/>
          <w:highlight w:val="none"/>
        </w:rPr>
      </w:pPr>
      <w:r>
        <w:rPr>
          <w:rFonts w:hint="eastAsia" w:ascii="仿宋_GB2312" w:hAnsi="仿宋_GB2312" w:eastAsia="仿宋_GB2312" w:cs="仿宋_GB2312"/>
          <w:kern w:val="28"/>
          <w:highlight w:val="none"/>
        </w:rPr>
        <w:t>本协议中，保密资料是指任何一方所有的与披露方现有的潜在的业务、运营或财务状况直接或间接有关的书面、演示、电子或其他形式的资料（包括：价格、市场营销计划、客户名单、相关数据等），但不包括以下资料：（1）为公众所知的；（2）接受方通过没有保密义务的独立渠道合法获得的资料；（3）接受方在本协议保密条款签订之前已经知道的资料；（4）因法律行为（包括诉讼、仲裁等行为）和执行国家政策的需要进行披露的资料。</w:t>
      </w:r>
    </w:p>
    <w:p w14:paraId="1C9B5610">
      <w:pPr>
        <w:spacing w:line="360" w:lineRule="auto"/>
        <w:jc w:val="left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</w:rPr>
        <w:t>十四、本合同壹式</w:t>
      </w:r>
      <w:r>
        <w:rPr>
          <w:rFonts w:hint="eastAsia" w:ascii="仿宋" w:hAnsi="仿宋" w:eastAsia="仿宋" w:cs="仿宋"/>
          <w:b/>
          <w:bCs/>
          <w:i/>
          <w:iCs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szCs w:val="24"/>
          <w:highlight w:val="none"/>
        </w:rPr>
        <w:t>份，甲乙双方各执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szCs w:val="24"/>
          <w:highlight w:val="none"/>
        </w:rPr>
        <w:t>份，具有同等法律效力。</w:t>
      </w:r>
    </w:p>
    <w:p w14:paraId="75B6365D">
      <w:pPr>
        <w:spacing w:line="360" w:lineRule="auto"/>
        <w:ind w:left="4320" w:hanging="4320" w:hangingChars="1793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（以下无正文）</w:t>
      </w:r>
    </w:p>
    <w:p w14:paraId="394BD925">
      <w:pPr>
        <w:tabs>
          <w:tab w:val="left" w:pos="2100"/>
          <w:tab w:val="left" w:pos="4200"/>
        </w:tabs>
        <w:spacing w:line="480" w:lineRule="auto"/>
        <w:ind w:left="-99" w:leftChars="-135" w:right="-578" w:rightChars="-241" w:hanging="225" w:hangingChars="94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  甲方：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0"/>
          <w:szCs w:val="24"/>
          <w:highlight w:val="none"/>
        </w:rPr>
        <w:t xml:space="preserve">                      </w:t>
      </w:r>
      <w:r>
        <w:rPr>
          <w:rFonts w:hint="eastAsia" w:ascii="仿宋" w:hAnsi="仿宋" w:eastAsia="仿宋" w:cs="仿宋"/>
          <w:spacing w:val="-20"/>
          <w:szCs w:val="24"/>
          <w:highlight w:val="none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仿宋"/>
          <w:szCs w:val="24"/>
          <w:highlight w:val="none"/>
        </w:rPr>
        <w:t xml:space="preserve">乙方： </w:t>
      </w:r>
    </w:p>
    <w:p w14:paraId="675217A1">
      <w:pPr>
        <w:tabs>
          <w:tab w:val="left" w:pos="2100"/>
          <w:tab w:val="left" w:pos="4200"/>
        </w:tabs>
        <w:spacing w:line="480" w:lineRule="auto"/>
        <w:ind w:left="4320" w:right="-578" w:rightChars="-241" w:hanging="4320" w:hangingChars="18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                   （盖章）                        （盖章）</w:t>
      </w:r>
    </w:p>
    <w:p w14:paraId="2EF69A41">
      <w:pPr>
        <w:tabs>
          <w:tab w:val="left" w:pos="2100"/>
          <w:tab w:val="left" w:pos="4200"/>
        </w:tabs>
        <w:spacing w:line="480" w:lineRule="auto"/>
        <w:ind w:right="-578" w:rightChars="-241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法定代表人或委托代理人：                   法定代表人或委托代理人：</w:t>
      </w:r>
    </w:p>
    <w:p w14:paraId="33DFFA27">
      <w:pPr>
        <w:tabs>
          <w:tab w:val="left" w:pos="2100"/>
          <w:tab w:val="left" w:pos="4200"/>
        </w:tabs>
        <w:spacing w:line="480" w:lineRule="auto"/>
        <w:ind w:left="-103" w:leftChars="-171" w:right="-578" w:rightChars="-241" w:hanging="307" w:hangingChars="128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             （签字或盖章）                            （签字或盖章）                      </w:t>
      </w:r>
    </w:p>
    <w:p w14:paraId="0863BBC0">
      <w:pPr>
        <w:tabs>
          <w:tab w:val="left" w:pos="2100"/>
          <w:tab w:val="left" w:pos="4200"/>
        </w:tabs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地    址: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Cs w:val="24"/>
          <w:highlight w:val="none"/>
        </w:rPr>
        <w:t xml:space="preserve">       地    址： </w:t>
      </w:r>
    </w:p>
    <w:p w14:paraId="3EA4A8E9">
      <w:pPr>
        <w:tabs>
          <w:tab w:val="left" w:pos="2100"/>
          <w:tab w:val="left" w:pos="4200"/>
        </w:tabs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邮政编码：710500                            邮政编码：</w:t>
      </w:r>
    </w:p>
    <w:p w14:paraId="41495863">
      <w:pPr>
        <w:tabs>
          <w:tab w:val="left" w:pos="2100"/>
          <w:tab w:val="left" w:pos="4200"/>
        </w:tabs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电    话：                                  电    话： </w:t>
      </w:r>
    </w:p>
    <w:p w14:paraId="4E20AF1C">
      <w:pPr>
        <w:tabs>
          <w:tab w:val="left" w:pos="2100"/>
          <w:tab w:val="left" w:pos="4200"/>
        </w:tabs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传    真：                                  传    真： </w:t>
      </w:r>
    </w:p>
    <w:p w14:paraId="203ACAA2">
      <w:pPr>
        <w:tabs>
          <w:tab w:val="left" w:pos="2100"/>
          <w:tab w:val="left" w:pos="4200"/>
        </w:tabs>
        <w:spacing w:line="480" w:lineRule="auto"/>
        <w:ind w:right="-578" w:rightChars="-241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15" w:name="_GoBack"/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开户银行：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         开户单位：</w:t>
      </w:r>
      <w:r>
        <w:rPr>
          <w:rFonts w:hint="eastAsia" w:ascii="仿宋" w:hAnsi="仿宋" w:eastAsia="仿宋" w:cs="仿宋"/>
          <w:color w:val="auto"/>
          <w:spacing w:val="-20"/>
          <w:szCs w:val="24"/>
          <w:highlight w:val="none"/>
        </w:rPr>
        <w:t xml:space="preserve"> </w:t>
      </w:r>
    </w:p>
    <w:p w14:paraId="43C21917">
      <w:pPr>
        <w:tabs>
          <w:tab w:val="left" w:pos="2100"/>
          <w:tab w:val="left" w:pos="4200"/>
        </w:tabs>
        <w:spacing w:line="480" w:lineRule="auto"/>
        <w:ind w:right="-578" w:rightChars="-24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银行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账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号：          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银行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账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号：</w:t>
      </w:r>
    </w:p>
    <w:bookmarkEnd w:id="15"/>
    <w:p w14:paraId="007CE58C">
      <w:pPr>
        <w:tabs>
          <w:tab w:val="left" w:pos="2100"/>
          <w:tab w:val="left" w:pos="4200"/>
        </w:tabs>
        <w:spacing w:line="480" w:lineRule="auto"/>
        <w:ind w:right="-578" w:rightChars="-241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签约地点：                                  签约地点：</w:t>
      </w:r>
    </w:p>
    <w:p w14:paraId="48A35AAC">
      <w:pPr>
        <w:tabs>
          <w:tab w:val="left" w:pos="2100"/>
          <w:tab w:val="left" w:pos="4200"/>
        </w:tabs>
        <w:spacing w:line="480" w:lineRule="auto"/>
        <w:ind w:right="-578" w:rightChars="-241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签约时间：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202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Cs w:val="24"/>
          <w:highlight w:val="none"/>
        </w:rPr>
        <w:t xml:space="preserve">  月  日                    签约时间：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202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Cs w:val="24"/>
          <w:highlight w:val="none"/>
        </w:rPr>
        <w:t xml:space="preserve">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22F83D"/>
    <w:multiLevelType w:val="singleLevel"/>
    <w:tmpl w:val="8622F83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C2902"/>
    <w:rsid w:val="089C2902"/>
    <w:rsid w:val="287039D2"/>
    <w:rsid w:val="2F8623F5"/>
    <w:rsid w:val="3D227DF4"/>
    <w:rsid w:val="4CAB3DF4"/>
    <w:rsid w:val="7F92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284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2653</Words>
  <Characters>2738</Characters>
  <Lines>0</Lines>
  <Paragraphs>0</Paragraphs>
  <TotalTime>2</TotalTime>
  <ScaleCrop>false</ScaleCrop>
  <LinksUpToDate>false</LinksUpToDate>
  <CharactersWithSpaces>3294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2025-05-07T07:11:00Z</dcterms:created>
  <dc:creator>QQQQ</dc:creator>
  <cp:lastModifiedBy>QQQQ</cp:lastModifiedBy>
  <dcterms:modified xsi:type="dcterms:W3CDTF">2025-05-12T09:11:49Z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9D6C250F3147481E87B6F3F824953258_11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