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BDC0C">
      <w:pPr>
        <w:numPr>
          <w:ilvl w:val="0"/>
          <w:numId w:val="0"/>
        </w:numPr>
        <w:tabs>
          <w:tab w:val="left" w:pos="9030"/>
        </w:tabs>
        <w:snapToGrid w:val="0"/>
        <w:spacing w:line="360" w:lineRule="auto"/>
        <w:ind w:right="-62" w:rightChars="0"/>
        <w:jc w:val="center"/>
        <w:outlineLvl w:val="0"/>
        <w:rPr>
          <w:rFonts w:hint="eastAsia" w:ascii="宋体" w:hAnsi="宋体" w:cs="宋体"/>
          <w:b/>
          <w:bCs/>
          <w:sz w:val="44"/>
          <w:szCs w:val="44"/>
          <w:lang w:val="zh-CN"/>
        </w:rPr>
      </w:pPr>
      <w:bookmarkStart w:id="0" w:name="_Toc6436"/>
      <w:bookmarkStart w:id="1" w:name="_Toc14547"/>
      <w:r>
        <w:rPr>
          <w:rFonts w:hint="eastAsia" w:ascii="宋体" w:hAnsi="宋体" w:cs="宋体"/>
          <w:b/>
          <w:bCs/>
          <w:sz w:val="44"/>
          <w:szCs w:val="44"/>
          <w:lang w:val="zh-CN"/>
        </w:rPr>
        <w:t>拟签订的合同条款文本</w:t>
      </w:r>
      <w:bookmarkEnd w:id="0"/>
      <w:bookmarkEnd w:id="1"/>
    </w:p>
    <w:p w14:paraId="56003738">
      <w:pPr>
        <w:pStyle w:val="7"/>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本合同仅供参考，具体以最终实际签订合同为准</w:t>
      </w:r>
      <w:r>
        <w:rPr>
          <w:rFonts w:hint="eastAsia" w:ascii="仿宋_GB2312" w:hAnsi="仿宋_GB2312" w:eastAsia="仿宋_GB2312" w:cs="仿宋_GB2312"/>
          <w:sz w:val="28"/>
          <w:szCs w:val="28"/>
          <w:lang w:eastAsia="zh-CN"/>
        </w:rPr>
        <w:t>）</w:t>
      </w:r>
    </w:p>
    <w:p w14:paraId="7CFE5B23">
      <w:pPr>
        <w:pStyle w:val="5"/>
        <w:spacing w:line="360" w:lineRule="auto"/>
        <w:ind w:firstLine="0"/>
        <w:jc w:val="center"/>
        <w:outlineLvl w:val="0"/>
        <w:rPr>
          <w:rFonts w:hint="eastAsia" w:ascii="仿宋_GB2312" w:hAnsi="仿宋_GB2312" w:eastAsia="仿宋_GB2312" w:cs="仿宋_GB2312"/>
          <w:b/>
          <w:sz w:val="44"/>
          <w:szCs w:val="44"/>
        </w:rPr>
      </w:pPr>
      <w:bookmarkStart w:id="2" w:name="_Toc20191"/>
    </w:p>
    <w:p w14:paraId="41AA3131">
      <w:pPr>
        <w:pStyle w:val="5"/>
        <w:spacing w:line="360" w:lineRule="auto"/>
        <w:ind w:firstLine="0"/>
        <w:jc w:val="center"/>
        <w:outlineLvl w:val="0"/>
        <w:rPr>
          <w:rFonts w:hint="eastAsia" w:ascii="仿宋_GB2312" w:hAnsi="仿宋_GB2312" w:eastAsia="仿宋_GB2312" w:cs="仿宋_GB2312"/>
          <w:b/>
          <w:sz w:val="44"/>
          <w:szCs w:val="44"/>
        </w:rPr>
      </w:pPr>
    </w:p>
    <w:p w14:paraId="292E8DD1">
      <w:pPr>
        <w:pStyle w:val="5"/>
        <w:spacing w:line="360" w:lineRule="auto"/>
        <w:ind w:firstLine="0"/>
        <w:jc w:val="center"/>
        <w:outlineLvl w:val="0"/>
        <w:rPr>
          <w:rFonts w:hint="eastAsia" w:ascii="仿宋_GB2312" w:hAnsi="仿宋_GB2312" w:eastAsia="仿宋_GB2312" w:cs="仿宋_GB2312"/>
          <w:b/>
          <w:sz w:val="44"/>
          <w:szCs w:val="44"/>
        </w:rPr>
      </w:pPr>
    </w:p>
    <w:p w14:paraId="70FF37D3">
      <w:pPr>
        <w:pStyle w:val="5"/>
        <w:spacing w:line="360" w:lineRule="auto"/>
        <w:ind w:firstLine="0"/>
        <w:jc w:val="center"/>
        <w:outlineLvl w:val="0"/>
        <w:rPr>
          <w:rFonts w:hint="eastAsia" w:ascii="仿宋_GB2312" w:hAnsi="仿宋_GB2312" w:eastAsia="仿宋_GB2312" w:cs="仿宋_GB2312"/>
          <w:b/>
          <w:sz w:val="44"/>
          <w:szCs w:val="44"/>
        </w:rPr>
      </w:pPr>
      <w:r>
        <w:rPr>
          <w:rFonts w:hint="eastAsia" w:ascii="仿宋_GB2312" w:hAnsi="仿宋_GB2312" w:eastAsia="仿宋_GB2312" w:cs="仿宋_GB2312"/>
          <w:b/>
          <w:sz w:val="44"/>
          <w:szCs w:val="44"/>
        </w:rPr>
        <w:t>西安高新区市容环卫绿化综合管理服务项目</w:t>
      </w:r>
    </w:p>
    <w:p w14:paraId="0FB26E33">
      <w:pPr>
        <w:pStyle w:val="5"/>
        <w:spacing w:line="360" w:lineRule="auto"/>
        <w:ind w:firstLine="0"/>
        <w:jc w:val="center"/>
        <w:outlineLvl w:val="0"/>
        <w:rPr>
          <w:rFonts w:hint="eastAsia" w:ascii="仿宋_GB2312" w:hAnsi="仿宋_GB2312" w:eastAsia="仿宋_GB2312" w:cs="仿宋_GB2312"/>
          <w:b/>
          <w:sz w:val="44"/>
          <w:szCs w:val="44"/>
        </w:rPr>
      </w:pPr>
      <w:bookmarkStart w:id="3" w:name="_Toc5131"/>
      <w:r>
        <w:rPr>
          <w:rFonts w:hint="eastAsia" w:ascii="仿宋_GB2312" w:hAnsi="仿宋_GB2312" w:eastAsia="仿宋_GB2312" w:cs="仿宋_GB2312"/>
          <w:b/>
          <w:sz w:val="44"/>
          <w:szCs w:val="44"/>
        </w:rPr>
        <w:t>（2025年度）</w:t>
      </w:r>
      <w:bookmarkEnd w:id="3"/>
    </w:p>
    <w:p w14:paraId="66628A18">
      <w:pPr>
        <w:pStyle w:val="5"/>
        <w:spacing w:line="360" w:lineRule="auto"/>
        <w:ind w:firstLine="0"/>
        <w:jc w:val="center"/>
        <w:outlineLvl w:val="0"/>
        <w:rPr>
          <w:rFonts w:hint="eastAsia" w:ascii="仿宋_GB2312" w:hAnsi="仿宋_GB2312" w:eastAsia="仿宋_GB2312" w:cs="仿宋_GB2312"/>
          <w:b/>
          <w:sz w:val="44"/>
          <w:szCs w:val="44"/>
          <w:u w:val="single"/>
        </w:rPr>
      </w:pPr>
    </w:p>
    <w:p w14:paraId="453D369D">
      <w:pPr>
        <w:pStyle w:val="5"/>
        <w:spacing w:line="360" w:lineRule="auto"/>
        <w:ind w:firstLine="0"/>
        <w:jc w:val="center"/>
        <w:outlineLvl w:val="0"/>
        <w:rPr>
          <w:rFonts w:hint="eastAsia" w:ascii="仿宋_GB2312" w:hAnsi="仿宋_GB2312" w:eastAsia="仿宋_GB2312" w:cs="仿宋_GB2312"/>
          <w:b/>
          <w:sz w:val="44"/>
          <w:szCs w:val="44"/>
        </w:rPr>
      </w:pPr>
      <w:bookmarkStart w:id="4" w:name="_Toc26514"/>
      <w:r>
        <w:rPr>
          <w:rFonts w:hint="eastAsia" w:ascii="仿宋_GB2312" w:hAnsi="仿宋_GB2312" w:eastAsia="仿宋_GB2312" w:cs="仿宋_GB2312"/>
          <w:b/>
          <w:sz w:val="44"/>
          <w:szCs w:val="44"/>
          <w:u w:val="single"/>
          <w:lang w:val="en-US" w:eastAsia="zh-CN"/>
        </w:rPr>
        <w:t>A</w:t>
      </w:r>
      <w:r>
        <w:rPr>
          <w:rFonts w:hint="eastAsia" w:ascii="仿宋_GB2312" w:hAnsi="仿宋_GB2312" w:eastAsia="仿宋_GB2312" w:cs="仿宋_GB2312"/>
          <w:b/>
          <w:sz w:val="44"/>
          <w:szCs w:val="44"/>
        </w:rPr>
        <w:t>标段</w:t>
      </w:r>
      <w:bookmarkEnd w:id="2"/>
      <w:bookmarkStart w:id="5" w:name="_Toc3644"/>
      <w:r>
        <w:rPr>
          <w:rFonts w:hint="eastAsia" w:ascii="仿宋_GB2312" w:hAnsi="仿宋_GB2312" w:eastAsia="仿宋_GB2312" w:cs="仿宋_GB2312"/>
          <w:b/>
          <w:sz w:val="44"/>
          <w:szCs w:val="44"/>
        </w:rPr>
        <w:t>合同</w:t>
      </w:r>
      <w:bookmarkEnd w:id="4"/>
      <w:bookmarkEnd w:id="5"/>
    </w:p>
    <w:p w14:paraId="7C143E91">
      <w:pPr>
        <w:tabs>
          <w:tab w:val="left" w:pos="3570"/>
        </w:tabs>
        <w:spacing w:line="560" w:lineRule="exact"/>
        <w:ind w:firstLine="211"/>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ab/>
      </w:r>
    </w:p>
    <w:p w14:paraId="3AB00818">
      <w:pPr>
        <w:spacing w:line="560" w:lineRule="exact"/>
        <w:ind w:firstLine="211"/>
        <w:jc w:val="center"/>
        <w:rPr>
          <w:rFonts w:hint="eastAsia" w:ascii="仿宋_GB2312" w:hAnsi="仿宋_GB2312" w:eastAsia="仿宋_GB2312" w:cs="仿宋_GB2312"/>
          <w:b/>
          <w:sz w:val="32"/>
          <w:szCs w:val="32"/>
        </w:rPr>
      </w:pPr>
    </w:p>
    <w:p w14:paraId="6DAD59DB">
      <w:pPr>
        <w:spacing w:line="560" w:lineRule="exact"/>
        <w:ind w:firstLine="211"/>
        <w:jc w:val="center"/>
        <w:rPr>
          <w:rFonts w:hint="eastAsia" w:ascii="仿宋_GB2312" w:hAnsi="仿宋_GB2312" w:eastAsia="仿宋_GB2312" w:cs="仿宋_GB2312"/>
          <w:b/>
          <w:sz w:val="32"/>
          <w:szCs w:val="32"/>
        </w:rPr>
      </w:pPr>
    </w:p>
    <w:p w14:paraId="355B647C">
      <w:pPr>
        <w:spacing w:line="560" w:lineRule="exact"/>
        <w:ind w:firstLine="211"/>
        <w:jc w:val="center"/>
        <w:rPr>
          <w:rFonts w:hint="eastAsia" w:ascii="仿宋_GB2312" w:hAnsi="仿宋_GB2312" w:eastAsia="仿宋_GB2312" w:cs="仿宋_GB2312"/>
          <w:b/>
          <w:sz w:val="32"/>
          <w:szCs w:val="32"/>
        </w:rPr>
      </w:pPr>
    </w:p>
    <w:p w14:paraId="20F2BCA0">
      <w:pPr>
        <w:pStyle w:val="9"/>
        <w:spacing w:line="560" w:lineRule="exact"/>
        <w:rPr>
          <w:rFonts w:hint="eastAsia" w:ascii="仿宋_GB2312" w:hAnsi="仿宋_GB2312" w:eastAsia="仿宋_GB2312" w:cs="仿宋_GB2312"/>
          <w:sz w:val="32"/>
          <w:szCs w:val="32"/>
        </w:rPr>
      </w:pPr>
    </w:p>
    <w:p w14:paraId="78C5F37F">
      <w:pPr>
        <w:pStyle w:val="9"/>
        <w:spacing w:line="560" w:lineRule="exact"/>
        <w:rPr>
          <w:rFonts w:hint="eastAsia" w:ascii="仿宋_GB2312" w:hAnsi="仿宋_GB2312" w:eastAsia="仿宋_GB2312" w:cs="仿宋_GB2312"/>
          <w:sz w:val="32"/>
          <w:szCs w:val="32"/>
        </w:rPr>
      </w:pPr>
    </w:p>
    <w:p w14:paraId="69C42EA8">
      <w:pPr>
        <w:adjustRightInd w:val="0"/>
        <w:snapToGrid w:val="0"/>
        <w:spacing w:line="360" w:lineRule="auto"/>
        <w:ind w:left="1079" w:leftChars="114" w:hanging="840" w:hangingChars="300"/>
        <w:jc w:val="left"/>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采购人（甲方）：</w:t>
      </w:r>
      <w:r>
        <w:rPr>
          <w:rFonts w:hint="eastAsia" w:ascii="仿宋_GB2312" w:hAnsi="仿宋_GB2312" w:eastAsia="仿宋_GB2312" w:cs="仿宋_GB2312"/>
          <w:sz w:val="28"/>
          <w:szCs w:val="28"/>
          <w:u w:val="single"/>
        </w:rPr>
        <w:t xml:space="preserve">西安高新技术产业开发区城市管理和综合执法局 </w:t>
      </w:r>
    </w:p>
    <w:p w14:paraId="4EA2D45F">
      <w:pPr>
        <w:adjustRightInd w:val="0"/>
        <w:snapToGrid w:val="0"/>
        <w:spacing w:line="360" w:lineRule="auto"/>
        <w:ind w:left="1079" w:leftChars="114" w:hanging="840" w:hanging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28"/>
          <w:szCs w:val="28"/>
        </w:rPr>
        <w:t>中标人（乙方）：</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32"/>
          <w:szCs w:val="32"/>
          <w:u w:val="single"/>
        </w:rPr>
        <w:t xml:space="preserve">    </w:t>
      </w:r>
    </w:p>
    <w:p w14:paraId="137E6436">
      <w:pPr>
        <w:pStyle w:val="9"/>
        <w:spacing w:line="560" w:lineRule="exact"/>
        <w:rPr>
          <w:rFonts w:hint="eastAsia" w:ascii="仿宋_GB2312" w:hAnsi="仿宋_GB2312" w:eastAsia="仿宋_GB2312" w:cs="仿宋_GB2312"/>
          <w:sz w:val="32"/>
          <w:szCs w:val="32"/>
        </w:rPr>
      </w:pPr>
    </w:p>
    <w:p w14:paraId="668D81A0">
      <w:pPr>
        <w:pStyle w:val="9"/>
        <w:spacing w:line="56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年   月   日</w:t>
      </w:r>
    </w:p>
    <w:p w14:paraId="0DB944DB">
      <w:pPr>
        <w:pStyle w:val="9"/>
        <w:spacing w:line="560" w:lineRule="exact"/>
        <w:jc w:val="center"/>
        <w:rPr>
          <w:rFonts w:hint="eastAsia" w:ascii="仿宋_GB2312" w:hAnsi="仿宋_GB2312" w:eastAsia="仿宋_GB2312" w:cs="仿宋_GB2312"/>
          <w:b/>
          <w:bCs/>
          <w:sz w:val="24"/>
          <w:szCs w:val="24"/>
        </w:rPr>
      </w:pPr>
    </w:p>
    <w:p w14:paraId="05E526EF">
      <w:pPr>
        <w:pStyle w:val="9"/>
        <w:spacing w:line="560" w:lineRule="exact"/>
        <w:jc w:val="center"/>
        <w:rPr>
          <w:rFonts w:hint="eastAsia" w:ascii="仿宋_GB2312" w:hAnsi="仿宋_GB2312" w:eastAsia="仿宋_GB2312" w:cs="仿宋_GB2312"/>
          <w:b/>
          <w:bCs/>
          <w:sz w:val="24"/>
          <w:szCs w:val="24"/>
        </w:rPr>
      </w:pPr>
    </w:p>
    <w:p w14:paraId="2DCE05D7">
      <w:pPr>
        <w:pStyle w:val="5"/>
        <w:spacing w:line="560" w:lineRule="exact"/>
        <w:ind w:firstLine="723"/>
        <w:jc w:val="center"/>
        <w:outlineLvl w:val="0"/>
        <w:rPr>
          <w:rFonts w:hint="eastAsia" w:ascii="仿宋_GB2312" w:hAnsi="仿宋_GB2312" w:eastAsia="仿宋_GB2312" w:cs="仿宋_GB2312"/>
          <w:b/>
          <w:sz w:val="24"/>
          <w:szCs w:val="24"/>
        </w:rPr>
        <w:sectPr>
          <w:pgSz w:w="11905" w:h="16838"/>
          <w:pgMar w:top="1440" w:right="1080" w:bottom="1440" w:left="1080" w:header="850" w:footer="975" w:gutter="0"/>
          <w:cols w:space="720" w:num="1"/>
          <w:docGrid w:linePitch="312" w:charSpace="0"/>
        </w:sectPr>
      </w:pPr>
    </w:p>
    <w:p w14:paraId="14349A5D">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为提高西安高新区市容环境卫生、</w:t>
      </w:r>
      <w:r>
        <w:rPr>
          <w:rFonts w:hint="eastAsia" w:ascii="仿宋_GB2312" w:hAnsi="仿宋_GB2312" w:eastAsia="仿宋_GB2312" w:cs="仿宋_GB2312"/>
          <w:spacing w:val="-3"/>
          <w:sz w:val="24"/>
          <w:szCs w:val="24"/>
        </w:rPr>
        <w:t>绿化养护</w:t>
      </w:r>
      <w:r>
        <w:rPr>
          <w:rFonts w:hint="eastAsia" w:ascii="仿宋_GB2312" w:hAnsi="仿宋_GB2312" w:eastAsia="仿宋_GB2312" w:cs="仿宋_GB2312"/>
          <w:sz w:val="24"/>
          <w:szCs w:val="24"/>
        </w:rPr>
        <w:t>管理水平，营造良好的投资和人居生活环境，实现品质高新最美丽、最干净城区目标，按照《西安市市容环境卫生管理条例》、</w:t>
      </w:r>
      <w:r>
        <w:rPr>
          <w:rFonts w:hint="eastAsia" w:ascii="仿宋_GB2312" w:hAnsi="仿宋_GB2312" w:eastAsia="仿宋_GB2312" w:cs="仿宋_GB2312"/>
          <w:spacing w:val="-1"/>
          <w:sz w:val="24"/>
          <w:szCs w:val="24"/>
        </w:rPr>
        <w:t>《</w:t>
      </w:r>
      <w:r>
        <w:rPr>
          <w:rFonts w:hint="eastAsia" w:ascii="仿宋_GB2312" w:hAnsi="仿宋_GB2312" w:eastAsia="仿宋_GB2312" w:cs="仿宋_GB2312"/>
          <w:sz w:val="24"/>
          <w:szCs w:val="24"/>
        </w:rPr>
        <w:t>西安市城市绿化条例》、《西安高新区环卫保洁精细化作业指引及考核办法》、《高新区绿化养护管理标准2025版》，经甲、乙双方在平等自愿的基础上，本着公平、公正的原则共同协商，就乙方承揽甲方高新区市容环卫、绿化养护项目的事宜达成一致，通过招标程序最终确定由为本项目承包方。特订立本合同，以资共同遵守。</w:t>
      </w:r>
    </w:p>
    <w:p w14:paraId="3D4C45A6">
      <w:pPr>
        <w:adjustRightInd w:val="0"/>
        <w:snapToGrid w:val="0"/>
        <w:spacing w:line="360" w:lineRule="auto"/>
        <w:ind w:left="964" w:hanging="964" w:hangingChars="4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第一章</w:t>
      </w:r>
      <w:r>
        <w:rPr>
          <w:rFonts w:hint="eastAsia" w:ascii="仿宋_GB2312" w:hAnsi="仿宋_GB2312" w:eastAsia="仿宋_GB2312" w:cs="仿宋_GB2312"/>
          <w:b/>
          <w:sz w:val="24"/>
          <w:szCs w:val="24"/>
        </w:rPr>
        <w:tab/>
      </w:r>
      <w:r>
        <w:rPr>
          <w:rFonts w:hint="eastAsia" w:ascii="仿宋_GB2312" w:hAnsi="仿宋_GB2312" w:eastAsia="仿宋_GB2312" w:cs="仿宋_GB2312"/>
          <w:b/>
          <w:sz w:val="24"/>
          <w:szCs w:val="24"/>
        </w:rPr>
        <w:t>总    则</w:t>
      </w:r>
    </w:p>
    <w:p w14:paraId="1461A8EF">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第一条 承包单位必须坚决贯彻《西安市市容环境卫生管理条例》、</w:t>
      </w:r>
      <w:r>
        <w:rPr>
          <w:rFonts w:hint="eastAsia" w:ascii="仿宋_GB2312" w:hAnsi="仿宋_GB2312" w:eastAsia="仿宋_GB2312" w:cs="仿宋_GB2312"/>
          <w:spacing w:val="-1"/>
          <w:sz w:val="24"/>
          <w:szCs w:val="24"/>
        </w:rPr>
        <w:t>《</w:t>
      </w:r>
      <w:r>
        <w:rPr>
          <w:rFonts w:hint="eastAsia" w:ascii="仿宋_GB2312" w:hAnsi="仿宋_GB2312" w:eastAsia="仿宋_GB2312" w:cs="仿宋_GB2312"/>
          <w:sz w:val="24"/>
          <w:szCs w:val="24"/>
        </w:rPr>
        <w:t>西安市城市绿化条例》、《城市道路清扫保洁技术规范》、《高新区绿化养护管理标准2025版》、《西安高新区环卫保洁精细化作业指引及考核办法》、《西安高新区城市道路清扫保洁质量考核办法》、《西安市城市园林绿化植物修剪技术规程》《中华人民共和国农药管理条例》、《中华人民共和国城市容貌标准》等各项内容由并遵守省、市及高新区制定的其它各项市容环卫、绿化养护管理规定。</w:t>
      </w:r>
    </w:p>
    <w:p w14:paraId="2FDD0446">
      <w:pPr>
        <w:adjustRightInd w:val="0"/>
        <w:snapToGrid w:val="0"/>
        <w:spacing w:line="360" w:lineRule="auto"/>
        <w:ind w:left="964" w:hanging="964" w:hangingChars="4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第二章  承包的主要指标</w:t>
      </w:r>
    </w:p>
    <w:p w14:paraId="1CCAEA03">
      <w:pPr>
        <w:adjustRightInd w:val="0"/>
        <w:snapToGrid w:val="0"/>
        <w:spacing w:line="360" w:lineRule="auto"/>
        <w:ind w:left="210" w:firstLine="240" w:firstLineChars="1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第二条 承包项目</w:t>
      </w:r>
    </w:p>
    <w:p w14:paraId="4F46ECB9">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1、道路清扫保洁服务</w:t>
      </w:r>
    </w:p>
    <w:p w14:paraId="24E144F2">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条（段）道路共计</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 m</w:t>
      </w:r>
      <w:r>
        <w:rPr>
          <w:rFonts w:hint="eastAsia" w:ascii="仿宋_GB2312" w:hAnsi="仿宋_GB2312" w:eastAsia="仿宋_GB2312" w:cs="仿宋_GB2312"/>
          <w:sz w:val="24"/>
          <w:szCs w:val="24"/>
          <w:vertAlign w:val="superscript"/>
        </w:rPr>
        <w:t xml:space="preserve">2 </w:t>
      </w:r>
      <w:r>
        <w:rPr>
          <w:rFonts w:hint="eastAsia" w:ascii="仿宋_GB2312" w:hAnsi="仿宋_GB2312" w:eastAsia="仿宋_GB2312" w:cs="仿宋_GB2312"/>
          <w:sz w:val="24"/>
          <w:szCs w:val="24"/>
        </w:rPr>
        <w:t>的道路清扫保洁服务。</w:t>
      </w:r>
    </w:p>
    <w:p w14:paraId="3D738C74">
      <w:pPr>
        <w:pStyle w:val="7"/>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2、高新区生活垃圾清运服务</w:t>
      </w:r>
    </w:p>
    <w:p w14:paraId="1DAD082C">
      <w:pPr>
        <w:pStyle w:val="7"/>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高新区全区域内生活垃圾进行有序分类收集、转运、压缩、运送至市级指定末端处置场所。</w:t>
      </w:r>
    </w:p>
    <w:p w14:paraId="4D451D47">
      <w:pPr>
        <w:pStyle w:val="7"/>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3、直管公厕及驿站管理养护服务</w:t>
      </w:r>
    </w:p>
    <w:p w14:paraId="28A6E1D2">
      <w:pPr>
        <w:adjustRightInd w:val="0"/>
        <w:snapToGrid w:val="0"/>
        <w:spacing w:line="360" w:lineRule="auto"/>
        <w:ind w:firstLine="480" w:firstLineChars="200"/>
        <w:jc w:val="left"/>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座公厕的日常管理养护服务。</w:t>
      </w:r>
    </w:p>
    <w:p w14:paraId="022B7460">
      <w:pPr>
        <w:pStyle w:val="7"/>
        <w:adjustRightInd w:val="0"/>
        <w:snapToGrid w:val="0"/>
        <w:spacing w:line="360" w:lineRule="auto"/>
        <w:ind w:firstLine="439"/>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4、道路绿化养护服务</w:t>
      </w:r>
    </w:p>
    <w:p w14:paraId="1CF972C4">
      <w:pPr>
        <w:pStyle w:val="7"/>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条道路共计</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m</w:t>
      </w:r>
      <w:r>
        <w:rPr>
          <w:rFonts w:hint="eastAsia" w:ascii="仿宋_GB2312" w:hAnsi="仿宋_GB2312" w:eastAsia="仿宋_GB2312" w:cs="仿宋_GB2312"/>
          <w:sz w:val="24"/>
          <w:szCs w:val="24"/>
          <w:vertAlign w:val="superscript"/>
        </w:rPr>
        <w:t>2</w:t>
      </w:r>
      <w:r>
        <w:rPr>
          <w:rFonts w:hint="eastAsia" w:ascii="仿宋_GB2312" w:hAnsi="仿宋_GB2312" w:eastAsia="仿宋_GB2312" w:cs="仿宋_GB2312"/>
          <w:sz w:val="24"/>
          <w:szCs w:val="24"/>
        </w:rPr>
        <w:t xml:space="preserve"> 的道路绿化（含侧绿带）养护服务。</w:t>
      </w:r>
    </w:p>
    <w:p w14:paraId="7016B42A">
      <w:pPr>
        <w:adjustRightInd w:val="0"/>
        <w:snapToGrid w:val="0"/>
        <w:spacing w:line="360" w:lineRule="auto"/>
        <w:ind w:left="210" w:firstLine="240" w:firstLineChars="1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第三条 主要指标要求</w:t>
      </w:r>
    </w:p>
    <w:p w14:paraId="61B382AD">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1、承包区域的核定清扫保洁工作量的保洁员人数：</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人（其中</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人为双班制，</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人为单班制）；</w:t>
      </w:r>
    </w:p>
    <w:p w14:paraId="6D346D1F">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2、用于清扫保洁车辆共</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辆，其中：大中型清扫保洁车辆为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辆（均为双班制作业，含大型纯电动保洁车辆</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辆）；小型多功能车辆</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辆；专用巡查车辆</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辆；</w:t>
      </w:r>
    </w:p>
    <w:p w14:paraId="37B3EBFE">
      <w:pPr>
        <w:pStyle w:val="7"/>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3、日处理生活垃圾能力</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吨/日；按照分类运输、分类处理相关规定，收集、运输、处理至末端处理场所。 </w:t>
      </w:r>
    </w:p>
    <w:p w14:paraId="5720331F">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4、大型垃圾清运车辆为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辆，垃圾末端处理运输距离为：50公里。</w:t>
      </w:r>
    </w:p>
    <w:p w14:paraId="59A8BAFA">
      <w:pPr>
        <w:pStyle w:val="7"/>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5、道路绿化养护服务人员设备最低配置：</w:t>
      </w:r>
    </w:p>
    <w:p w14:paraId="157272CC">
      <w:pPr>
        <w:pStyle w:val="7"/>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（1）人员配置要求：</w:t>
      </w:r>
    </w:p>
    <w:p w14:paraId="7621FD49">
      <w:pPr>
        <w:pStyle w:val="7"/>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养护工</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人，技术员</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人；区域负责人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人；巡查员</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人；专职安全员</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人；司机（水车、打药车）</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w:t>
      </w:r>
    </w:p>
    <w:p w14:paraId="7D111535">
      <w:pPr>
        <w:pStyle w:val="7"/>
        <w:numPr>
          <w:ilvl w:val="0"/>
          <w:numId w:val="1"/>
        </w:num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机械配置要求：</w:t>
      </w:r>
    </w:p>
    <w:p w14:paraId="475389B5">
      <w:pPr>
        <w:pStyle w:val="7"/>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绿篱修剪机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台；割灌机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台；剪草机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台；打孔机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台；疏草机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台；打药机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台；打药车</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辆；吹风机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台；油锯</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台；高枝油锯</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台；浇水车</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辆。</w:t>
      </w:r>
    </w:p>
    <w:p w14:paraId="59C93543">
      <w:pPr>
        <w:adjustRightInd w:val="0"/>
        <w:snapToGrid w:val="0"/>
        <w:spacing w:line="360" w:lineRule="auto"/>
        <w:ind w:left="210" w:firstLine="240" w:firstLineChars="100"/>
        <w:jc w:val="left"/>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第四条 承包经费情况</w:t>
      </w:r>
    </w:p>
    <w:p w14:paraId="18E1FE9D">
      <w:pPr>
        <w:pStyle w:val="9"/>
        <w:adjustRightInd w:val="0"/>
        <w:spacing w:line="360" w:lineRule="auto"/>
        <w:ind w:firstLine="482"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承包总经费：暂定</w:t>
      </w:r>
      <w:r>
        <w:rPr>
          <w:rFonts w:hint="eastAsia" w:ascii="仿宋_GB2312" w:hAnsi="仿宋_GB2312" w:eastAsia="仿宋_GB2312" w:cs="仿宋_GB2312"/>
          <w:b/>
          <w:sz w:val="24"/>
          <w:szCs w:val="24"/>
          <w:u w:val="single"/>
        </w:rPr>
        <w:t xml:space="preserve">             </w:t>
      </w:r>
      <w:r>
        <w:rPr>
          <w:rFonts w:hint="eastAsia" w:ascii="仿宋_GB2312" w:hAnsi="仿宋_GB2312" w:eastAsia="仿宋_GB2312" w:cs="仿宋_GB2312"/>
          <w:b/>
          <w:sz w:val="24"/>
          <w:szCs w:val="24"/>
        </w:rPr>
        <w:t>元/年；</w:t>
      </w:r>
    </w:p>
    <w:p w14:paraId="37D20657">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1、道路清扫保洁项目</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元，综合单价</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年。费用包含：人员工资、社会劳动保险、人身意外保险、劳保福利、周末法定节假日费用、道路范围内无主生活垃圾清运费、夏季降温费及高温补贴、冬季取暖及补助费、劳动工器具及保洁三轮车购置、工服等相关各项费用、设备配置及运营维护；清扫保洁车辆加油、维修、水费、电费、保险、司机工资等一切运行费用，加水点维修及新开户费用，一切因安全事故及人身意外产生的费用。</w:t>
      </w:r>
    </w:p>
    <w:p w14:paraId="672260A1">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2、生活垃圾清运服务项目</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垃圾收转运压缩费用包含：垃圾清运车辆加油、维修、水费、电费、保险、司机工资，生活垃圾末端处置费及日常压缩站运行产生的一切费用，相关工作人员所有工资、社保、福利，一切因安全事故及人身意外产生的费用等。</w:t>
      </w:r>
    </w:p>
    <w:p w14:paraId="5BBCFD95">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3、公厕养护项目</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元，综合单价</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座/年。费用包含：管理人员工资、社会劳动保险、人身意外保险、劳保福利、周末法定节假日费用、夏季降温费及高温补助费、冬季取暖及补助费、劳动工器具购置、工服等相关各项费用、水电费缴纳、小型维修（漏水、堵塞、门窗、顶棚、地面、墙壁、隔断板、大便池、小便池、各类洁器具等设施设备损坏）、中型维修（水路、电路、供水、下水、供电、线缆维修更换）养护等。</w:t>
      </w:r>
    </w:p>
    <w:p w14:paraId="429A9A7A">
      <w:pPr>
        <w:adjustRightInd w:val="0"/>
        <w:snapToGrid w:val="0"/>
        <w:spacing w:line="360" w:lineRule="auto"/>
        <w:ind w:firstLine="600" w:firstLineChars="250"/>
        <w:jc w:val="left"/>
        <w:rPr>
          <w:rFonts w:hint="eastAsia" w:ascii="仿宋_GB2312" w:hAnsi="仿宋_GB2312" w:eastAsia="仿宋_GB2312" w:cs="仿宋_GB2312"/>
          <w:color w:val="FF0000"/>
          <w:sz w:val="24"/>
          <w:szCs w:val="24"/>
        </w:rPr>
      </w:pPr>
      <w:r>
        <w:rPr>
          <w:rFonts w:hint="eastAsia" w:ascii="仿宋_GB2312" w:hAnsi="仿宋_GB2312" w:eastAsia="仿宋_GB2312" w:cs="仿宋_GB2312"/>
          <w:sz w:val="24"/>
          <w:szCs w:val="24"/>
        </w:rPr>
        <w:t>4、道路绿化养护</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元，综合单价</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年。费用包括：人工费（包含但不限于保洁人员、绿化养护人员、各工种维修人员、安保人员等相关工资、社保、保险、福利等）、管理费、机械费、水费（含硬化、绿化保洁冲洗、绿化养护浇灌等产生的全部自来水费或中水水费）、电费（含现已交付正常使用的照明、设备等运行产生的全部电费）、建筑物及设备设施的小型维护维修费、垃圾清运及处理费，农药费、油料费、肥料费、库房租赁费、利润、税金、风险等。</w:t>
      </w:r>
    </w:p>
    <w:p w14:paraId="14181327">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5、其他费用：应急保障经费</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元，其中用于市容环卫领域应急保障事项</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包含大风、大雨后的环境面貌恢复，扫雪除冰保畅，秋冬季落叶集中清扫，重大接待活动保障，新增面积临时保洁，上级交办或重大舆情处理等事项，公共卫生间中修及存在安全隐患的维修，费用据实据实结算；用于绿化养护领域应急保障事项</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元：因重大接待和不可预见事故等产生的绿化养护作业频次或范围以外的临时用工、设施设备的抢修、保障安全的设施中修等。</w:t>
      </w:r>
    </w:p>
    <w:p w14:paraId="17445768">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应急保障费用计算方法：据实结算，纳入月服务费按月核算支付。</w:t>
      </w:r>
    </w:p>
    <w:p w14:paraId="2EDD09C9">
      <w:pPr>
        <w:adjustRightInd w:val="0"/>
        <w:snapToGrid w:val="0"/>
        <w:spacing w:line="360" w:lineRule="auto"/>
        <w:ind w:firstLine="602"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临时用工费</w:t>
      </w:r>
      <w:r>
        <w:rPr>
          <w:rFonts w:hint="eastAsia" w:ascii="仿宋_GB2312" w:hAnsi="仿宋_GB2312" w:eastAsia="仿宋_GB2312" w:cs="仿宋_GB2312"/>
          <w:sz w:val="24"/>
          <w:szCs w:val="24"/>
        </w:rPr>
        <w:t>用核算按照《陕西省最低工资规定》非全日制用工的小时最低工资标准一类区21元、二类区20元，其中原雁塔、长安行政辖区执行一类标准、原鄠邑行政辖区执行二类标准；涉及公厕/驿站、设施设备维护范围外的</w:t>
      </w:r>
      <w:r>
        <w:rPr>
          <w:rFonts w:hint="eastAsia" w:ascii="仿宋_GB2312" w:hAnsi="仿宋_GB2312" w:eastAsia="仿宋_GB2312" w:cs="仿宋_GB2312"/>
          <w:b/>
          <w:sz w:val="24"/>
          <w:szCs w:val="24"/>
        </w:rPr>
        <w:t>中修、抢修</w:t>
      </w:r>
      <w:r>
        <w:rPr>
          <w:rFonts w:hint="eastAsia" w:ascii="仿宋_GB2312" w:hAnsi="仿宋_GB2312" w:eastAsia="仿宋_GB2312" w:cs="仿宋_GB2312"/>
          <w:sz w:val="24"/>
          <w:szCs w:val="24"/>
        </w:rPr>
        <w:t>等急险工作内容，结算价格确认参照工程定额及同期材料市场价，人工费参考陕建发〔2021〕1097号文执行，维修费用经评审审定后计入养护费用结算。苗木补栽费用按照中标服务单价*经验收合格确认的补栽数量据实结算。</w:t>
      </w:r>
    </w:p>
    <w:p w14:paraId="3DFD978D">
      <w:pPr>
        <w:numPr>
          <w:ilvl w:val="0"/>
          <w:numId w:val="2"/>
        </w:num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承包周期</w:t>
      </w:r>
    </w:p>
    <w:p w14:paraId="4F3D2016">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壹年（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按年签定合同，年度考核合格者，在双方自愿、合同内容不变的情况下可以进行续签，续签不超过2次。每年合同期满前30天，经高新区市容环卫直接管理部门对乙方在合同期内合同履行情况进行考核，考核合格后，在原合同内容不变的前提下可与乙方续签合同。</w:t>
      </w:r>
    </w:p>
    <w:p w14:paraId="611B75E2">
      <w:pPr>
        <w:adjustRightInd w:val="0"/>
        <w:snapToGrid w:val="0"/>
        <w:spacing w:line="360" w:lineRule="auto"/>
        <w:ind w:left="210" w:firstLine="240" w:firstLineChars="100"/>
        <w:jc w:val="left"/>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第六条 承包的主要作业内容</w:t>
      </w:r>
    </w:p>
    <w:p w14:paraId="60F728C4">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（一）道路清扫保洁作业内容</w:t>
      </w:r>
    </w:p>
    <w:p w14:paraId="6ED5D6F8">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1、承包区域内所有市政道路红线内（含人行道、快慢行车道、绿化带等）的清扫、保洁、洒水、冲洗及清扫保洁产生垃圾的收集清运工作。</w:t>
      </w:r>
    </w:p>
    <w:p w14:paraId="45F7B580">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2、承包区域可视范围内的道路隔车带、公共绿地、树坑的环卫保洁、垃圾收集及野广告清理工作。</w:t>
      </w:r>
    </w:p>
    <w:p w14:paraId="45676EE1">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3、承包区域内城市家具的保洁清洗及周边垃圾收集，道路可视范围内零星散落生活垃圾的收集，路牌、灯杆等市政设施的保洁、野广告清除等工作。</w:t>
      </w:r>
    </w:p>
    <w:p w14:paraId="51293615">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4、区域内冬季扫雪除冰及后续清运处理工作。</w:t>
      </w:r>
    </w:p>
    <w:p w14:paraId="54E151D4">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5、清除因不可抗力造成的垃圾抛洒、暴雨洪水造成的积水垃圾等（包括交通事故）。</w:t>
      </w:r>
    </w:p>
    <w:p w14:paraId="3206FB04">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6、所有渠道投诉、舆情的处理。</w:t>
      </w:r>
    </w:p>
    <w:p w14:paraId="5A6E4D87">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7、贯彻落实高新区“精细化保洁”、“大气污染治理”等工作的相关要求。</w:t>
      </w:r>
    </w:p>
    <w:p w14:paraId="1BFAC610">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8、甲方安排的其它工作。</w:t>
      </w:r>
    </w:p>
    <w:p w14:paraId="21BD13F6">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（二）高新区生活垃圾清运</w:t>
      </w:r>
    </w:p>
    <w:p w14:paraId="7D7FE218">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高新区全区域内生活垃圾进行有序分类收集、转运、压缩、运送至市级指定末端处置场所，使高新区内生活垃圾做到分类收运、日产日清，无投诉，保证生活垃圾每日正常清运完毕，为高新区提供良好生活环境。</w:t>
      </w:r>
    </w:p>
    <w:p w14:paraId="738C5C93">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2、贯彻落实高新区“大气污染治理”等工作的相关要求。</w:t>
      </w:r>
    </w:p>
    <w:p w14:paraId="14AB2CD6">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3、甲方安排的其它工作。</w:t>
      </w:r>
    </w:p>
    <w:p w14:paraId="0D382C26">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（三）直管公厕及驿站管理养护服务</w:t>
      </w:r>
    </w:p>
    <w:p w14:paraId="1001F6B1">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1、区内</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座公厕的日常管理养护工作，包含看护、保洁、清污、水电费缴纳、小型维修（漏水、堵塞、门窗、顶棚、地面、墙壁、隔断板、大便池、小便池、各类洁器具等设施损坏）、中型维修（水路、电路、供水、下水、供电、线缆维修更换）养护等。</w:t>
      </w:r>
    </w:p>
    <w:p w14:paraId="3FA85A54">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2、贯彻落实高新区“厕所革命”等工作的相关要求。</w:t>
      </w:r>
    </w:p>
    <w:p w14:paraId="00A03D00">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3、甲方安排的其它工作。</w:t>
      </w:r>
    </w:p>
    <w:p w14:paraId="36BBFB21">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（四）绿化养护作业内容</w:t>
      </w:r>
    </w:p>
    <w:p w14:paraId="090BFC20">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承包区域内浇水、施肥、修剪、整形、除杂草、苗木补植、病虫害防治、松土、高台土清理(按照规定落土低于道牙10cm)、绿化养护作业产生的垃圾清理、公共设施的小修、维护与保养(如城市家具、园林小品、挡土墙等)、影音资料的制作、数字化城管等相关投诉的处理、接待工作的环境保障等；采取相应措施维护现有绿化苗木长势良好，并保障区域内道路绿化不出现缺株断垄、死苗留置现象，保证成活率95%。</w:t>
      </w:r>
    </w:p>
    <w:p w14:paraId="744EE9F3">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2、作业标准：本合同所有道路按照《高新区绿化养护管理标准2025版》执行。</w:t>
      </w:r>
    </w:p>
    <w:p w14:paraId="4C82E220">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3、甲方安排的其他工作。</w:t>
      </w:r>
    </w:p>
    <w:p w14:paraId="5B9E9841">
      <w:pPr>
        <w:adjustRightInd w:val="0"/>
        <w:snapToGrid w:val="0"/>
        <w:spacing w:line="360" w:lineRule="auto"/>
        <w:ind w:left="210" w:firstLine="240" w:firstLineChars="100"/>
        <w:jc w:val="left"/>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第七条 承包费用的结算依据和付款办法：</w:t>
      </w:r>
    </w:p>
    <w:p w14:paraId="281D1630">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1、付款方式：按照当月养护面积与养护单价据实结算基数，根据每月考评得分分值计算本月应付服务费用。</w:t>
      </w:r>
    </w:p>
    <w:p w14:paraId="4A10E571">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2、依据：据实养护面积、公厕或驿站养护数量、综合养护单价、应急事项处理情况、考核结果。</w:t>
      </w:r>
    </w:p>
    <w:p w14:paraId="134F1CCF">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道路清扫保洁、生活垃圾清运服务、绿化养护作业的质量标准及工作程序、考核打分、评分结果作为当月付款结算的依据，详见各考核办法。</w:t>
      </w:r>
    </w:p>
    <w:p w14:paraId="4C4D44B8">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3、养护费组成及结算方式：</w:t>
      </w:r>
    </w:p>
    <w:p w14:paraId="2A74E30C">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保洁单价*当月实际保洁面积+公厕维护单价*当月实际养护数量+绿化养护单价*当月实际养护面积+垃圾清运服务费用+当月应急保障费用=当月承包养护费用。</w:t>
      </w:r>
    </w:p>
    <w:p w14:paraId="3EEBFF38">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每月按照实际核对养护面积，对于新增加或减少的管理面积，双方签字确认的数量为准，并按本合同约定单价增减管理费用。</w:t>
      </w:r>
    </w:p>
    <w:p w14:paraId="277A2C12">
      <w:pPr>
        <w:adjustRightInd w:val="0"/>
        <w:snapToGrid w:val="0"/>
        <w:spacing w:line="360" w:lineRule="auto"/>
        <w:ind w:firstLine="480" w:firstLineChars="200"/>
        <w:jc w:val="left"/>
        <w:rPr>
          <w:rFonts w:hint="eastAsia" w:ascii="仿宋_GB2312" w:hAnsi="仿宋_GB2312" w:eastAsia="仿宋_GB2312" w:cs="仿宋_GB2312"/>
          <w:color w:val="FF0000"/>
          <w:sz w:val="24"/>
          <w:szCs w:val="24"/>
        </w:rPr>
      </w:pPr>
      <w:r>
        <w:rPr>
          <w:rFonts w:hint="eastAsia" w:ascii="仿宋_GB2312" w:hAnsi="仿宋_GB2312" w:eastAsia="仿宋_GB2312" w:cs="仿宋_GB2312"/>
          <w:sz w:val="24"/>
          <w:szCs w:val="24"/>
        </w:rPr>
        <w:t>4、乙方单位对“费用结算单”领取确认后，根据结算单金额开具合法的正式发票办理结算手续。</w:t>
      </w:r>
    </w:p>
    <w:p w14:paraId="1865F28B">
      <w:pPr>
        <w:adjustRightInd w:val="0"/>
        <w:snapToGrid w:val="0"/>
        <w:spacing w:line="360" w:lineRule="auto"/>
        <w:ind w:left="964" w:hanging="964" w:hangingChars="4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第三章  甲方的权利与义务</w:t>
      </w:r>
    </w:p>
    <w:p w14:paraId="532E84B7">
      <w:pPr>
        <w:numPr>
          <w:ilvl w:val="0"/>
          <w:numId w:val="3"/>
        </w:numPr>
        <w:adjustRightInd w:val="0"/>
        <w:snapToGrid w:val="0"/>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甲方的权利如下：</w:t>
      </w:r>
    </w:p>
    <w:p w14:paraId="6E4BC042">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1、甲方有权根据省、市上级相关规定，及时修订道路清扫保洁、生活垃圾清运服务、</w:t>
      </w:r>
      <w:r>
        <w:rPr>
          <w:rFonts w:hint="eastAsia" w:ascii="仿宋_GB2312" w:hAnsi="仿宋_GB2312" w:eastAsia="仿宋_GB2312" w:cs="仿宋_GB2312"/>
          <w:spacing w:val="10"/>
          <w:sz w:val="24"/>
          <w:szCs w:val="24"/>
        </w:rPr>
        <w:t>道路绿化养护</w:t>
      </w:r>
      <w:r>
        <w:rPr>
          <w:rFonts w:hint="eastAsia" w:ascii="仿宋_GB2312" w:hAnsi="仿宋_GB2312" w:eastAsia="仿宋_GB2312" w:cs="仿宋_GB2312"/>
          <w:sz w:val="24"/>
          <w:szCs w:val="24"/>
        </w:rPr>
        <w:t>考核标准，按道路等级考核结算承包费用。</w:t>
      </w:r>
    </w:p>
    <w:p w14:paraId="62E72844">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2、甲方有权委托管理单位对乙方的清扫保洁、绿化养护工作进行监督检查和考核。</w:t>
      </w:r>
    </w:p>
    <w:p w14:paraId="1C70ADBB">
      <w:pPr>
        <w:tabs>
          <w:tab w:val="left" w:pos="851"/>
        </w:tabs>
        <w:adjustRightInd w:val="0"/>
        <w:snapToGrid w:val="0"/>
        <w:spacing w:line="360" w:lineRule="auto"/>
        <w:ind w:firstLine="480" w:firstLineChars="200"/>
        <w:jc w:val="left"/>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3、甲方不预付承包费，乙方承包道路保洁、绿化养护劳务期间所产生的费用由乙方承担。乙方须有垫付两个月费用的能力。甲方对各中标单位的工作质量进行监督检查，并按照</w:t>
      </w:r>
      <w:r>
        <w:rPr>
          <w:rFonts w:hint="eastAsia" w:ascii="仿宋_GB2312" w:hAnsi="仿宋_GB2312" w:eastAsia="仿宋_GB2312" w:cs="仿宋_GB2312"/>
          <w:b/>
          <w:spacing w:val="1"/>
          <w:sz w:val="24"/>
          <w:szCs w:val="24"/>
        </w:rPr>
        <w:t>《西</w:t>
      </w:r>
      <w:r>
        <w:rPr>
          <w:rFonts w:hint="eastAsia" w:ascii="仿宋_GB2312" w:hAnsi="仿宋_GB2312" w:eastAsia="仿宋_GB2312" w:cs="仿宋_GB2312"/>
          <w:b/>
          <w:spacing w:val="16"/>
          <w:sz w:val="24"/>
          <w:szCs w:val="24"/>
        </w:rPr>
        <w:t>安高新区绿化养护管理考评办法2025版》</w:t>
      </w:r>
      <w:r>
        <w:rPr>
          <w:rFonts w:hint="eastAsia" w:ascii="仿宋_GB2312" w:hAnsi="仿宋_GB2312" w:eastAsia="仿宋_GB2312" w:cs="仿宋_GB2312"/>
          <w:b/>
          <w:bCs/>
          <w:sz w:val="24"/>
          <w:szCs w:val="24"/>
        </w:rPr>
        <w:t>《西安高新区车辆管理办法及考核细则》《西安高新区环卫保洁精细化作业指引及考核办法》对乙方进行考核。</w:t>
      </w:r>
    </w:p>
    <w:p w14:paraId="52A3CD8F">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4、甲方支付乙方承包费用涉及项目的发放和工服、反光背心、工器具配备进行监督检查，未按规定要求执行的甲方有权根据情节轻重给予相应批评教育、扣除一定月承包费用。</w:t>
      </w:r>
    </w:p>
    <w:p w14:paraId="6C581E52">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5、如遇重大接待、检查及应急预案的紧急启动，甲方有权调用车辆，并监督乙方车辆的使用情况。</w:t>
      </w:r>
    </w:p>
    <w:p w14:paraId="497910A4">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甲方为提升高新区市容环境整体形象，有权要求乙方以统一标准自行采购工人及其他人员的工作服装（含：春秋两套、夏季两套、冬季防寒服（棉大衣）一套、雨衣一套、反光背心、红袖章），根据承包单位核定人数制作，由承包方承担费用，在签订承包合同前配置完毕，甲方采取不定期方式进行监督考核。</w:t>
      </w:r>
    </w:p>
    <w:p w14:paraId="52438B23">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7、有权委派道路巡查督导乙方的保洁、绿化管理工作，每日监督检查保洁、绿化养护质量,对存在问题列入限时督办整改。</w:t>
      </w:r>
    </w:p>
    <w:p w14:paraId="72F18479">
      <w:pPr>
        <w:pStyle w:val="7"/>
        <w:tabs>
          <w:tab w:val="left" w:pos="567"/>
        </w:tabs>
        <w:adjustRightInd w:val="0"/>
        <w:snapToGrid w:val="0"/>
        <w:spacing w:line="360" w:lineRule="auto"/>
        <w:ind w:right="17" w:firstLine="520" w:firstLineChars="200"/>
        <w:jc w:val="left"/>
        <w:rPr>
          <w:rFonts w:hint="eastAsia" w:ascii="仿宋_GB2312" w:hAnsi="仿宋_GB2312" w:eastAsia="仿宋_GB2312" w:cs="仿宋_GB2312"/>
          <w:spacing w:val="-3"/>
          <w:sz w:val="24"/>
          <w:szCs w:val="24"/>
        </w:rPr>
      </w:pPr>
      <w:r>
        <w:rPr>
          <w:rFonts w:hint="eastAsia" w:ascii="仿宋_GB2312" w:hAnsi="仿宋_GB2312" w:eastAsia="仿宋_GB2312" w:cs="仿宋_GB2312"/>
          <w:spacing w:val="10"/>
          <w:sz w:val="24"/>
          <w:szCs w:val="24"/>
        </w:rPr>
        <w:t>8、核定因市政施工、交通事故及不可抗力造成的绿化苗木及园林小品、园林设施</w:t>
      </w:r>
      <w:r>
        <w:rPr>
          <w:rFonts w:hint="eastAsia" w:ascii="仿宋_GB2312" w:hAnsi="仿宋_GB2312" w:eastAsia="仿宋_GB2312" w:cs="仿宋_GB2312"/>
          <w:spacing w:val="9"/>
          <w:sz w:val="24"/>
          <w:szCs w:val="24"/>
        </w:rPr>
        <w:t>设备损</w:t>
      </w:r>
      <w:r>
        <w:rPr>
          <w:rFonts w:hint="eastAsia" w:ascii="仿宋_GB2312" w:hAnsi="仿宋_GB2312" w:eastAsia="仿宋_GB2312" w:cs="仿宋_GB2312"/>
          <w:spacing w:val="-3"/>
          <w:sz w:val="24"/>
          <w:szCs w:val="24"/>
        </w:rPr>
        <w:t>失。</w:t>
      </w:r>
    </w:p>
    <w:p w14:paraId="0280E53D">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9、乙方连续三次以上对督办整改问题不予执行或执行不力，且警告无效者，甲方有权终止本合同。</w:t>
      </w:r>
    </w:p>
    <w:p w14:paraId="5E82493C">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10、甲方有权对本合同涉及附件根据实际情况变化进行补充修订。</w:t>
      </w:r>
    </w:p>
    <w:p w14:paraId="597D7B84">
      <w:pPr>
        <w:numPr>
          <w:ilvl w:val="0"/>
          <w:numId w:val="3"/>
        </w:numPr>
        <w:adjustRightInd w:val="0"/>
        <w:snapToGrid w:val="0"/>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甲方的义务如下：</w:t>
      </w:r>
    </w:p>
    <w:p w14:paraId="343A73FD">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1、甲方应按合同约定支付乙方承包费用，在收到乙方送达合法票据后办理上月费用支付手续。</w:t>
      </w:r>
    </w:p>
    <w:p w14:paraId="626CCE67">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2、为乙方提供《城市道路清扫保洁技术规范》、《西安市城市精细化管理标准》《西安高新区绿化养护管理考评办法》2025版《西安高新区绿化养护管理标准》2025版等技术管理文件，提供专业技术支持。</w:t>
      </w:r>
    </w:p>
    <w:p w14:paraId="13E0A6C0">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3、审核乙方上报的</w:t>
      </w:r>
      <w:bookmarkStart w:id="6" w:name="_Hlk523219100"/>
      <w:r>
        <w:rPr>
          <w:rFonts w:hint="eastAsia" w:ascii="仿宋_GB2312" w:hAnsi="仿宋_GB2312" w:eastAsia="仿宋_GB2312" w:cs="仿宋_GB2312"/>
          <w:sz w:val="24"/>
          <w:szCs w:val="24"/>
        </w:rPr>
        <w:t>管理方案、应急方案、安全文明管理办法等规章制度是否合理可行，提供技术指导和修改意见</w:t>
      </w:r>
      <w:bookmarkEnd w:id="6"/>
      <w:r>
        <w:rPr>
          <w:rFonts w:hint="eastAsia" w:ascii="仿宋_GB2312" w:hAnsi="仿宋_GB2312" w:eastAsia="仿宋_GB2312" w:cs="仿宋_GB2312"/>
          <w:sz w:val="24"/>
          <w:szCs w:val="24"/>
        </w:rPr>
        <w:t>。</w:t>
      </w:r>
    </w:p>
    <w:p w14:paraId="23FBA526">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4、甲方将清理绿化、保洁垃圾、野广告相关费用含在月结承包费用内，不另做单独支付，乙方在日常巡检中发现上述问题须自行及时处理。</w:t>
      </w:r>
    </w:p>
    <w:p w14:paraId="6D7669BE">
      <w:pPr>
        <w:adjustRightInd w:val="0"/>
        <w:snapToGrid w:val="0"/>
        <w:spacing w:line="360" w:lineRule="auto"/>
        <w:ind w:left="964" w:hanging="964" w:hangingChars="400"/>
        <w:jc w:val="left"/>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第四章  乙方的权利与义务</w:t>
      </w:r>
    </w:p>
    <w:p w14:paraId="10F2A1F2">
      <w:pPr>
        <w:numPr>
          <w:ilvl w:val="0"/>
          <w:numId w:val="3"/>
        </w:numPr>
        <w:adjustRightInd w:val="0"/>
        <w:snapToGrid w:val="0"/>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乙方在承包期间享有如下权利：</w:t>
      </w:r>
    </w:p>
    <w:p w14:paraId="685D5C0B">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1、乙方在签订承包合同前须自行购买足够数量的新型高效机械作业设备。以上资产的所有权为乙方所有，日常产生的更换、维修、人员费用由乙方承担。</w:t>
      </w:r>
    </w:p>
    <w:p w14:paraId="38392301">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2、决定各自公司的机构设置、人事任免和专业技术人员的聘任，依照有关规定奖惩、招用职工和辞退违纪职工。</w:t>
      </w:r>
    </w:p>
    <w:p w14:paraId="57A3D6F3">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3、制定内部分配制度，在符合法律规定的范围内自选工资形式，自定工资标准且不得低于所在市和管辖区规定最低标准。</w:t>
      </w:r>
    </w:p>
    <w:p w14:paraId="58B9AC69">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4、未经甲方同意，乙方不得擅自变更本保洁在投标文件中认定的承包范围。</w:t>
      </w:r>
    </w:p>
    <w:p w14:paraId="776203FC">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5、乙方对签订合同区域必须自行保洁，不得转让、拆分、改变；如出现转让、拆分等情况，甲方有权立即终止承包合同。</w:t>
      </w:r>
    </w:p>
    <w:p w14:paraId="648532FF">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6、为确保保洁质量，乙方应组织一支技术骨干队伍，建立严格的质量管理体系，操作规范，成效突出。</w:t>
      </w:r>
    </w:p>
    <w:p w14:paraId="089C6F7C">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7、负责对保洁工人进行安全教育，岗前培训，提供安全作业的一切措施，并承担相应的安全责任及费用。</w:t>
      </w:r>
    </w:p>
    <w:p w14:paraId="485BDF0D">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8、服从甲方制定的保洁管理标准和考核评分办法等相关规定。</w:t>
      </w:r>
    </w:p>
    <w:p w14:paraId="5AEDB98B">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9、配合甲方完成高新区创卫、创文、ISO14000环保体系认证等重大检查审核工作。</w:t>
      </w:r>
    </w:p>
    <w:p w14:paraId="460C2CE3">
      <w:pPr>
        <w:numPr>
          <w:ilvl w:val="0"/>
          <w:numId w:val="3"/>
        </w:numPr>
        <w:adjustRightInd w:val="0"/>
        <w:snapToGrid w:val="0"/>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乙方在承包期间履行的责任和义务：</w:t>
      </w:r>
    </w:p>
    <w:p w14:paraId="2E27AD5C">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1、合法从事承包经营，响应政策号召及西安市和高新区相关领导部门的管理规定。</w:t>
      </w:r>
    </w:p>
    <w:p w14:paraId="1C363C9C">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2、建立体系齐全的内部管理机制体制及管理架构，报甲方审核后严格执行，保障高水平管理效能。</w:t>
      </w:r>
    </w:p>
    <w:p w14:paraId="73B9E159">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3、制定切实可行的管理方案、应急方案、安全文明管理办法等规章制度，报甲方审核后严格执行。</w:t>
      </w:r>
    </w:p>
    <w:p w14:paraId="275038B9">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4、制定符合实际工作需要、科学合理可行的清扫保洁、绿化养护方案，设置管理，人员配置明确，报甲方审核后严格执行。</w:t>
      </w:r>
    </w:p>
    <w:p w14:paraId="5FF13138">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5、乙方需建立工人工资专项账户，不得拖欠工人工资，同时加强对人员的管理，一切劳资纠纷隐患，必须主动积极协调处理，不得推诿，绝不允许发生员工上访事件。</w:t>
      </w:r>
    </w:p>
    <w:p w14:paraId="5EB65123">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6、承担所属公司员工的工资（不低于西安市规定的最低工资）及与承包经营直接相关的成本费用。</w:t>
      </w:r>
    </w:p>
    <w:p w14:paraId="4B45A9D4">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7、必须依照国家有关规定，按期如数缴纳应缴纳的各种税、费和统筹基金。</w:t>
      </w:r>
    </w:p>
    <w:p w14:paraId="0B2ECFD9">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8、制定具体规章制度，实施合理措施，定期组织员工、专业司机学习业务、安全知识和交通法规，进行业务培训、安全教育，严格要求员工安全作业操作，保证员工及国家财产的安全并形成材料定期上报甲方。</w:t>
      </w:r>
    </w:p>
    <w:p w14:paraId="5F75FD92">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乙方对一级道路采取两班制进行道路保洁。日常人员出勤不得低于定编人员总数的86%，节假日人员出勤不得低于定编人员总数的80%（遇重大接待检查除外）。乙方为甲方提供保洁员工花名册及身份证明和人员分布图，遇有人员变动应及时变更。甲方根据乙方提供保洁员工花名册不定时、不定点进行人员核查。如日常人员出勤低于定编人员的86%，将按市城市管理局最新标准扣去当月差额百分比的人员工资费用；如节假日人员出勤低于定编人员的80%，将按市城市管理局最新标准扣去差额百分比的环卫人员双倍或三倍当月工资费用。</w:t>
      </w:r>
    </w:p>
    <w:p w14:paraId="07E11572">
      <w:pPr>
        <w:pStyle w:val="7"/>
        <w:adjustRightInd w:val="0"/>
        <w:snapToGrid w:val="0"/>
        <w:spacing w:line="360" w:lineRule="auto"/>
        <w:ind w:right="21" w:firstLine="480" w:firstLineChars="200"/>
        <w:jc w:val="left"/>
        <w:rPr>
          <w:rFonts w:hint="eastAsia" w:ascii="仿宋_GB2312" w:hAnsi="仿宋_GB2312" w:eastAsia="仿宋_GB2312" w:cs="仿宋_GB2312"/>
          <w:color w:val="FF0000"/>
          <w:sz w:val="24"/>
          <w:szCs w:val="24"/>
        </w:rPr>
      </w:pPr>
      <w:r>
        <w:rPr>
          <w:rFonts w:hint="eastAsia" w:ascii="仿宋_GB2312" w:hAnsi="仿宋_GB2312" w:eastAsia="仿宋_GB2312" w:cs="仿宋_GB2312"/>
          <w:sz w:val="24"/>
          <w:szCs w:val="24"/>
        </w:rPr>
        <w:t>10、乙方进行道路绿化养护日常工作。日常人员出勤不得低于定编人员总数的90%,节假日人员出勤不得低于定编人员总数的75%(遇重大接待检查除外)。 乙方为甲方提供绿化养护员工花名册、身份证明、社保缴纳证明和人员分布图，遇有人员变动应及时变更，并上报城市管理和综合执法局。甲方根据乙方提供绿化养护工花名册不定时、不定点进行人员核查。如日常人员出勤低于定编人员的90%,将按市城市管理和综合执法局最新标准扣去差额百分比的人员工资费用；如节假日人员出勤低于定编人员的75%,将按市城市管理和综合执法局最新标准扣去差额百分比的养护人员双倍或三倍工资费用。</w:t>
      </w:r>
    </w:p>
    <w:p w14:paraId="180F5CE9">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11、乙方每日春夏季6:30/秋冬季7:00前完成道路普扫工作，未完成道路普扫、道路漏扫、垃圾收集不及时和其他空挡时间出现保洁不到位情况，甲方在取证后直接给予通报问责。</w:t>
      </w:r>
    </w:p>
    <w:p w14:paraId="5079D8AE">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12、如遇交通事故等意外情况发生，应立即保护现场、救治伤员、并拨打保险公司报案电话和报警电话，并上报甲方。</w:t>
      </w:r>
    </w:p>
    <w:p w14:paraId="770C5B88">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13、作为独立法人的公司全部负责处理工作过程中的各类安全事故，并承担相应的责任和费用。因乙方原因造成甲方、乙方或任意第三方人身或财产遭受损害的，由乙方承担赔偿责任。</w:t>
      </w:r>
    </w:p>
    <w:p w14:paraId="009763A3">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14、享有承包收益，承担承包亏损；承担交通事故由保险公司赔偿后的差额费用。</w:t>
      </w:r>
    </w:p>
    <w:p w14:paraId="51C7C463">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15、乙方必须为员工购买人身意外伤害保险。</w:t>
      </w:r>
    </w:p>
    <w:p w14:paraId="5214B1E4">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16、严格遵守并执行甲方的质量标准和考核办法，服从甲方对环境卫生、绿化养护质量的检查监督，切实采取有效措施保证清扫保洁、</w:t>
      </w:r>
      <w:r>
        <w:rPr>
          <w:rFonts w:hint="eastAsia" w:ascii="仿宋_GB2312" w:hAnsi="仿宋_GB2312" w:eastAsia="仿宋_GB2312" w:cs="仿宋_GB2312"/>
          <w:spacing w:val="2"/>
          <w:sz w:val="24"/>
          <w:szCs w:val="24"/>
        </w:rPr>
        <w:t>绿化养护</w:t>
      </w:r>
      <w:r>
        <w:rPr>
          <w:rFonts w:hint="eastAsia" w:ascii="仿宋_GB2312" w:hAnsi="仿宋_GB2312" w:eastAsia="仿宋_GB2312" w:cs="仿宋_GB2312"/>
          <w:sz w:val="24"/>
          <w:szCs w:val="24"/>
        </w:rPr>
        <w:t>质量符合甲方考核标准。</w:t>
      </w:r>
    </w:p>
    <w:p w14:paraId="14AA2623">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17、按期完成本合同规定的工作内容和各项临时任务。有义务配合甲方遇重大接待、卫生检查、及应急预案的紧急启动时车辆、人员的集中调配。</w:t>
      </w:r>
    </w:p>
    <w:p w14:paraId="4C41293D">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18、合同期满后及时向甲方交回国有资产使用权并确保国有资产的完整。</w:t>
      </w:r>
    </w:p>
    <w:p w14:paraId="444A3F1E">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19、备有物资仓库，生产物资需满足日常作业需求和突发事件应急需求储备;物资仓库需满足相关规定和标准，杜绝安全隐患。</w:t>
      </w:r>
    </w:p>
    <w:p w14:paraId="3F06E0BE">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20、乙方保洁工器具须按规定存入保洁工具箱，严禁将工器具乱堆乱放。</w:t>
      </w:r>
    </w:p>
    <w:p w14:paraId="22CB6C54">
      <w:pPr>
        <w:pStyle w:val="7"/>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21、农药、肥料的保管、使用，农药保管、包装废弃物的回收处理符合《农药管理条例》，肥料包装废弃物可参照实施。</w:t>
      </w:r>
    </w:p>
    <w:p w14:paraId="4C42B383">
      <w:pPr>
        <w:pStyle w:val="17"/>
        <w:tabs>
          <w:tab w:val="left" w:pos="851"/>
          <w:tab w:val="left" w:pos="1146"/>
        </w:tabs>
        <w:adjustRightInd w:val="0"/>
        <w:snapToGrid w:val="0"/>
        <w:spacing w:line="360" w:lineRule="auto"/>
        <w:ind w:firstLine="480"/>
        <w:jc w:val="left"/>
        <w:rPr>
          <w:rFonts w:hint="eastAsia" w:ascii="仿宋_GB2312" w:hAnsi="仿宋_GB2312" w:eastAsia="仿宋_GB2312" w:cs="仿宋_GB2312"/>
          <w:sz w:val="24"/>
        </w:rPr>
      </w:pPr>
      <w:r>
        <w:rPr>
          <w:rFonts w:hint="eastAsia" w:ascii="仿宋_GB2312" w:hAnsi="仿宋_GB2312" w:eastAsia="仿宋_GB2312" w:cs="仿宋_GB2312"/>
          <w:sz w:val="24"/>
        </w:rPr>
        <w:t>22、乙方不得在道路、绿化带内私自摆放垃圾桶、设置临时垃圾点，垃圾随产随清。</w:t>
      </w:r>
    </w:p>
    <w:p w14:paraId="36965564">
      <w:pPr>
        <w:tabs>
          <w:tab w:val="left" w:pos="851"/>
          <w:tab w:val="left" w:pos="1146"/>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23、本项目拟派项目负责人不得随意更换，乙方如需更换需经甲方同意。如甲方在合同履行过程中对项目负责人不满意，通知乙方更换后，乙方需在5日内更换。乙方拟派的作业人员须身心健康，年龄符合人社部门规定（男性年龄小于60周岁，女性年龄小于50周岁）。</w:t>
      </w:r>
    </w:p>
    <w:p w14:paraId="2989CC52">
      <w:pPr>
        <w:tabs>
          <w:tab w:val="left" w:pos="851"/>
          <w:tab w:val="left" w:pos="1146"/>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24、承包人自行配备的环卫车辆及设备以保障承包单位项目实施方案的机械化程度及清扫保洁效果。</w:t>
      </w:r>
    </w:p>
    <w:p w14:paraId="697342AD">
      <w:pPr>
        <w:tabs>
          <w:tab w:val="left" w:pos="851"/>
          <w:tab w:val="left" w:pos="1146"/>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25、积极响应、贯彻落实高新区“厕所革命”、 “精细化保洁”、“治污减霾”等工作的相关要求。</w:t>
      </w:r>
    </w:p>
    <w:p w14:paraId="56F0BD09">
      <w:pPr>
        <w:tabs>
          <w:tab w:val="left" w:pos="851"/>
          <w:tab w:val="left" w:pos="1146"/>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26、乙方须配备三支应急队伍，每支应急队伍不少于20名精干人员，配备相应的应急车辆和应急工具，处理应急事件，应急预案启动时，甲方有权调派使用。</w:t>
      </w:r>
    </w:p>
    <w:p w14:paraId="3844F5BA">
      <w:pPr>
        <w:pStyle w:val="7"/>
        <w:adjustRightInd w:val="0"/>
        <w:snapToGrid w:val="0"/>
        <w:spacing w:line="360" w:lineRule="auto"/>
        <w:ind w:right="21"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27、绿化养护苗木用水应节约，多采用喷灌、淋灌。积极响应省市区关于中水使用的要求。</w:t>
      </w:r>
    </w:p>
    <w:p w14:paraId="77A98A86">
      <w:pPr>
        <w:pStyle w:val="7"/>
        <w:adjustRightInd w:val="0"/>
        <w:snapToGrid w:val="0"/>
        <w:spacing w:line="360" w:lineRule="auto"/>
        <w:ind w:right="21"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28、在承包期内，乙方应特别加强对树木的看护管理，为树木购买大树保险(此费用包含在养护费内),确保在养护区域内的人员、车辆等的安全。发生意外理赔时，负责理赔事项的协调处理。</w:t>
      </w:r>
    </w:p>
    <w:p w14:paraId="6AA62BE4">
      <w:pPr>
        <w:pStyle w:val="7"/>
        <w:adjustRightInd w:val="0"/>
        <w:snapToGrid w:val="0"/>
        <w:spacing w:line="360" w:lineRule="auto"/>
        <w:ind w:right="21"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29、养护设备应符合国家园林、绿化有关规范和标准。</w:t>
      </w:r>
    </w:p>
    <w:p w14:paraId="0788885D">
      <w:pPr>
        <w:adjustRightInd w:val="0"/>
        <w:snapToGrid w:val="0"/>
        <w:spacing w:line="360" w:lineRule="auto"/>
        <w:ind w:left="964" w:hanging="964" w:hangingChars="4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第五章   合同的变更、解除或终止</w:t>
      </w:r>
    </w:p>
    <w:p w14:paraId="6ADB2ACF">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第十二条 本合同需要变更或解除时，须经双方协商一致达成新的书面协议，在新的书面协议未达成之前，可参照本合同相关条款。</w:t>
      </w:r>
    </w:p>
    <w:p w14:paraId="6A418FD0">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第十三条 本合同履行期间，如国家有关政策与本合同签订时相比使发包方、承包方任何一方利益受到重大影响，受影响的一方需提前一个月提出变更或解除本合同。</w:t>
      </w:r>
    </w:p>
    <w:p w14:paraId="46CEB364">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第十四条 乙方如管理不善或严重失误导致国有资产无法使用并造成重大损失的甲方有权收回资产，不负违约责任，并保留向乙方要求赔偿损失的权利。如果造成重大损失，则按照实际产生的经济损失要求乙方赔偿。</w:t>
      </w:r>
    </w:p>
    <w:p w14:paraId="74420B9B">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第十五条 乙方应严格按照国家、省市、相关政策法规执行劳资、劳保、安全等制度，并高度重视维稳工作，如出现乙方员工队伍不稳定、上访等事件，同时造成工作或舆论影响的，甲方有权解除合同。</w:t>
      </w:r>
    </w:p>
    <w:p w14:paraId="3AA76FDD">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第十六条 乙方不能足额安排道路保洁人员或有意克扣保洁人员工资、福利时（或因甲方扣除乙方承包费而乙方额外扣除保洁员工资及劳保福利等），乙方必须在一日内上齐补足，若不按期补足，甲方有权介入处理。情节严重时甲方有权使用承包费用直接支付工人工资。</w:t>
      </w:r>
    </w:p>
    <w:p w14:paraId="09A52E91">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第十七条 乙方连续两个月道路质量考核不达标，甲方有权解除合同。</w:t>
      </w:r>
    </w:p>
    <w:p w14:paraId="4F36F044">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第十八条 乙方连续两个月未规定足额安排保洁人员的，甲方有权解除合同。</w:t>
      </w:r>
    </w:p>
    <w:p w14:paraId="4564F1C7">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第十九条 由于不可抗力的原因使本合同无法履行或无法完全履行时，甲、乙双方协商一致可以变更或解除本合同。</w:t>
      </w:r>
    </w:p>
    <w:p w14:paraId="467591A3">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第二十条 本合同规定的承包期满，甲乙双方的权利、义务履行完毕后，本合同自行终止。</w:t>
      </w:r>
    </w:p>
    <w:p w14:paraId="17D3974C">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第二十一条 因质量原因、保洁管理不到位，违反西安高新区 “厕所革命”、“精细化保洁”、“铁腕治霾”等管理规定管理规定，被媒体曝光，造成重大不良影响的，甲方有权解除合同。</w:t>
      </w:r>
    </w:p>
    <w:p w14:paraId="48114EE3">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第二十二条 由于工作失误造成的安全事故，对社会稳定性产生恶劣影响的，甲方有权解除合同。</w:t>
      </w:r>
    </w:p>
    <w:p w14:paraId="24E23F78">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第二十三条 本合同一切解释权归甲方所有。</w:t>
      </w:r>
    </w:p>
    <w:p w14:paraId="2CCEA8C1">
      <w:pPr>
        <w:adjustRightInd w:val="0"/>
        <w:snapToGrid w:val="0"/>
        <w:spacing w:line="360" w:lineRule="auto"/>
        <w:ind w:left="964" w:hanging="964" w:hangingChars="4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第六章    违约责任</w:t>
      </w:r>
    </w:p>
    <w:p w14:paraId="05F5CB34">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第二十四条 甲、乙双方在履行本合同中产生争议，双方应当先行协商。协商不成的，任一方可向甲方所在地人民法院提起诉讼。</w:t>
      </w:r>
    </w:p>
    <w:p w14:paraId="2B181858">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第二十五条 甲方违反合同，未按本合同约定的收费标准和时间付费的，乙方有权要求甲方限期补交并从逾期之日起加收应缴费用的千分之二的滞纳金，逾期仍不交纳的，乙方有权停止相关服务。</w:t>
      </w:r>
    </w:p>
    <w:p w14:paraId="51062CAA">
      <w:pPr>
        <w:pStyle w:val="7"/>
        <w:adjustRightInd w:val="0"/>
        <w:snapToGrid w:val="0"/>
        <w:spacing w:line="360" w:lineRule="auto"/>
        <w:ind w:right="86" w:firstLine="488" w:firstLineChars="200"/>
        <w:jc w:val="left"/>
        <w:rPr>
          <w:rFonts w:hint="eastAsia"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第二十六条 因甲方行为违约导致乙方未能完成管理服务内容和质量标准的，乙方有权要求甲方在一定期限内解决，逾期不解决的，乙方有权终止合同。造成乙方经济损失的，</w:t>
      </w:r>
      <w:r>
        <w:rPr>
          <w:rFonts w:hint="eastAsia" w:ascii="仿宋_GB2312" w:hAnsi="仿宋_GB2312" w:eastAsia="仿宋_GB2312" w:cs="仿宋_GB2312"/>
          <w:spacing w:val="7"/>
          <w:sz w:val="24"/>
          <w:szCs w:val="24"/>
        </w:rPr>
        <w:t>则按照实际产</w:t>
      </w:r>
      <w:r>
        <w:rPr>
          <w:rFonts w:hint="eastAsia" w:ascii="仿宋_GB2312" w:hAnsi="仿宋_GB2312" w:eastAsia="仿宋_GB2312" w:cs="仿宋_GB2312"/>
          <w:spacing w:val="6"/>
          <w:sz w:val="24"/>
          <w:szCs w:val="24"/>
        </w:rPr>
        <w:t>生的经济损失要求甲方赔偿。</w:t>
      </w:r>
    </w:p>
    <w:p w14:paraId="34A1411E">
      <w:pPr>
        <w:pStyle w:val="7"/>
        <w:adjustRightInd w:val="0"/>
        <w:snapToGrid w:val="0"/>
        <w:spacing w:line="360" w:lineRule="auto"/>
        <w:ind w:right="86" w:firstLine="488"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第二十七条 因乙方行为违约造成甲方利益受到侵害或造成社会影响的，甲方有权要求乙方在一定期限内解决，逾期不解决的，甲方有权终止合同。造成甲方经济损失的，</w:t>
      </w:r>
      <w:r>
        <w:rPr>
          <w:rFonts w:hint="eastAsia" w:ascii="仿宋_GB2312" w:hAnsi="仿宋_GB2312" w:eastAsia="仿宋_GB2312" w:cs="仿宋_GB2312"/>
          <w:spacing w:val="7"/>
          <w:sz w:val="24"/>
          <w:szCs w:val="24"/>
        </w:rPr>
        <w:t>则按照实际产</w:t>
      </w:r>
      <w:r>
        <w:rPr>
          <w:rFonts w:hint="eastAsia" w:ascii="仿宋_GB2312" w:hAnsi="仿宋_GB2312" w:eastAsia="仿宋_GB2312" w:cs="仿宋_GB2312"/>
          <w:spacing w:val="6"/>
          <w:sz w:val="24"/>
          <w:szCs w:val="24"/>
        </w:rPr>
        <w:t>生的经济损失要求乙方赔偿。</w:t>
      </w:r>
    </w:p>
    <w:p w14:paraId="7D7B14B6">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第二十八条 因乙方质量不达标或保洁工作不到位，甲方下达整改通知，乙方无故不及时响应的，甲方有权指派其他单位进行整改，整改产生的一切费用均由乙方承担，乙方拒不承担时甲方有权直接从乙方报酬中予以扣除。</w:t>
      </w:r>
    </w:p>
    <w:p w14:paraId="720CB4A1">
      <w:pPr>
        <w:pStyle w:val="7"/>
        <w:adjustRightInd w:val="0"/>
        <w:snapToGrid w:val="0"/>
        <w:spacing w:line="360" w:lineRule="auto"/>
        <w:ind w:left="-76" w:right="21"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第二十九条 乙方应严格按照国家、省市、相关政策法规执行劳资、劳保、安全等制度，并高度重视维稳工作，如出现乙方员工队伍不稳定、上访等事件，同时造成工作或舆论恶劣影响的，甲方有权解除合同。</w:t>
      </w:r>
    </w:p>
    <w:p w14:paraId="11EE08B3">
      <w:pPr>
        <w:adjustRightInd w:val="0"/>
        <w:snapToGrid w:val="0"/>
        <w:spacing w:line="360" w:lineRule="auto"/>
        <w:ind w:left="964" w:hanging="964" w:hangingChars="4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第七章   附   则</w:t>
      </w:r>
    </w:p>
    <w:p w14:paraId="75CFC154">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第三十条 乙方须优先考虑原有承包区域的保洁人员、</w:t>
      </w:r>
      <w:r>
        <w:rPr>
          <w:rFonts w:hint="eastAsia" w:ascii="仿宋_GB2312" w:hAnsi="仿宋_GB2312" w:eastAsia="仿宋_GB2312" w:cs="仿宋_GB2312"/>
          <w:spacing w:val="10"/>
          <w:sz w:val="24"/>
          <w:szCs w:val="24"/>
        </w:rPr>
        <w:t>绿化养护人员</w:t>
      </w:r>
      <w:r>
        <w:rPr>
          <w:rFonts w:hint="eastAsia" w:ascii="仿宋_GB2312" w:hAnsi="仿宋_GB2312" w:eastAsia="仿宋_GB2312" w:cs="仿宋_GB2312"/>
          <w:sz w:val="24"/>
          <w:szCs w:val="24"/>
        </w:rPr>
        <w:t>劳动就业，在不违反其公司制度的情况下不得无故辞退。乙方作为独立法人的公司，在合同期内产生的劳动争议、安全事故及经济纠纷需自行独立予以解决。</w:t>
      </w:r>
    </w:p>
    <w:p w14:paraId="2610B83A">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第三十一条 发包方的《招标书》、承包方的《投标书》、均为本合同附件，上述文件材料如与本合同正文有矛盾之处，以本合同正文为准。</w:t>
      </w:r>
    </w:p>
    <w:p w14:paraId="21D7FF90">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第三十二条 本合同由甲乙双方代表签字后生效，合同期满后自动失效。</w:t>
      </w:r>
    </w:p>
    <w:p w14:paraId="4C977B74">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第三十三条 本合同一式捌份，甲、乙双方各执肆份。</w:t>
      </w:r>
    </w:p>
    <w:p w14:paraId="6D706CB5">
      <w:pPr>
        <w:adjustRightInd w:val="0"/>
        <w:snapToGrid w:val="0"/>
        <w:spacing w:line="360" w:lineRule="auto"/>
        <w:ind w:left="960" w:hanging="960" w:hangingChars="4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（以下无正文）</w:t>
      </w:r>
    </w:p>
    <w:p w14:paraId="777B97D2">
      <w:pPr>
        <w:adjustRightInd w:val="0"/>
        <w:snapToGrid w:val="0"/>
        <w:spacing w:line="360" w:lineRule="auto"/>
        <w:ind w:left="960" w:hanging="960" w:hangingChars="400"/>
        <w:jc w:val="left"/>
        <w:rPr>
          <w:rFonts w:hint="eastAsia" w:ascii="仿宋_GB2312" w:hAnsi="仿宋_GB2312" w:eastAsia="仿宋_GB2312" w:cs="仿宋_GB2312"/>
          <w:sz w:val="24"/>
          <w:szCs w:val="24"/>
        </w:rPr>
      </w:pPr>
    </w:p>
    <w:p w14:paraId="2F13CE33">
      <w:pPr>
        <w:adjustRightInd w:val="0"/>
        <w:snapToGrid w:val="0"/>
        <w:spacing w:line="360" w:lineRule="auto"/>
        <w:ind w:left="960" w:hanging="960" w:hangingChars="4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甲方（盖章）：                 乙方（盖章）：</w:t>
      </w:r>
    </w:p>
    <w:p w14:paraId="59FD712F">
      <w:pPr>
        <w:adjustRightInd w:val="0"/>
        <w:snapToGrid w:val="0"/>
        <w:spacing w:line="360" w:lineRule="auto"/>
        <w:ind w:left="960" w:hanging="960" w:hangingChars="4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法人代表或                     法人代表或</w:t>
      </w:r>
    </w:p>
    <w:p w14:paraId="6CD889F8">
      <w:pPr>
        <w:adjustRightInd w:val="0"/>
        <w:snapToGrid w:val="0"/>
        <w:spacing w:line="360" w:lineRule="auto"/>
        <w:ind w:left="960" w:hanging="960" w:hangingChars="4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委托代理人                     委托代理人</w:t>
      </w:r>
    </w:p>
    <w:p w14:paraId="7FDCD0B9">
      <w:pPr>
        <w:adjustRightInd w:val="0"/>
        <w:snapToGrid w:val="0"/>
        <w:spacing w:line="360" w:lineRule="auto"/>
        <w:ind w:left="960" w:hanging="960" w:hangingChars="4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（签字或盖章）：               （签字或盖章）：</w:t>
      </w:r>
    </w:p>
    <w:p w14:paraId="0286B202">
      <w:pPr>
        <w:adjustRightInd w:val="0"/>
        <w:snapToGrid w:val="0"/>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联系电话：                     联系电话：</w:t>
      </w:r>
    </w:p>
    <w:p w14:paraId="612A14A0">
      <w:pPr>
        <w:adjustRightInd w:val="0"/>
        <w:snapToGrid w:val="0"/>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签约时间： 年 月 日</w:t>
      </w:r>
    </w:p>
    <w:p w14:paraId="32CA4B2F">
      <w:pPr>
        <w:spacing w:line="360" w:lineRule="auto"/>
        <w:ind w:left="964" w:hanging="964" w:hangingChars="4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br w:type="page"/>
      </w:r>
    </w:p>
    <w:p w14:paraId="2196C565">
      <w:pPr>
        <w:adjustRightInd w:val="0"/>
        <w:snapToGrid w:val="0"/>
        <w:spacing w:line="360" w:lineRule="auto"/>
        <w:ind w:firstLine="482" w:firstLineChars="2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附件1：西安高新区城市道路清扫保洁质量考核办法</w:t>
      </w:r>
    </w:p>
    <w:p w14:paraId="4C71A7F5">
      <w:pPr>
        <w:adjustRightInd w:val="0"/>
        <w:snapToGrid w:val="0"/>
        <w:spacing w:line="360" w:lineRule="auto"/>
        <w:ind w:firstLine="482" w:firstLineChars="2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附件2：西安高新区其他垃圾转运站运营监督管理及考核办法</w:t>
      </w:r>
    </w:p>
    <w:p w14:paraId="79A99D0E">
      <w:pPr>
        <w:adjustRightInd w:val="0"/>
        <w:snapToGrid w:val="0"/>
        <w:spacing w:line="360" w:lineRule="auto"/>
        <w:ind w:firstLine="482" w:firstLineChars="2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附件3：西安高新区“厕所革命”检查考核办法</w:t>
      </w:r>
    </w:p>
    <w:p w14:paraId="3C55F8D7">
      <w:pPr>
        <w:pStyle w:val="7"/>
        <w:adjustRightInd w:val="0"/>
        <w:snapToGrid w:val="0"/>
        <w:spacing w:line="360" w:lineRule="auto"/>
        <w:ind w:right="2" w:firstLine="482" w:firstLineChars="2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附件4：西安高新区城市绿地管理养护考核办法（2025版）</w:t>
      </w:r>
    </w:p>
    <w:p w14:paraId="38983F62">
      <w:pPr>
        <w:adjustRightInd w:val="0"/>
        <w:snapToGrid w:val="0"/>
        <w:spacing w:line="360" w:lineRule="auto"/>
        <w:ind w:firstLine="482" w:firstLineChars="2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附件5：西安高新区车辆管理办法及考核细则</w:t>
      </w:r>
    </w:p>
    <w:p w14:paraId="4FA2D362">
      <w:pPr>
        <w:autoSpaceDE w:val="0"/>
        <w:autoSpaceDN w:val="0"/>
        <w:adjustRightInd w:val="0"/>
        <w:snapToGrid w:val="0"/>
        <w:spacing w:line="360" w:lineRule="auto"/>
        <w:ind w:firstLine="482" w:firstLineChars="200"/>
        <w:jc w:val="left"/>
        <w:outlineLvl w:val="0"/>
        <w:rPr>
          <w:rFonts w:hint="eastAsia" w:ascii="仿宋_GB2312" w:hAnsi="仿宋_GB2312" w:eastAsia="仿宋_GB2312" w:cs="仿宋_GB2312"/>
          <w:b/>
          <w:sz w:val="24"/>
          <w:szCs w:val="24"/>
        </w:rPr>
        <w:sectPr>
          <w:headerReference r:id="rId3" w:type="default"/>
          <w:pgSz w:w="11905" w:h="16838"/>
          <w:pgMar w:top="1440" w:right="1080" w:bottom="1440" w:left="1080" w:header="850" w:footer="975" w:gutter="0"/>
          <w:cols w:space="720" w:num="1"/>
          <w:docGrid w:linePitch="312" w:charSpace="0"/>
        </w:sectPr>
      </w:pPr>
    </w:p>
    <w:p w14:paraId="5FD0B775">
      <w:pPr>
        <w:spacing w:line="360" w:lineRule="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附件1</w:t>
      </w:r>
    </w:p>
    <w:p w14:paraId="77F384F4">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8"/>
          <w:szCs w:val="28"/>
        </w:rPr>
        <w:t>西安高新区城市道路清扫保洁质量考核办法</w:t>
      </w:r>
    </w:p>
    <w:p w14:paraId="07D027CA">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为全力打造高新区国际化大都市新形象和最佳投资环境，坚持公平、公开、公正的原则,全面、客观做好高新区城市道路清扫保洁质量评比工作。</w:t>
      </w:r>
    </w:p>
    <w:p w14:paraId="6171B415">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（一）考评对象</w:t>
      </w:r>
    </w:p>
    <w:p w14:paraId="083820B4">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高新区城市道路清扫保洁实施单位。</w:t>
      </w:r>
    </w:p>
    <w:p w14:paraId="7C5DF9D0">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（二）考评范围</w:t>
      </w:r>
    </w:p>
    <w:p w14:paraId="6EE14764">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高新区所有已移交的城市道路。</w:t>
      </w:r>
    </w:p>
    <w:p w14:paraId="19BD330B">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（三）考评方式及内容</w:t>
      </w:r>
    </w:p>
    <w:p w14:paraId="103A9D53">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日常检查：由高新区环卫主管部门和城市管理运行平台现场管理人员常态化巡查，发现一般问题通过工作群督办、平台线上派发或者现场督办，严重问题依据保洁公司处罚奖补条款下发处罚通报。</w:t>
      </w:r>
    </w:p>
    <w:p w14:paraId="7D706AB6">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月度排名：由高新区环卫主管部门和城市管理运行平台联合现场检查、相关保洁公司交叉检查等方式进行月度考核，主要内容为抽取被考核单位3条城市道路进行打分（参照高新区城市道路清扫保洁质量评价表）。</w:t>
      </w:r>
    </w:p>
    <w:p w14:paraId="7C2F0666">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（四）评分等次</w:t>
      </w:r>
    </w:p>
    <w:p w14:paraId="4FF5540A">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优秀（90分以上）</w:t>
      </w:r>
    </w:p>
    <w:p w14:paraId="2F0AB38F">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良好（85分-90分）</w:t>
      </w:r>
    </w:p>
    <w:p w14:paraId="3D6ABC22">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合格（75分-85分）</w:t>
      </w:r>
    </w:p>
    <w:p w14:paraId="742B0ED1">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差（75分以下）</w:t>
      </w:r>
    </w:p>
    <w:p w14:paraId="414B124F">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（五）考核结果运用</w:t>
      </w:r>
    </w:p>
    <w:p w14:paraId="379B3147">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日常检查按照保洁公司处罚奖补条款执行。</w:t>
      </w:r>
    </w:p>
    <w:p w14:paraId="79D2C8C2">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月度考核为优秀的，高于90分的分值，每分奖励承包费用的1％；月度考核为良好的不扣不奖；月度考核为合格的，低于85分的分值，每分扣除承包费的1％。连续3个月考核为合格及以下等次的直接终止合同。</w:t>
      </w:r>
    </w:p>
    <w:p w14:paraId="2987662C">
      <w:pPr>
        <w:spacing w:line="360" w:lineRule="auto"/>
        <w:ind w:left="780" w:leftChars="200" w:hanging="360" w:hangingChars="15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br w:type="page"/>
      </w:r>
      <w:r>
        <w:rPr>
          <w:rFonts w:hint="eastAsia" w:ascii="仿宋_GB2312" w:hAnsi="仿宋_GB2312" w:eastAsia="仿宋_GB2312" w:cs="仿宋_GB2312"/>
          <w:b/>
          <w:bCs/>
          <w:sz w:val="24"/>
          <w:szCs w:val="24"/>
        </w:rPr>
        <w:t>1、保洁公司处罚奖补条款</w:t>
      </w:r>
    </w:p>
    <w:tbl>
      <w:tblPr>
        <w:tblStyle w:val="10"/>
        <w:tblW w:w="10100" w:type="dxa"/>
        <w:jc w:val="center"/>
        <w:tblLayout w:type="fixed"/>
        <w:tblCellMar>
          <w:top w:w="0" w:type="dxa"/>
          <w:left w:w="108" w:type="dxa"/>
          <w:bottom w:w="0" w:type="dxa"/>
          <w:right w:w="108" w:type="dxa"/>
        </w:tblCellMar>
      </w:tblPr>
      <w:tblGrid>
        <w:gridCol w:w="863"/>
        <w:gridCol w:w="9237"/>
      </w:tblGrid>
      <w:tr w14:paraId="0940D4E0">
        <w:tblPrEx>
          <w:tblCellMar>
            <w:top w:w="0" w:type="dxa"/>
            <w:left w:w="108" w:type="dxa"/>
            <w:bottom w:w="0" w:type="dxa"/>
            <w:right w:w="108" w:type="dxa"/>
          </w:tblCellMar>
        </w:tblPrEx>
        <w:trPr>
          <w:trHeight w:val="669" w:hRule="atLeast"/>
          <w:tblHeader/>
          <w:jc w:val="center"/>
        </w:trPr>
        <w:tc>
          <w:tcPr>
            <w:tcW w:w="863" w:type="dxa"/>
            <w:vMerge w:val="restart"/>
            <w:tcBorders>
              <w:top w:val="single" w:color="auto" w:sz="4" w:space="0"/>
              <w:left w:val="single" w:color="auto" w:sz="4" w:space="0"/>
              <w:bottom w:val="single" w:color="auto" w:sz="4" w:space="0"/>
              <w:right w:val="single" w:color="auto" w:sz="4" w:space="0"/>
            </w:tcBorders>
            <w:noWrap/>
            <w:vAlign w:val="center"/>
          </w:tcPr>
          <w:p w14:paraId="27570DCE">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9237" w:type="dxa"/>
            <w:vMerge w:val="restart"/>
            <w:tcBorders>
              <w:top w:val="single" w:color="auto" w:sz="4" w:space="0"/>
              <w:left w:val="single" w:color="auto" w:sz="4" w:space="0"/>
              <w:bottom w:val="single" w:color="auto" w:sz="4" w:space="0"/>
              <w:right w:val="single" w:color="auto" w:sz="4" w:space="0"/>
            </w:tcBorders>
            <w:noWrap/>
            <w:vAlign w:val="center"/>
          </w:tcPr>
          <w:p w14:paraId="1195AEE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细则</w:t>
            </w:r>
          </w:p>
        </w:tc>
      </w:tr>
      <w:tr w14:paraId="0B61ADA9">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auto" w:sz="4" w:space="0"/>
              <w:bottom w:val="single" w:color="auto" w:sz="4" w:space="0"/>
              <w:right w:val="single" w:color="auto" w:sz="4" w:space="0"/>
            </w:tcBorders>
            <w:noWrap/>
            <w:vAlign w:val="center"/>
          </w:tcPr>
          <w:p w14:paraId="3FC744A6">
            <w:pPr>
              <w:jc w:val="center"/>
              <w:rPr>
                <w:rFonts w:hint="eastAsia" w:ascii="仿宋_GB2312" w:hAnsi="仿宋_GB2312" w:eastAsia="仿宋_GB2312" w:cs="仿宋_GB2312"/>
                <w:sz w:val="24"/>
                <w:szCs w:val="24"/>
              </w:rPr>
            </w:pPr>
          </w:p>
        </w:tc>
        <w:tc>
          <w:tcPr>
            <w:tcW w:w="9237" w:type="dxa"/>
            <w:vMerge w:val="continue"/>
            <w:tcBorders>
              <w:top w:val="single" w:color="auto" w:sz="4" w:space="0"/>
              <w:left w:val="single" w:color="auto" w:sz="4" w:space="0"/>
              <w:bottom w:val="single" w:color="auto" w:sz="4" w:space="0"/>
              <w:right w:val="single" w:color="auto" w:sz="4" w:space="0"/>
            </w:tcBorders>
            <w:noWrap/>
            <w:vAlign w:val="center"/>
          </w:tcPr>
          <w:p w14:paraId="7A96C030">
            <w:pPr>
              <w:rPr>
                <w:rFonts w:hint="eastAsia" w:ascii="仿宋_GB2312" w:hAnsi="仿宋_GB2312" w:eastAsia="仿宋_GB2312" w:cs="仿宋_GB2312"/>
                <w:sz w:val="24"/>
                <w:szCs w:val="24"/>
              </w:rPr>
            </w:pPr>
          </w:p>
        </w:tc>
      </w:tr>
      <w:tr w14:paraId="230DC3B6">
        <w:tblPrEx>
          <w:tblCellMar>
            <w:top w:w="0" w:type="dxa"/>
            <w:left w:w="108" w:type="dxa"/>
            <w:bottom w:w="0" w:type="dxa"/>
            <w:right w:w="108" w:type="dxa"/>
          </w:tblCellMar>
        </w:tblPrEx>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05C9D15D">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9237" w:type="dxa"/>
            <w:tcBorders>
              <w:top w:val="nil"/>
              <w:left w:val="nil"/>
              <w:bottom w:val="single" w:color="auto" w:sz="4" w:space="0"/>
              <w:right w:val="single" w:color="auto" w:sz="4" w:space="0"/>
            </w:tcBorders>
            <w:noWrap/>
            <w:vAlign w:val="center"/>
          </w:tcPr>
          <w:p w14:paraId="6F897607">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高新区环卫主管部门现场管理人员在日常巡查中发现严重问题的，下发处罚通报，每个通报处罚2000元。</w:t>
            </w:r>
          </w:p>
        </w:tc>
      </w:tr>
      <w:tr w14:paraId="5C4A293C">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1AA641E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9237" w:type="dxa"/>
            <w:tcBorders>
              <w:top w:val="single" w:color="auto" w:sz="4" w:space="0"/>
              <w:left w:val="single" w:color="auto" w:sz="4" w:space="0"/>
              <w:bottom w:val="single" w:color="auto" w:sz="4" w:space="0"/>
              <w:right w:val="single" w:color="auto" w:sz="4" w:space="0"/>
            </w:tcBorders>
            <w:noWrap/>
            <w:vAlign w:val="center"/>
          </w:tcPr>
          <w:p w14:paraId="39455C91">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高新区组织的 “铁腕治霾”工作检查发现市容环境相关问题，根据情节扣除所在区域承包单位月考核1000—10000元；市级领导部门组织的 “铁腕治霾”工作检查发现市容环境相关问题，根据情节扣除所在区域承包单位月考核5000—20000元。</w:t>
            </w:r>
          </w:p>
        </w:tc>
      </w:tr>
      <w:tr w14:paraId="2B7F49EF">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47B7262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9237" w:type="dxa"/>
            <w:tcBorders>
              <w:top w:val="single" w:color="auto" w:sz="4" w:space="0"/>
              <w:left w:val="single" w:color="auto" w:sz="4" w:space="0"/>
              <w:bottom w:val="single" w:color="auto" w:sz="4" w:space="0"/>
              <w:right w:val="single" w:color="auto" w:sz="4" w:space="0"/>
            </w:tcBorders>
            <w:noWrap/>
            <w:vAlign w:val="center"/>
          </w:tcPr>
          <w:p w14:paraId="08561316">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市容环境问题被高新区内媒体或报刊曝光，扣除所在区域承包单位5000元；市容环境问题被市级媒体或报刊曝光，扣除所在区域承包单位10000元。</w:t>
            </w:r>
          </w:p>
        </w:tc>
      </w:tr>
      <w:tr w14:paraId="3FA14032">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661372E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9237" w:type="dxa"/>
            <w:tcBorders>
              <w:top w:val="single" w:color="auto" w:sz="4" w:space="0"/>
              <w:left w:val="single" w:color="auto" w:sz="4" w:space="0"/>
              <w:bottom w:val="single" w:color="auto" w:sz="4" w:space="0"/>
              <w:right w:val="single" w:color="auto" w:sz="4" w:space="0"/>
            </w:tcBorders>
            <w:noWrap/>
            <w:vAlign w:val="center"/>
          </w:tcPr>
          <w:p w14:paraId="62BB96F5">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高新区相关部门督办单督办整改问题，扣除所在区域承包单位2000元；市级相关部门督办单督办整改问题，扣除所在区域承包单位5000元。</w:t>
            </w:r>
          </w:p>
        </w:tc>
      </w:tr>
      <w:tr w14:paraId="516A2880">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3D27C178">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9237" w:type="dxa"/>
            <w:tcBorders>
              <w:top w:val="single" w:color="auto" w:sz="4" w:space="0"/>
              <w:left w:val="single" w:color="auto" w:sz="4" w:space="0"/>
              <w:bottom w:val="single" w:color="auto" w:sz="4" w:space="0"/>
              <w:right w:val="single" w:color="auto" w:sz="4" w:space="0"/>
            </w:tcBorders>
            <w:noWrap/>
            <w:vAlign w:val="center"/>
          </w:tcPr>
          <w:p w14:paraId="22497FDD">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创卫、创文等重大迎复审工作检查出的市容环境相关问题，或思想不重视，行动不积极，措施不得力，整改不认真，扣除所在区域承包单位月考核50000元。</w:t>
            </w:r>
          </w:p>
        </w:tc>
      </w:tr>
      <w:tr w14:paraId="6766E515">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772D3833">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9237" w:type="dxa"/>
            <w:tcBorders>
              <w:top w:val="single" w:color="auto" w:sz="4" w:space="0"/>
              <w:left w:val="single" w:color="auto" w:sz="4" w:space="0"/>
              <w:bottom w:val="single" w:color="auto" w:sz="4" w:space="0"/>
              <w:right w:val="single" w:color="auto" w:sz="4" w:space="0"/>
            </w:tcBorders>
            <w:noWrap/>
            <w:vAlign w:val="center"/>
          </w:tcPr>
          <w:p w14:paraId="7B4E76E6">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在正常作业安排和接待检查时，不听从上级部门主管调遣、安排或落实工作不及时、整治不得力，扣除所区域在承包单位月考核5000元。</w:t>
            </w:r>
          </w:p>
        </w:tc>
      </w:tr>
      <w:tr w14:paraId="0F7127A8">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49B912CA">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9237" w:type="dxa"/>
            <w:tcBorders>
              <w:top w:val="single" w:color="auto" w:sz="4" w:space="0"/>
              <w:left w:val="single" w:color="auto" w:sz="4" w:space="0"/>
              <w:bottom w:val="single" w:color="auto" w:sz="4" w:space="0"/>
              <w:right w:val="single" w:color="auto" w:sz="4" w:space="0"/>
            </w:tcBorders>
            <w:noWrap/>
            <w:vAlign w:val="center"/>
          </w:tcPr>
          <w:p w14:paraId="4AFD9448">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环卫工存在拾荒或不在工作状态现象，扣除所在区域承包单位月考核1000元。</w:t>
            </w:r>
          </w:p>
        </w:tc>
      </w:tr>
      <w:tr w14:paraId="08972C8F">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7870E0FA">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9237" w:type="dxa"/>
            <w:tcBorders>
              <w:top w:val="single" w:color="auto" w:sz="4" w:space="0"/>
              <w:left w:val="single" w:color="auto" w:sz="4" w:space="0"/>
              <w:bottom w:val="single" w:color="auto" w:sz="4" w:space="0"/>
              <w:right w:val="single" w:color="auto" w:sz="4" w:space="0"/>
            </w:tcBorders>
            <w:noWrap/>
            <w:vAlign w:val="center"/>
          </w:tcPr>
          <w:p w14:paraId="1AC1A5DD">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在检查中发现道路严重缺员，根据情节扣除所在区域承包单位月考核10000—50000元。</w:t>
            </w:r>
          </w:p>
        </w:tc>
      </w:tr>
      <w:tr w14:paraId="182BA712">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0FAF0373">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9237" w:type="dxa"/>
            <w:tcBorders>
              <w:top w:val="single" w:color="auto" w:sz="4" w:space="0"/>
              <w:left w:val="single" w:color="auto" w:sz="4" w:space="0"/>
              <w:bottom w:val="single" w:color="auto" w:sz="4" w:space="0"/>
              <w:right w:val="single" w:color="auto" w:sz="4" w:space="0"/>
            </w:tcBorders>
            <w:noWrap/>
            <w:vAlign w:val="center"/>
          </w:tcPr>
          <w:p w14:paraId="3F288D98">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同一条道路经常出现保洁不到位现象，扣除所在区域承包单位月考核5000元。</w:t>
            </w:r>
          </w:p>
        </w:tc>
      </w:tr>
      <w:tr w14:paraId="55EBBAD3">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6938645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9237" w:type="dxa"/>
            <w:tcBorders>
              <w:top w:val="single" w:color="auto" w:sz="4" w:space="0"/>
              <w:left w:val="single" w:color="auto" w:sz="4" w:space="0"/>
              <w:bottom w:val="single" w:color="auto" w:sz="4" w:space="0"/>
              <w:right w:val="single" w:color="auto" w:sz="4" w:space="0"/>
            </w:tcBorders>
            <w:noWrap/>
            <w:vAlign w:val="center"/>
          </w:tcPr>
          <w:p w14:paraId="0FD5BEB4">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环卫工将树叶、垃圾、尘土等扫入绿化带、下水井，扣除所在区域承包单位月考核2000元。</w:t>
            </w:r>
          </w:p>
        </w:tc>
      </w:tr>
      <w:tr w14:paraId="66082029">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58F83797">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9237" w:type="dxa"/>
            <w:tcBorders>
              <w:top w:val="single" w:color="auto" w:sz="4" w:space="0"/>
              <w:left w:val="single" w:color="auto" w:sz="4" w:space="0"/>
              <w:bottom w:val="single" w:color="auto" w:sz="4" w:space="0"/>
              <w:right w:val="single" w:color="auto" w:sz="4" w:space="0"/>
            </w:tcBorders>
            <w:noWrap/>
            <w:vAlign w:val="center"/>
          </w:tcPr>
          <w:p w14:paraId="0B2E394B">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焚烧垃圾、落叶、杂物或对焚烧垃圾、落叶、杂物的扣除所在区域承包单位月考核10000元。</w:t>
            </w:r>
          </w:p>
        </w:tc>
      </w:tr>
      <w:tr w14:paraId="59E53768">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45A9656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9237" w:type="dxa"/>
            <w:tcBorders>
              <w:top w:val="single" w:color="auto" w:sz="4" w:space="0"/>
              <w:left w:val="nil"/>
              <w:bottom w:val="single" w:color="auto" w:sz="4" w:space="0"/>
              <w:right w:val="single" w:color="auto" w:sz="4" w:space="0"/>
            </w:tcBorders>
            <w:noWrap/>
            <w:vAlign w:val="center"/>
          </w:tcPr>
          <w:p w14:paraId="5B06597B">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道路灰带、扬尘冲洗降尘不及时，扣除所在区域承包单位月考核5000元。</w:t>
            </w:r>
          </w:p>
        </w:tc>
      </w:tr>
      <w:tr w14:paraId="3935A96D">
        <w:tblPrEx>
          <w:tblCellMar>
            <w:top w:w="0" w:type="dxa"/>
            <w:left w:w="108" w:type="dxa"/>
            <w:bottom w:w="0" w:type="dxa"/>
            <w:right w:w="108" w:type="dxa"/>
          </w:tblCellMar>
        </w:tblPrEx>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7B60744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c>
          <w:tcPr>
            <w:tcW w:w="9237" w:type="dxa"/>
            <w:tcBorders>
              <w:top w:val="nil"/>
              <w:left w:val="nil"/>
              <w:bottom w:val="single" w:color="auto" w:sz="4" w:space="0"/>
              <w:right w:val="single" w:color="auto" w:sz="4" w:space="0"/>
            </w:tcBorders>
            <w:noWrap/>
            <w:vAlign w:val="center"/>
          </w:tcPr>
          <w:p w14:paraId="323C23CE">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市级各部门月考核检查通报问题，轻微的扣除该承包单位月考核5000元，严重的扣除所在区域承包单位月考核10000元。</w:t>
            </w:r>
          </w:p>
        </w:tc>
      </w:tr>
      <w:tr w14:paraId="0AFCB7E7">
        <w:tblPrEx>
          <w:tblCellMar>
            <w:top w:w="0" w:type="dxa"/>
            <w:left w:w="108" w:type="dxa"/>
            <w:bottom w:w="0" w:type="dxa"/>
            <w:right w:w="108" w:type="dxa"/>
          </w:tblCellMar>
        </w:tblPrEx>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52E02F8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w:t>
            </w:r>
          </w:p>
        </w:tc>
        <w:tc>
          <w:tcPr>
            <w:tcW w:w="9237" w:type="dxa"/>
            <w:tcBorders>
              <w:top w:val="nil"/>
              <w:left w:val="nil"/>
              <w:bottom w:val="single" w:color="auto" w:sz="4" w:space="0"/>
              <w:right w:val="single" w:color="auto" w:sz="4" w:space="0"/>
            </w:tcBorders>
            <w:noWrap/>
            <w:vAlign w:val="center"/>
          </w:tcPr>
          <w:p w14:paraId="2310667B">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接到上级部门指示，遇到火灾火情各承包单位应无条件执行，必须在30分钟内到达火灾现场，无未按规定执行或未按时到达的，扣除所在区域承包单位月考核10000元。</w:t>
            </w:r>
          </w:p>
        </w:tc>
      </w:tr>
      <w:tr w14:paraId="5C61750E">
        <w:tblPrEx>
          <w:tblCellMar>
            <w:top w:w="0" w:type="dxa"/>
            <w:left w:w="108" w:type="dxa"/>
            <w:bottom w:w="0" w:type="dxa"/>
            <w:right w:w="108" w:type="dxa"/>
          </w:tblCellMar>
        </w:tblPrEx>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1B77C728">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c>
          <w:tcPr>
            <w:tcW w:w="9237" w:type="dxa"/>
            <w:tcBorders>
              <w:top w:val="nil"/>
              <w:left w:val="nil"/>
              <w:bottom w:val="single" w:color="auto" w:sz="4" w:space="0"/>
              <w:right w:val="single" w:color="auto" w:sz="4" w:space="0"/>
            </w:tcBorders>
            <w:noWrap/>
            <w:vAlign w:val="center"/>
          </w:tcPr>
          <w:p w14:paraId="79DB293F">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环卫工私自上访，聚众闹事的，根据情节扣除所在区域承包单位月考核10000—50000元。</w:t>
            </w:r>
          </w:p>
        </w:tc>
      </w:tr>
      <w:tr w14:paraId="097C70A7">
        <w:tblPrEx>
          <w:tblCellMar>
            <w:top w:w="0" w:type="dxa"/>
            <w:left w:w="108" w:type="dxa"/>
            <w:bottom w:w="0" w:type="dxa"/>
            <w:right w:w="108" w:type="dxa"/>
          </w:tblCellMar>
        </w:tblPrEx>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2C236637">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w:t>
            </w:r>
          </w:p>
        </w:tc>
        <w:tc>
          <w:tcPr>
            <w:tcW w:w="9237" w:type="dxa"/>
            <w:tcBorders>
              <w:top w:val="nil"/>
              <w:left w:val="nil"/>
              <w:bottom w:val="single" w:color="auto" w:sz="4" w:space="0"/>
              <w:right w:val="single" w:color="auto" w:sz="4" w:space="0"/>
            </w:tcBorders>
            <w:noWrap/>
            <w:vAlign w:val="center"/>
          </w:tcPr>
          <w:p w14:paraId="2B783846">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遇下雨、下雪等特殊天气，应急工作开展不及时或不得力，扣除所在区域承包单位月考核10000元。</w:t>
            </w:r>
          </w:p>
        </w:tc>
      </w:tr>
      <w:tr w14:paraId="38A445D6">
        <w:tblPrEx>
          <w:tblCellMar>
            <w:top w:w="0" w:type="dxa"/>
            <w:left w:w="108" w:type="dxa"/>
            <w:bottom w:w="0" w:type="dxa"/>
            <w:right w:w="108" w:type="dxa"/>
          </w:tblCellMar>
        </w:tblPrEx>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450EF44C">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w:t>
            </w:r>
          </w:p>
        </w:tc>
        <w:tc>
          <w:tcPr>
            <w:tcW w:w="9237" w:type="dxa"/>
            <w:tcBorders>
              <w:top w:val="nil"/>
              <w:left w:val="nil"/>
              <w:bottom w:val="single" w:color="auto" w:sz="4" w:space="0"/>
              <w:right w:val="single" w:color="auto" w:sz="4" w:space="0"/>
            </w:tcBorders>
            <w:noWrap/>
            <w:vAlign w:val="center"/>
          </w:tcPr>
          <w:p w14:paraId="14EE0FC1">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每月开展2次大冲洗、大擦洗、大清理活动，如未按规定执行或活动开展不力，每次扣除所在区域承包单位月考核5000元。</w:t>
            </w:r>
          </w:p>
        </w:tc>
      </w:tr>
      <w:tr w14:paraId="647F3911">
        <w:tblPrEx>
          <w:tblCellMar>
            <w:top w:w="0" w:type="dxa"/>
            <w:left w:w="108" w:type="dxa"/>
            <w:bottom w:w="0" w:type="dxa"/>
            <w:right w:w="108" w:type="dxa"/>
          </w:tblCellMar>
        </w:tblPrEx>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03B714B3">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w:t>
            </w:r>
          </w:p>
        </w:tc>
        <w:tc>
          <w:tcPr>
            <w:tcW w:w="9237" w:type="dxa"/>
            <w:tcBorders>
              <w:top w:val="nil"/>
              <w:left w:val="nil"/>
              <w:bottom w:val="single" w:color="auto" w:sz="4" w:space="0"/>
              <w:right w:val="single" w:color="auto" w:sz="4" w:space="0"/>
            </w:tcBorders>
            <w:noWrap/>
            <w:vAlign w:val="center"/>
          </w:tcPr>
          <w:p w14:paraId="5B816B7C">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不按指定加水点加水，在他处乱取水被投诉或媒体曝光的，扣除所在区域承包单位月考核5000元。</w:t>
            </w:r>
          </w:p>
        </w:tc>
      </w:tr>
      <w:tr w14:paraId="66D4C999">
        <w:tblPrEx>
          <w:tblCellMar>
            <w:top w:w="0" w:type="dxa"/>
            <w:left w:w="108" w:type="dxa"/>
            <w:bottom w:w="0" w:type="dxa"/>
            <w:right w:w="108" w:type="dxa"/>
          </w:tblCellMar>
        </w:tblPrEx>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4F42754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w:t>
            </w:r>
          </w:p>
        </w:tc>
        <w:tc>
          <w:tcPr>
            <w:tcW w:w="9237" w:type="dxa"/>
            <w:tcBorders>
              <w:top w:val="nil"/>
              <w:left w:val="nil"/>
              <w:bottom w:val="single" w:color="auto" w:sz="4" w:space="0"/>
              <w:right w:val="single" w:color="auto" w:sz="4" w:space="0"/>
            </w:tcBorders>
            <w:noWrap/>
            <w:vAlign w:val="center"/>
          </w:tcPr>
          <w:p w14:paraId="25447488">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各承包单位须有专人监管、派发、回复数字化案卷，对转派的数字化待办案卷须及时处理，处理过程计入时效考核，从信息中心派发案卷起1.5小时内处理回复视为有效处理。超出1.5小时回复处理的视为超时处理，每个案卷扣除该承包单位月考核500元；如隔天有未处理回复的待办案卷，每个案卷扣除该承包单位月考核1000元；如出现有压置不处理待办案卷的承包单位，每个案卷扣除该承包单位月考核2000元。</w:t>
            </w:r>
          </w:p>
        </w:tc>
      </w:tr>
      <w:tr w14:paraId="13385686">
        <w:tblPrEx>
          <w:tblCellMar>
            <w:top w:w="0" w:type="dxa"/>
            <w:left w:w="108" w:type="dxa"/>
            <w:bottom w:w="0" w:type="dxa"/>
            <w:right w:w="108" w:type="dxa"/>
          </w:tblCellMar>
        </w:tblPrEx>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16A63750">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c>
          <w:tcPr>
            <w:tcW w:w="9237" w:type="dxa"/>
            <w:tcBorders>
              <w:top w:val="nil"/>
              <w:left w:val="nil"/>
              <w:bottom w:val="single" w:color="auto" w:sz="4" w:space="0"/>
              <w:right w:val="single" w:color="auto" w:sz="4" w:space="0"/>
            </w:tcBorders>
            <w:noWrap/>
            <w:vAlign w:val="center"/>
          </w:tcPr>
          <w:p w14:paraId="17A6D6EB">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各承包单位在收到待办案卷后，须无条件在规定时效内处理回复。如出现有案卷不在保洁范围内或职责内，需说明具体原因并驳回；如出现属于自身职责范围内的案卷而驳回的承包单位，视为压置不处理案卷，每个案卷扣除该承包单位月考核2000元。</w:t>
            </w:r>
          </w:p>
        </w:tc>
      </w:tr>
      <w:tr w14:paraId="59E0A2A4">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14766FA8">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w:t>
            </w:r>
          </w:p>
        </w:tc>
        <w:tc>
          <w:tcPr>
            <w:tcW w:w="9237" w:type="dxa"/>
            <w:tcBorders>
              <w:top w:val="single" w:color="auto" w:sz="4" w:space="0"/>
              <w:left w:val="single" w:color="auto" w:sz="4" w:space="0"/>
              <w:bottom w:val="single" w:color="auto" w:sz="4" w:space="0"/>
              <w:right w:val="single" w:color="auto" w:sz="4" w:space="0"/>
            </w:tcBorders>
            <w:noWrap/>
            <w:vAlign w:val="center"/>
          </w:tcPr>
          <w:p w14:paraId="752DC1CC">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各承包单位在待办案卷处理完成后，须及时上传处理后照片（如一张不能说明问题，须上传有效数量的照片以说明问题），上传照片须清晰并与原图片相符。如出现未上传照片或上传照片与原图片不符提交案卷被中心平台驳回的承包单位，每个案卷扣除该承包单位月考核1000元。</w:t>
            </w:r>
          </w:p>
        </w:tc>
      </w:tr>
      <w:tr w14:paraId="554A037B">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7B66AC91">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22</w:t>
            </w:r>
          </w:p>
        </w:tc>
        <w:tc>
          <w:tcPr>
            <w:tcW w:w="9237" w:type="dxa"/>
            <w:tcBorders>
              <w:top w:val="single" w:color="auto" w:sz="4" w:space="0"/>
              <w:left w:val="single" w:color="auto" w:sz="4" w:space="0"/>
              <w:bottom w:val="single" w:color="auto" w:sz="4" w:space="0"/>
              <w:right w:val="single" w:color="auto" w:sz="4" w:space="0"/>
            </w:tcBorders>
            <w:noWrap/>
            <w:vAlign w:val="center"/>
          </w:tcPr>
          <w:p w14:paraId="13BD956E">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各承包单位收到的待办案卷如有地址描述不清楚或未附整改图片的，须及时联系环卫部业务主管核实情况，严禁随意驳回，如出现随意驳回案卷的承包单位，每个案卷扣除该承包单位月考核1000元。</w:t>
            </w:r>
          </w:p>
        </w:tc>
      </w:tr>
      <w:tr w14:paraId="1885EC2D">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209D4383">
            <w:pPr>
              <w:jc w:val="center"/>
              <w:rPr>
                <w:rFonts w:hint="eastAsia" w:ascii="仿宋_GB2312" w:hAnsi="仿宋_GB2312" w:eastAsia="仿宋_GB2312" w:cs="仿宋_GB2312"/>
                <w:sz w:val="24"/>
                <w:szCs w:val="24"/>
              </w:rPr>
            </w:pPr>
          </w:p>
        </w:tc>
        <w:tc>
          <w:tcPr>
            <w:tcW w:w="9237" w:type="dxa"/>
            <w:tcBorders>
              <w:top w:val="single" w:color="auto" w:sz="4" w:space="0"/>
              <w:left w:val="single" w:color="auto" w:sz="4" w:space="0"/>
              <w:bottom w:val="single" w:color="auto" w:sz="4" w:space="0"/>
              <w:right w:val="single" w:color="auto" w:sz="4" w:space="0"/>
            </w:tcBorders>
            <w:noWrap/>
            <w:vAlign w:val="center"/>
          </w:tcPr>
          <w:p w14:paraId="6620A2D8">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奖补加分</w:t>
            </w:r>
          </w:p>
        </w:tc>
      </w:tr>
      <w:tr w14:paraId="3C513CC2">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4B2705C1">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9237" w:type="dxa"/>
            <w:tcBorders>
              <w:top w:val="single" w:color="auto" w:sz="4" w:space="0"/>
              <w:left w:val="single" w:color="auto" w:sz="4" w:space="0"/>
              <w:bottom w:val="single" w:color="auto" w:sz="4" w:space="0"/>
              <w:right w:val="single" w:color="auto" w:sz="4" w:space="0"/>
            </w:tcBorders>
            <w:noWrap/>
            <w:vAlign w:val="center"/>
          </w:tcPr>
          <w:p w14:paraId="0C091ACE">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道路保洁车辆（中大型机扫或冲洗车辆）每年年终数量比上一年车辆每增加一辆加1分（购车发票或采购合同）奖励20000元，小型保洁车辆每增加一辆加0.5分奖励10000元（以购车发票或采购合同为准），车辆更新不得分。</w:t>
            </w:r>
          </w:p>
        </w:tc>
      </w:tr>
      <w:tr w14:paraId="4EA12BFD">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62C86DB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9237" w:type="dxa"/>
            <w:tcBorders>
              <w:top w:val="single" w:color="auto" w:sz="4" w:space="0"/>
              <w:left w:val="single" w:color="auto" w:sz="4" w:space="0"/>
              <w:bottom w:val="single" w:color="auto" w:sz="4" w:space="0"/>
              <w:right w:val="single" w:color="auto" w:sz="4" w:space="0"/>
            </w:tcBorders>
            <w:noWrap/>
            <w:vAlign w:val="center"/>
          </w:tcPr>
          <w:p w14:paraId="583CA1E2">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召开全市性城市道路清扫保洁标准执行工作现场会推广先进工作经验的加5分，奖励100000元。</w:t>
            </w:r>
          </w:p>
        </w:tc>
      </w:tr>
      <w:tr w14:paraId="4882EE91">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55BB2EA1">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9237" w:type="dxa"/>
            <w:tcBorders>
              <w:top w:val="single" w:color="auto" w:sz="4" w:space="0"/>
              <w:left w:val="single" w:color="auto" w:sz="4" w:space="0"/>
              <w:bottom w:val="single" w:color="auto" w:sz="4" w:space="0"/>
              <w:right w:val="single" w:color="auto" w:sz="4" w:space="0"/>
            </w:tcBorders>
            <w:noWrap/>
            <w:vAlign w:val="center"/>
          </w:tcPr>
          <w:p w14:paraId="30C5F8AC">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开展城市道路清扫保洁工作被我市主流媒体报道的每次加0.5分，每次奖励10000元。</w:t>
            </w:r>
          </w:p>
        </w:tc>
      </w:tr>
      <w:tr w14:paraId="5DEC1985">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32CB0C0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9237" w:type="dxa"/>
            <w:tcBorders>
              <w:top w:val="single" w:color="auto" w:sz="4" w:space="0"/>
              <w:left w:val="single" w:color="auto" w:sz="4" w:space="0"/>
              <w:bottom w:val="single" w:color="auto" w:sz="4" w:space="0"/>
              <w:right w:val="single" w:color="auto" w:sz="4" w:space="0"/>
            </w:tcBorders>
            <w:noWrap/>
            <w:vAlign w:val="center"/>
          </w:tcPr>
          <w:p w14:paraId="7B6DF294">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当月全市清扫保洁月度考核排名：第一名奖励100000元，第二名奖励50000元，第三名奖励30000元。（按照抽取道路数量及得分占比进行奖励）</w:t>
            </w:r>
          </w:p>
        </w:tc>
      </w:tr>
    </w:tbl>
    <w:p w14:paraId="0C7A22EE">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br w:type="page"/>
      </w:r>
      <w:r>
        <w:rPr>
          <w:rFonts w:hint="eastAsia" w:ascii="仿宋_GB2312" w:hAnsi="仿宋_GB2312" w:eastAsia="仿宋_GB2312" w:cs="仿宋_GB2312"/>
          <w:b/>
          <w:bCs/>
          <w:sz w:val="24"/>
          <w:szCs w:val="24"/>
        </w:rPr>
        <w:t>2、高新区城市道路清扫保洁质量评价表</w:t>
      </w:r>
    </w:p>
    <w:p w14:paraId="2F6FF84F">
      <w:pPr>
        <w:rPr>
          <w:rFonts w:hint="eastAsia" w:ascii="仿宋_GB2312" w:hAnsi="仿宋_GB2312" w:eastAsia="仿宋_GB2312" w:cs="仿宋_GB2312"/>
          <w:b/>
          <w:bCs/>
          <w:sz w:val="24"/>
          <w:szCs w:val="24"/>
        </w:rPr>
      </w:pPr>
    </w:p>
    <w:tbl>
      <w:tblPr>
        <w:tblStyle w:val="10"/>
        <w:tblW w:w="1042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2"/>
        <w:gridCol w:w="400"/>
        <w:gridCol w:w="697"/>
        <w:gridCol w:w="709"/>
        <w:gridCol w:w="613"/>
        <w:gridCol w:w="505"/>
        <w:gridCol w:w="586"/>
        <w:gridCol w:w="437"/>
        <w:gridCol w:w="750"/>
        <w:gridCol w:w="491"/>
        <w:gridCol w:w="709"/>
        <w:gridCol w:w="559"/>
        <w:gridCol w:w="720"/>
        <w:gridCol w:w="460"/>
        <w:gridCol w:w="749"/>
        <w:gridCol w:w="501"/>
        <w:gridCol w:w="761"/>
        <w:gridCol w:w="480"/>
      </w:tblGrid>
      <w:tr w14:paraId="08DDBE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1" w:hRule="atLeast"/>
          <w:jc w:val="center"/>
        </w:trPr>
        <w:tc>
          <w:tcPr>
            <w:tcW w:w="302" w:type="dxa"/>
            <w:vMerge w:val="restart"/>
            <w:noWrap w:val="0"/>
            <w:vAlign w:val="center"/>
          </w:tcPr>
          <w:p w14:paraId="1D2356E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道路等级</w:t>
            </w:r>
          </w:p>
        </w:tc>
        <w:tc>
          <w:tcPr>
            <w:tcW w:w="400" w:type="dxa"/>
            <w:vMerge w:val="restart"/>
            <w:noWrap w:val="0"/>
            <w:vAlign w:val="center"/>
          </w:tcPr>
          <w:p w14:paraId="2FBBAC1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类别</w:t>
            </w:r>
          </w:p>
        </w:tc>
        <w:tc>
          <w:tcPr>
            <w:tcW w:w="1406" w:type="dxa"/>
            <w:gridSpan w:val="2"/>
            <w:noWrap w:val="0"/>
            <w:vAlign w:val="center"/>
          </w:tcPr>
          <w:p w14:paraId="3CB1E0E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果皮纸屑塑料袋等垃圾</w:t>
            </w:r>
          </w:p>
          <w:p w14:paraId="092CE68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（路面污染物）</w:t>
            </w:r>
          </w:p>
          <w:p w14:paraId="4C75D82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（10分）</w:t>
            </w:r>
          </w:p>
        </w:tc>
        <w:tc>
          <w:tcPr>
            <w:tcW w:w="1118" w:type="dxa"/>
            <w:gridSpan w:val="2"/>
            <w:noWrap w:val="0"/>
            <w:vAlign w:val="center"/>
          </w:tcPr>
          <w:p w14:paraId="2029130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积泥</w:t>
            </w:r>
          </w:p>
          <w:p w14:paraId="7D9DA92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（10分）</w:t>
            </w:r>
          </w:p>
        </w:tc>
        <w:tc>
          <w:tcPr>
            <w:tcW w:w="1023" w:type="dxa"/>
            <w:gridSpan w:val="2"/>
            <w:noWrap w:val="0"/>
            <w:vAlign w:val="center"/>
          </w:tcPr>
          <w:p w14:paraId="2D5B1CE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污水</w:t>
            </w:r>
          </w:p>
          <w:p w14:paraId="5403A00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（10分）</w:t>
            </w:r>
          </w:p>
        </w:tc>
        <w:tc>
          <w:tcPr>
            <w:tcW w:w="1241" w:type="dxa"/>
            <w:gridSpan w:val="2"/>
            <w:noWrap w:val="0"/>
            <w:vAlign w:val="center"/>
          </w:tcPr>
          <w:p w14:paraId="37493E0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路面积尘</w:t>
            </w:r>
          </w:p>
          <w:p w14:paraId="10DC790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（25分)</w:t>
            </w:r>
          </w:p>
        </w:tc>
        <w:tc>
          <w:tcPr>
            <w:tcW w:w="1268" w:type="dxa"/>
            <w:gridSpan w:val="2"/>
            <w:noWrap w:val="0"/>
            <w:vAlign w:val="center"/>
          </w:tcPr>
          <w:p w14:paraId="1913C9F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 xml:space="preserve"> 烟头</w:t>
            </w:r>
          </w:p>
          <w:p w14:paraId="2BDAF1C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（15分）</w:t>
            </w:r>
          </w:p>
        </w:tc>
        <w:tc>
          <w:tcPr>
            <w:tcW w:w="1180" w:type="dxa"/>
            <w:gridSpan w:val="2"/>
            <w:noWrap w:val="0"/>
            <w:vAlign w:val="center"/>
          </w:tcPr>
          <w:p w14:paraId="0A68BE0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痰迹</w:t>
            </w:r>
          </w:p>
          <w:p w14:paraId="5789736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（10分）</w:t>
            </w:r>
          </w:p>
        </w:tc>
        <w:tc>
          <w:tcPr>
            <w:tcW w:w="1250" w:type="dxa"/>
            <w:gridSpan w:val="2"/>
            <w:noWrap w:val="0"/>
            <w:vAlign w:val="center"/>
          </w:tcPr>
          <w:p w14:paraId="4266992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小广告</w:t>
            </w:r>
          </w:p>
          <w:p w14:paraId="00526ED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（10分）</w:t>
            </w:r>
          </w:p>
        </w:tc>
        <w:tc>
          <w:tcPr>
            <w:tcW w:w="1241" w:type="dxa"/>
            <w:gridSpan w:val="2"/>
            <w:noWrap w:val="0"/>
            <w:vAlign w:val="center"/>
          </w:tcPr>
          <w:p w14:paraId="4C354EC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停留时间</w:t>
            </w:r>
          </w:p>
          <w:p w14:paraId="03818F0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（10分）</w:t>
            </w:r>
          </w:p>
        </w:tc>
      </w:tr>
      <w:tr w14:paraId="0C8540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6" w:hRule="atLeast"/>
          <w:jc w:val="center"/>
        </w:trPr>
        <w:tc>
          <w:tcPr>
            <w:tcW w:w="302" w:type="dxa"/>
            <w:vMerge w:val="continue"/>
            <w:tcBorders>
              <w:top w:val="nil"/>
            </w:tcBorders>
            <w:noWrap w:val="0"/>
            <w:vAlign w:val="center"/>
          </w:tcPr>
          <w:p w14:paraId="6172618C">
            <w:pPr>
              <w:jc w:val="center"/>
              <w:rPr>
                <w:rFonts w:hint="eastAsia" w:ascii="仿宋_GB2312" w:hAnsi="仿宋_GB2312" w:eastAsia="仿宋_GB2312" w:cs="仿宋_GB2312"/>
                <w:szCs w:val="21"/>
              </w:rPr>
            </w:pPr>
          </w:p>
        </w:tc>
        <w:tc>
          <w:tcPr>
            <w:tcW w:w="400" w:type="dxa"/>
            <w:vMerge w:val="continue"/>
            <w:tcBorders>
              <w:top w:val="nil"/>
            </w:tcBorders>
            <w:noWrap w:val="0"/>
            <w:vAlign w:val="center"/>
          </w:tcPr>
          <w:p w14:paraId="7557464D">
            <w:pPr>
              <w:jc w:val="center"/>
              <w:rPr>
                <w:rFonts w:hint="eastAsia" w:ascii="仿宋_GB2312" w:hAnsi="仿宋_GB2312" w:eastAsia="仿宋_GB2312" w:cs="仿宋_GB2312"/>
                <w:szCs w:val="21"/>
              </w:rPr>
            </w:pPr>
          </w:p>
        </w:tc>
        <w:tc>
          <w:tcPr>
            <w:tcW w:w="697" w:type="dxa"/>
            <w:noWrap w:val="0"/>
            <w:vAlign w:val="center"/>
          </w:tcPr>
          <w:p w14:paraId="62FFA01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检测</w:t>
            </w:r>
          </w:p>
          <w:p w14:paraId="4393718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结果</w:t>
            </w:r>
          </w:p>
          <w:p w14:paraId="4D1BFC0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（处</w:t>
            </w:r>
          </w:p>
          <w:p w14:paraId="2391C82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/1000m2）</w:t>
            </w:r>
          </w:p>
        </w:tc>
        <w:tc>
          <w:tcPr>
            <w:tcW w:w="709" w:type="dxa"/>
            <w:noWrap w:val="0"/>
            <w:vAlign w:val="center"/>
          </w:tcPr>
          <w:p w14:paraId="4812913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得分</w:t>
            </w:r>
          </w:p>
        </w:tc>
        <w:tc>
          <w:tcPr>
            <w:tcW w:w="613" w:type="dxa"/>
            <w:noWrap w:val="0"/>
            <w:vAlign w:val="center"/>
          </w:tcPr>
          <w:p w14:paraId="48C0C11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检测结果</w:t>
            </w:r>
          </w:p>
          <w:p w14:paraId="6482CA9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（处</w:t>
            </w:r>
          </w:p>
          <w:p w14:paraId="214CDA9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/1000m2）</w:t>
            </w:r>
          </w:p>
        </w:tc>
        <w:tc>
          <w:tcPr>
            <w:tcW w:w="505" w:type="dxa"/>
            <w:noWrap w:val="0"/>
            <w:vAlign w:val="center"/>
          </w:tcPr>
          <w:p w14:paraId="155710E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得分</w:t>
            </w:r>
          </w:p>
        </w:tc>
        <w:tc>
          <w:tcPr>
            <w:tcW w:w="586" w:type="dxa"/>
            <w:noWrap w:val="0"/>
            <w:vAlign w:val="center"/>
          </w:tcPr>
          <w:p w14:paraId="6FA2712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检测结果</w:t>
            </w:r>
          </w:p>
          <w:p w14:paraId="1F0C8F5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（处/1000 m2）</w:t>
            </w:r>
          </w:p>
        </w:tc>
        <w:tc>
          <w:tcPr>
            <w:tcW w:w="437" w:type="dxa"/>
            <w:noWrap w:val="0"/>
            <w:vAlign w:val="center"/>
          </w:tcPr>
          <w:p w14:paraId="65D7CE3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得分</w:t>
            </w:r>
          </w:p>
        </w:tc>
        <w:tc>
          <w:tcPr>
            <w:tcW w:w="750" w:type="dxa"/>
            <w:noWrap w:val="0"/>
            <w:vAlign w:val="center"/>
          </w:tcPr>
          <w:p w14:paraId="78CE1BAD">
            <w:pPr>
              <w:jc w:val="center"/>
              <w:rPr>
                <w:rFonts w:hint="eastAsia" w:ascii="仿宋_GB2312" w:hAnsi="仿宋_GB2312" w:eastAsia="仿宋_GB2312" w:cs="仿宋_GB2312"/>
                <w:szCs w:val="21"/>
              </w:rPr>
            </w:pPr>
          </w:p>
          <w:p w14:paraId="16CCB2E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检测</w:t>
            </w:r>
          </w:p>
          <w:p w14:paraId="1F23D56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结果</w:t>
            </w:r>
          </w:p>
          <w:p w14:paraId="6696202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（g/m2）</w:t>
            </w:r>
          </w:p>
        </w:tc>
        <w:tc>
          <w:tcPr>
            <w:tcW w:w="491" w:type="dxa"/>
            <w:noWrap w:val="0"/>
            <w:vAlign w:val="center"/>
          </w:tcPr>
          <w:p w14:paraId="40E9EEB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得分</w:t>
            </w:r>
          </w:p>
        </w:tc>
        <w:tc>
          <w:tcPr>
            <w:tcW w:w="709" w:type="dxa"/>
            <w:noWrap w:val="0"/>
            <w:vAlign w:val="center"/>
          </w:tcPr>
          <w:p w14:paraId="0DD28AE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检测</w:t>
            </w:r>
          </w:p>
          <w:p w14:paraId="1D3DD14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结果</w:t>
            </w:r>
          </w:p>
          <w:p w14:paraId="5B4E62C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（个</w:t>
            </w:r>
          </w:p>
          <w:p w14:paraId="63C27C3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/100m）</w:t>
            </w:r>
          </w:p>
        </w:tc>
        <w:tc>
          <w:tcPr>
            <w:tcW w:w="559" w:type="dxa"/>
            <w:noWrap w:val="0"/>
            <w:vAlign w:val="center"/>
          </w:tcPr>
          <w:p w14:paraId="6910349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得分</w:t>
            </w:r>
          </w:p>
        </w:tc>
        <w:tc>
          <w:tcPr>
            <w:tcW w:w="720" w:type="dxa"/>
            <w:noWrap w:val="0"/>
            <w:vAlign w:val="center"/>
          </w:tcPr>
          <w:p w14:paraId="6A5BC4F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检测</w:t>
            </w:r>
          </w:p>
          <w:p w14:paraId="62F2283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结果</w:t>
            </w:r>
          </w:p>
          <w:p w14:paraId="5D8FC9F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（个</w:t>
            </w:r>
          </w:p>
          <w:p w14:paraId="63FCCE9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/100m）</w:t>
            </w:r>
          </w:p>
        </w:tc>
        <w:tc>
          <w:tcPr>
            <w:tcW w:w="460" w:type="dxa"/>
            <w:noWrap w:val="0"/>
            <w:vAlign w:val="center"/>
          </w:tcPr>
          <w:p w14:paraId="033A5B0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得分</w:t>
            </w:r>
          </w:p>
        </w:tc>
        <w:tc>
          <w:tcPr>
            <w:tcW w:w="749" w:type="dxa"/>
            <w:noWrap w:val="0"/>
            <w:vAlign w:val="center"/>
          </w:tcPr>
          <w:p w14:paraId="79B0653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检测</w:t>
            </w:r>
          </w:p>
          <w:p w14:paraId="04460AC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结果</w:t>
            </w:r>
          </w:p>
          <w:p w14:paraId="159708C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（个</w:t>
            </w:r>
          </w:p>
          <w:p w14:paraId="30D9903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/100m）</w:t>
            </w:r>
          </w:p>
        </w:tc>
        <w:tc>
          <w:tcPr>
            <w:tcW w:w="501" w:type="dxa"/>
            <w:noWrap w:val="0"/>
            <w:vAlign w:val="center"/>
          </w:tcPr>
          <w:p w14:paraId="29CC31C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得分</w:t>
            </w:r>
          </w:p>
        </w:tc>
        <w:tc>
          <w:tcPr>
            <w:tcW w:w="761" w:type="dxa"/>
            <w:noWrap w:val="0"/>
            <w:vAlign w:val="center"/>
          </w:tcPr>
          <w:p w14:paraId="0FF6007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检测</w:t>
            </w:r>
          </w:p>
          <w:p w14:paraId="7AEAFBC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结果</w:t>
            </w:r>
          </w:p>
          <w:p w14:paraId="15A8540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（分）</w:t>
            </w:r>
          </w:p>
        </w:tc>
        <w:tc>
          <w:tcPr>
            <w:tcW w:w="480" w:type="dxa"/>
            <w:noWrap w:val="0"/>
            <w:vAlign w:val="center"/>
          </w:tcPr>
          <w:p w14:paraId="38870B9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得分</w:t>
            </w:r>
          </w:p>
        </w:tc>
      </w:tr>
      <w:tr w14:paraId="0F9B95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jc w:val="center"/>
        </w:trPr>
        <w:tc>
          <w:tcPr>
            <w:tcW w:w="302" w:type="dxa"/>
            <w:vMerge w:val="restart"/>
            <w:noWrap w:val="0"/>
            <w:vAlign w:val="center"/>
          </w:tcPr>
          <w:p w14:paraId="755D2903">
            <w:pPr>
              <w:jc w:val="center"/>
              <w:rPr>
                <w:rFonts w:hint="eastAsia" w:ascii="仿宋_GB2312" w:hAnsi="仿宋_GB2312" w:eastAsia="仿宋_GB2312" w:cs="仿宋_GB2312"/>
                <w:szCs w:val="21"/>
              </w:rPr>
            </w:pPr>
          </w:p>
          <w:p w14:paraId="21547F2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特级</w:t>
            </w:r>
          </w:p>
        </w:tc>
        <w:tc>
          <w:tcPr>
            <w:tcW w:w="400" w:type="dxa"/>
            <w:vMerge w:val="restart"/>
            <w:noWrap w:val="0"/>
            <w:vAlign w:val="center"/>
          </w:tcPr>
          <w:p w14:paraId="07378D00">
            <w:pPr>
              <w:jc w:val="center"/>
              <w:rPr>
                <w:rFonts w:hint="eastAsia" w:ascii="仿宋_GB2312" w:hAnsi="仿宋_GB2312" w:eastAsia="仿宋_GB2312" w:cs="仿宋_GB2312"/>
                <w:szCs w:val="21"/>
              </w:rPr>
            </w:pPr>
          </w:p>
          <w:p w14:paraId="1CC07C4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车行道</w:t>
            </w:r>
          </w:p>
        </w:tc>
        <w:tc>
          <w:tcPr>
            <w:tcW w:w="697" w:type="dxa"/>
            <w:noWrap w:val="0"/>
            <w:vAlign w:val="center"/>
          </w:tcPr>
          <w:p w14:paraId="604B866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709" w:type="dxa"/>
            <w:noWrap w:val="0"/>
            <w:vAlign w:val="center"/>
          </w:tcPr>
          <w:p w14:paraId="656202F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613" w:type="dxa"/>
            <w:noWrap w:val="0"/>
            <w:vAlign w:val="center"/>
          </w:tcPr>
          <w:p w14:paraId="6A1DABC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5" w:type="dxa"/>
            <w:noWrap w:val="0"/>
            <w:vAlign w:val="center"/>
          </w:tcPr>
          <w:p w14:paraId="220D489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86" w:type="dxa"/>
            <w:noWrap w:val="0"/>
            <w:vAlign w:val="center"/>
          </w:tcPr>
          <w:p w14:paraId="05C288D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437" w:type="dxa"/>
            <w:noWrap w:val="0"/>
            <w:vAlign w:val="center"/>
          </w:tcPr>
          <w:p w14:paraId="67C341C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50" w:type="dxa"/>
            <w:noWrap w:val="0"/>
            <w:vAlign w:val="center"/>
          </w:tcPr>
          <w:p w14:paraId="31C7ECD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91" w:type="dxa"/>
            <w:noWrap w:val="0"/>
            <w:vAlign w:val="center"/>
          </w:tcPr>
          <w:p w14:paraId="26AC540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709" w:type="dxa"/>
            <w:noWrap w:val="0"/>
            <w:vAlign w:val="center"/>
          </w:tcPr>
          <w:p w14:paraId="2A2A7A8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59" w:type="dxa"/>
            <w:noWrap w:val="0"/>
            <w:vAlign w:val="center"/>
          </w:tcPr>
          <w:p w14:paraId="4177C2F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20" w:type="dxa"/>
            <w:noWrap w:val="0"/>
            <w:vAlign w:val="center"/>
          </w:tcPr>
          <w:p w14:paraId="7EBD604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60" w:type="dxa"/>
            <w:noWrap w:val="0"/>
            <w:vAlign w:val="center"/>
          </w:tcPr>
          <w:p w14:paraId="70B0395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49" w:type="dxa"/>
            <w:noWrap w:val="0"/>
            <w:vAlign w:val="center"/>
          </w:tcPr>
          <w:p w14:paraId="1A25AF6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1" w:type="dxa"/>
            <w:noWrap w:val="0"/>
            <w:vAlign w:val="center"/>
          </w:tcPr>
          <w:p w14:paraId="7D3BD48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 分</w:t>
            </w:r>
          </w:p>
        </w:tc>
        <w:tc>
          <w:tcPr>
            <w:tcW w:w="761" w:type="dxa"/>
            <w:noWrap w:val="0"/>
            <w:vAlign w:val="center"/>
          </w:tcPr>
          <w:p w14:paraId="34DBE8E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80" w:type="dxa"/>
            <w:noWrap w:val="0"/>
            <w:vAlign w:val="center"/>
          </w:tcPr>
          <w:p w14:paraId="2FDDE08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14:paraId="241B5E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jc w:val="center"/>
        </w:trPr>
        <w:tc>
          <w:tcPr>
            <w:tcW w:w="302" w:type="dxa"/>
            <w:vMerge w:val="continue"/>
            <w:tcBorders>
              <w:top w:val="nil"/>
            </w:tcBorders>
            <w:noWrap w:val="0"/>
            <w:vAlign w:val="center"/>
          </w:tcPr>
          <w:p w14:paraId="4A8C2810">
            <w:pPr>
              <w:jc w:val="center"/>
              <w:rPr>
                <w:rFonts w:hint="eastAsia" w:ascii="仿宋_GB2312" w:hAnsi="仿宋_GB2312" w:eastAsia="仿宋_GB2312" w:cs="仿宋_GB2312"/>
                <w:szCs w:val="21"/>
              </w:rPr>
            </w:pPr>
          </w:p>
        </w:tc>
        <w:tc>
          <w:tcPr>
            <w:tcW w:w="400" w:type="dxa"/>
            <w:vMerge w:val="continue"/>
            <w:tcBorders>
              <w:top w:val="nil"/>
            </w:tcBorders>
            <w:noWrap w:val="0"/>
            <w:vAlign w:val="center"/>
          </w:tcPr>
          <w:p w14:paraId="7899AC8E">
            <w:pPr>
              <w:jc w:val="center"/>
              <w:rPr>
                <w:rFonts w:hint="eastAsia" w:ascii="仿宋_GB2312" w:hAnsi="仿宋_GB2312" w:eastAsia="仿宋_GB2312" w:cs="仿宋_GB2312"/>
                <w:szCs w:val="21"/>
              </w:rPr>
            </w:pPr>
          </w:p>
        </w:tc>
        <w:tc>
          <w:tcPr>
            <w:tcW w:w="697" w:type="dxa"/>
            <w:vMerge w:val="restart"/>
            <w:noWrap w:val="0"/>
            <w:vAlign w:val="center"/>
          </w:tcPr>
          <w:p w14:paraId="62648CE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709" w:type="dxa"/>
            <w:vMerge w:val="restart"/>
            <w:noWrap w:val="0"/>
            <w:vAlign w:val="center"/>
          </w:tcPr>
          <w:p w14:paraId="52E6101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613" w:type="dxa"/>
            <w:vMerge w:val="restart"/>
            <w:noWrap w:val="0"/>
            <w:vAlign w:val="center"/>
          </w:tcPr>
          <w:p w14:paraId="0659DE3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5" w:type="dxa"/>
            <w:vMerge w:val="restart"/>
            <w:noWrap w:val="0"/>
            <w:vAlign w:val="center"/>
          </w:tcPr>
          <w:p w14:paraId="0E5C23B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586" w:type="dxa"/>
            <w:vMerge w:val="restart"/>
            <w:noWrap w:val="0"/>
            <w:vAlign w:val="center"/>
          </w:tcPr>
          <w:p w14:paraId="55C2D3B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437" w:type="dxa"/>
            <w:vMerge w:val="restart"/>
            <w:noWrap w:val="0"/>
            <w:vAlign w:val="center"/>
          </w:tcPr>
          <w:p w14:paraId="2E83100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50" w:type="dxa"/>
            <w:vMerge w:val="restart"/>
            <w:noWrap w:val="0"/>
            <w:vAlign w:val="center"/>
          </w:tcPr>
          <w:p w14:paraId="1D1759E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91" w:type="dxa"/>
            <w:vMerge w:val="restart"/>
            <w:noWrap w:val="0"/>
            <w:vAlign w:val="center"/>
          </w:tcPr>
          <w:p w14:paraId="4797D95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09" w:type="dxa"/>
            <w:vMerge w:val="restart"/>
            <w:noWrap w:val="0"/>
            <w:vAlign w:val="center"/>
          </w:tcPr>
          <w:p w14:paraId="466ECEF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559" w:type="dxa"/>
            <w:vMerge w:val="restart"/>
            <w:noWrap w:val="0"/>
            <w:vAlign w:val="center"/>
          </w:tcPr>
          <w:p w14:paraId="68BBE77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20" w:type="dxa"/>
            <w:vMerge w:val="restart"/>
            <w:noWrap w:val="0"/>
            <w:vAlign w:val="center"/>
          </w:tcPr>
          <w:p w14:paraId="3298D2A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460" w:type="dxa"/>
            <w:vMerge w:val="restart"/>
            <w:noWrap w:val="0"/>
            <w:vAlign w:val="center"/>
          </w:tcPr>
          <w:p w14:paraId="56E6171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49" w:type="dxa"/>
            <w:vMerge w:val="restart"/>
            <w:noWrap w:val="0"/>
            <w:vAlign w:val="center"/>
          </w:tcPr>
          <w:p w14:paraId="7B2F81A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w:t>
            </w:r>
          </w:p>
        </w:tc>
        <w:tc>
          <w:tcPr>
            <w:tcW w:w="501" w:type="dxa"/>
            <w:vMerge w:val="restart"/>
            <w:noWrap w:val="0"/>
            <w:vAlign w:val="center"/>
          </w:tcPr>
          <w:p w14:paraId="0688A17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61" w:type="dxa"/>
            <w:noWrap w:val="0"/>
            <w:vAlign w:val="center"/>
          </w:tcPr>
          <w:p w14:paraId="207E559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5∽10</w:t>
            </w:r>
          </w:p>
        </w:tc>
        <w:tc>
          <w:tcPr>
            <w:tcW w:w="480" w:type="dxa"/>
            <w:noWrap w:val="0"/>
            <w:vAlign w:val="center"/>
          </w:tcPr>
          <w:p w14:paraId="6A118D7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r>
      <w:tr w14:paraId="54AF36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jc w:val="center"/>
        </w:trPr>
        <w:tc>
          <w:tcPr>
            <w:tcW w:w="302" w:type="dxa"/>
            <w:vMerge w:val="continue"/>
            <w:tcBorders>
              <w:top w:val="nil"/>
            </w:tcBorders>
            <w:noWrap w:val="0"/>
            <w:vAlign w:val="center"/>
          </w:tcPr>
          <w:p w14:paraId="03BEDBF3">
            <w:pPr>
              <w:jc w:val="center"/>
              <w:rPr>
                <w:rFonts w:hint="eastAsia" w:ascii="仿宋_GB2312" w:hAnsi="仿宋_GB2312" w:eastAsia="仿宋_GB2312" w:cs="仿宋_GB2312"/>
                <w:szCs w:val="21"/>
              </w:rPr>
            </w:pPr>
          </w:p>
        </w:tc>
        <w:tc>
          <w:tcPr>
            <w:tcW w:w="400" w:type="dxa"/>
            <w:vMerge w:val="continue"/>
            <w:tcBorders>
              <w:top w:val="nil"/>
            </w:tcBorders>
            <w:noWrap w:val="0"/>
            <w:vAlign w:val="center"/>
          </w:tcPr>
          <w:p w14:paraId="445BA807">
            <w:pPr>
              <w:jc w:val="center"/>
              <w:rPr>
                <w:rFonts w:hint="eastAsia" w:ascii="仿宋_GB2312" w:hAnsi="仿宋_GB2312" w:eastAsia="仿宋_GB2312" w:cs="仿宋_GB2312"/>
                <w:szCs w:val="21"/>
              </w:rPr>
            </w:pPr>
          </w:p>
        </w:tc>
        <w:tc>
          <w:tcPr>
            <w:tcW w:w="697" w:type="dxa"/>
            <w:vMerge w:val="continue"/>
            <w:tcBorders>
              <w:top w:val="nil"/>
            </w:tcBorders>
            <w:noWrap w:val="0"/>
            <w:vAlign w:val="center"/>
          </w:tcPr>
          <w:p w14:paraId="7EC6A571">
            <w:pPr>
              <w:jc w:val="center"/>
              <w:rPr>
                <w:rFonts w:hint="eastAsia" w:ascii="仿宋_GB2312" w:hAnsi="仿宋_GB2312" w:eastAsia="仿宋_GB2312" w:cs="仿宋_GB2312"/>
                <w:szCs w:val="21"/>
              </w:rPr>
            </w:pPr>
          </w:p>
        </w:tc>
        <w:tc>
          <w:tcPr>
            <w:tcW w:w="709" w:type="dxa"/>
            <w:vMerge w:val="continue"/>
            <w:tcBorders>
              <w:top w:val="nil"/>
            </w:tcBorders>
            <w:noWrap w:val="0"/>
            <w:vAlign w:val="center"/>
          </w:tcPr>
          <w:p w14:paraId="291BD131">
            <w:pPr>
              <w:jc w:val="center"/>
              <w:rPr>
                <w:rFonts w:hint="eastAsia" w:ascii="仿宋_GB2312" w:hAnsi="仿宋_GB2312" w:eastAsia="仿宋_GB2312" w:cs="仿宋_GB2312"/>
                <w:szCs w:val="21"/>
              </w:rPr>
            </w:pPr>
          </w:p>
        </w:tc>
        <w:tc>
          <w:tcPr>
            <w:tcW w:w="613" w:type="dxa"/>
            <w:vMerge w:val="continue"/>
            <w:tcBorders>
              <w:top w:val="nil"/>
            </w:tcBorders>
            <w:noWrap w:val="0"/>
            <w:vAlign w:val="center"/>
          </w:tcPr>
          <w:p w14:paraId="3D554AF8">
            <w:pPr>
              <w:jc w:val="center"/>
              <w:rPr>
                <w:rFonts w:hint="eastAsia" w:ascii="仿宋_GB2312" w:hAnsi="仿宋_GB2312" w:eastAsia="仿宋_GB2312" w:cs="仿宋_GB2312"/>
                <w:szCs w:val="21"/>
              </w:rPr>
            </w:pPr>
          </w:p>
        </w:tc>
        <w:tc>
          <w:tcPr>
            <w:tcW w:w="505" w:type="dxa"/>
            <w:vMerge w:val="continue"/>
            <w:tcBorders>
              <w:top w:val="nil"/>
            </w:tcBorders>
            <w:noWrap w:val="0"/>
            <w:vAlign w:val="center"/>
          </w:tcPr>
          <w:p w14:paraId="71DEDEEA">
            <w:pPr>
              <w:jc w:val="center"/>
              <w:rPr>
                <w:rFonts w:hint="eastAsia" w:ascii="仿宋_GB2312" w:hAnsi="仿宋_GB2312" w:eastAsia="仿宋_GB2312" w:cs="仿宋_GB2312"/>
                <w:szCs w:val="21"/>
              </w:rPr>
            </w:pPr>
          </w:p>
        </w:tc>
        <w:tc>
          <w:tcPr>
            <w:tcW w:w="586" w:type="dxa"/>
            <w:vMerge w:val="continue"/>
            <w:tcBorders>
              <w:top w:val="nil"/>
            </w:tcBorders>
            <w:noWrap w:val="0"/>
            <w:vAlign w:val="center"/>
          </w:tcPr>
          <w:p w14:paraId="29F1A6C4">
            <w:pPr>
              <w:jc w:val="center"/>
              <w:rPr>
                <w:rFonts w:hint="eastAsia" w:ascii="仿宋_GB2312" w:hAnsi="仿宋_GB2312" w:eastAsia="仿宋_GB2312" w:cs="仿宋_GB2312"/>
                <w:szCs w:val="21"/>
              </w:rPr>
            </w:pPr>
          </w:p>
        </w:tc>
        <w:tc>
          <w:tcPr>
            <w:tcW w:w="437" w:type="dxa"/>
            <w:vMerge w:val="continue"/>
            <w:tcBorders>
              <w:top w:val="nil"/>
            </w:tcBorders>
            <w:noWrap w:val="0"/>
            <w:vAlign w:val="center"/>
          </w:tcPr>
          <w:p w14:paraId="57F970AD">
            <w:pPr>
              <w:jc w:val="center"/>
              <w:rPr>
                <w:rFonts w:hint="eastAsia" w:ascii="仿宋_GB2312" w:hAnsi="仿宋_GB2312" w:eastAsia="仿宋_GB2312" w:cs="仿宋_GB2312"/>
                <w:szCs w:val="21"/>
              </w:rPr>
            </w:pPr>
          </w:p>
        </w:tc>
        <w:tc>
          <w:tcPr>
            <w:tcW w:w="750" w:type="dxa"/>
            <w:vMerge w:val="continue"/>
            <w:tcBorders>
              <w:top w:val="nil"/>
            </w:tcBorders>
            <w:noWrap w:val="0"/>
            <w:vAlign w:val="center"/>
          </w:tcPr>
          <w:p w14:paraId="394C492D">
            <w:pPr>
              <w:jc w:val="center"/>
              <w:rPr>
                <w:rFonts w:hint="eastAsia" w:ascii="仿宋_GB2312" w:hAnsi="仿宋_GB2312" w:eastAsia="仿宋_GB2312" w:cs="仿宋_GB2312"/>
                <w:szCs w:val="21"/>
              </w:rPr>
            </w:pPr>
          </w:p>
        </w:tc>
        <w:tc>
          <w:tcPr>
            <w:tcW w:w="491" w:type="dxa"/>
            <w:vMerge w:val="continue"/>
            <w:tcBorders>
              <w:top w:val="nil"/>
            </w:tcBorders>
            <w:noWrap w:val="0"/>
            <w:vAlign w:val="center"/>
          </w:tcPr>
          <w:p w14:paraId="636BBB99">
            <w:pPr>
              <w:jc w:val="center"/>
              <w:rPr>
                <w:rFonts w:hint="eastAsia" w:ascii="仿宋_GB2312" w:hAnsi="仿宋_GB2312" w:eastAsia="仿宋_GB2312" w:cs="仿宋_GB2312"/>
                <w:szCs w:val="21"/>
              </w:rPr>
            </w:pPr>
          </w:p>
        </w:tc>
        <w:tc>
          <w:tcPr>
            <w:tcW w:w="709" w:type="dxa"/>
            <w:vMerge w:val="continue"/>
            <w:tcBorders>
              <w:top w:val="nil"/>
            </w:tcBorders>
            <w:noWrap w:val="0"/>
            <w:vAlign w:val="center"/>
          </w:tcPr>
          <w:p w14:paraId="0498840A">
            <w:pPr>
              <w:jc w:val="center"/>
              <w:rPr>
                <w:rFonts w:hint="eastAsia" w:ascii="仿宋_GB2312" w:hAnsi="仿宋_GB2312" w:eastAsia="仿宋_GB2312" w:cs="仿宋_GB2312"/>
                <w:szCs w:val="21"/>
              </w:rPr>
            </w:pPr>
          </w:p>
        </w:tc>
        <w:tc>
          <w:tcPr>
            <w:tcW w:w="559" w:type="dxa"/>
            <w:vMerge w:val="continue"/>
            <w:tcBorders>
              <w:top w:val="nil"/>
            </w:tcBorders>
            <w:noWrap w:val="0"/>
            <w:vAlign w:val="center"/>
          </w:tcPr>
          <w:p w14:paraId="53C30285">
            <w:pPr>
              <w:jc w:val="center"/>
              <w:rPr>
                <w:rFonts w:hint="eastAsia" w:ascii="仿宋_GB2312" w:hAnsi="仿宋_GB2312" w:eastAsia="仿宋_GB2312" w:cs="仿宋_GB2312"/>
                <w:szCs w:val="21"/>
              </w:rPr>
            </w:pPr>
          </w:p>
        </w:tc>
        <w:tc>
          <w:tcPr>
            <w:tcW w:w="720" w:type="dxa"/>
            <w:vMerge w:val="continue"/>
            <w:tcBorders>
              <w:top w:val="nil"/>
            </w:tcBorders>
            <w:noWrap w:val="0"/>
            <w:vAlign w:val="center"/>
          </w:tcPr>
          <w:p w14:paraId="123B177F">
            <w:pPr>
              <w:jc w:val="center"/>
              <w:rPr>
                <w:rFonts w:hint="eastAsia" w:ascii="仿宋_GB2312" w:hAnsi="仿宋_GB2312" w:eastAsia="仿宋_GB2312" w:cs="仿宋_GB2312"/>
                <w:szCs w:val="21"/>
              </w:rPr>
            </w:pPr>
          </w:p>
        </w:tc>
        <w:tc>
          <w:tcPr>
            <w:tcW w:w="460" w:type="dxa"/>
            <w:vMerge w:val="continue"/>
            <w:tcBorders>
              <w:top w:val="nil"/>
            </w:tcBorders>
            <w:noWrap w:val="0"/>
            <w:vAlign w:val="center"/>
          </w:tcPr>
          <w:p w14:paraId="03A4B050">
            <w:pPr>
              <w:jc w:val="center"/>
              <w:rPr>
                <w:rFonts w:hint="eastAsia" w:ascii="仿宋_GB2312" w:hAnsi="仿宋_GB2312" w:eastAsia="仿宋_GB2312" w:cs="仿宋_GB2312"/>
                <w:szCs w:val="21"/>
              </w:rPr>
            </w:pPr>
          </w:p>
        </w:tc>
        <w:tc>
          <w:tcPr>
            <w:tcW w:w="749" w:type="dxa"/>
            <w:vMerge w:val="continue"/>
            <w:tcBorders>
              <w:top w:val="nil"/>
            </w:tcBorders>
            <w:noWrap w:val="0"/>
            <w:vAlign w:val="center"/>
          </w:tcPr>
          <w:p w14:paraId="4F5156D8">
            <w:pPr>
              <w:jc w:val="center"/>
              <w:rPr>
                <w:rFonts w:hint="eastAsia" w:ascii="仿宋_GB2312" w:hAnsi="仿宋_GB2312" w:eastAsia="仿宋_GB2312" w:cs="仿宋_GB2312"/>
                <w:szCs w:val="21"/>
              </w:rPr>
            </w:pPr>
          </w:p>
        </w:tc>
        <w:tc>
          <w:tcPr>
            <w:tcW w:w="501" w:type="dxa"/>
            <w:vMerge w:val="continue"/>
            <w:tcBorders>
              <w:top w:val="nil"/>
            </w:tcBorders>
            <w:noWrap w:val="0"/>
            <w:vAlign w:val="center"/>
          </w:tcPr>
          <w:p w14:paraId="4C226AEE">
            <w:pPr>
              <w:jc w:val="center"/>
              <w:rPr>
                <w:rFonts w:hint="eastAsia" w:ascii="仿宋_GB2312" w:hAnsi="仿宋_GB2312" w:eastAsia="仿宋_GB2312" w:cs="仿宋_GB2312"/>
                <w:szCs w:val="21"/>
              </w:rPr>
            </w:pPr>
          </w:p>
        </w:tc>
        <w:tc>
          <w:tcPr>
            <w:tcW w:w="761" w:type="dxa"/>
            <w:noWrap w:val="0"/>
            <w:vAlign w:val="center"/>
          </w:tcPr>
          <w:p w14:paraId="2663E9E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&gt;10</w:t>
            </w:r>
          </w:p>
        </w:tc>
        <w:tc>
          <w:tcPr>
            <w:tcW w:w="480" w:type="dxa"/>
            <w:noWrap w:val="0"/>
            <w:vAlign w:val="center"/>
          </w:tcPr>
          <w:p w14:paraId="17FBB77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r>
      <w:tr w14:paraId="0C7399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jc w:val="center"/>
        </w:trPr>
        <w:tc>
          <w:tcPr>
            <w:tcW w:w="302" w:type="dxa"/>
            <w:vMerge w:val="continue"/>
            <w:tcBorders>
              <w:top w:val="nil"/>
            </w:tcBorders>
            <w:noWrap w:val="0"/>
            <w:vAlign w:val="center"/>
          </w:tcPr>
          <w:p w14:paraId="2F24A7C2">
            <w:pPr>
              <w:jc w:val="center"/>
              <w:rPr>
                <w:rFonts w:hint="eastAsia" w:ascii="仿宋_GB2312" w:hAnsi="仿宋_GB2312" w:eastAsia="仿宋_GB2312" w:cs="仿宋_GB2312"/>
                <w:szCs w:val="21"/>
              </w:rPr>
            </w:pPr>
          </w:p>
        </w:tc>
        <w:tc>
          <w:tcPr>
            <w:tcW w:w="400" w:type="dxa"/>
            <w:vMerge w:val="restart"/>
            <w:noWrap w:val="0"/>
            <w:vAlign w:val="center"/>
          </w:tcPr>
          <w:p w14:paraId="401D54CA">
            <w:pPr>
              <w:jc w:val="center"/>
              <w:rPr>
                <w:rFonts w:hint="eastAsia" w:ascii="仿宋_GB2312" w:hAnsi="仿宋_GB2312" w:eastAsia="仿宋_GB2312" w:cs="仿宋_GB2312"/>
                <w:szCs w:val="21"/>
              </w:rPr>
            </w:pPr>
          </w:p>
          <w:p w14:paraId="2395B2C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人行道</w:t>
            </w:r>
          </w:p>
        </w:tc>
        <w:tc>
          <w:tcPr>
            <w:tcW w:w="697" w:type="dxa"/>
            <w:noWrap w:val="0"/>
            <w:vAlign w:val="center"/>
          </w:tcPr>
          <w:p w14:paraId="3FE5C99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709" w:type="dxa"/>
            <w:noWrap w:val="0"/>
            <w:vAlign w:val="center"/>
          </w:tcPr>
          <w:p w14:paraId="77A73C4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613" w:type="dxa"/>
            <w:noWrap w:val="0"/>
            <w:vAlign w:val="center"/>
          </w:tcPr>
          <w:p w14:paraId="14CE1BF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5" w:type="dxa"/>
            <w:noWrap w:val="0"/>
            <w:vAlign w:val="center"/>
          </w:tcPr>
          <w:p w14:paraId="724B6C5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86" w:type="dxa"/>
            <w:noWrap w:val="0"/>
            <w:vAlign w:val="center"/>
          </w:tcPr>
          <w:p w14:paraId="4C9E7CB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437" w:type="dxa"/>
            <w:noWrap w:val="0"/>
            <w:vAlign w:val="center"/>
          </w:tcPr>
          <w:p w14:paraId="3433134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50" w:type="dxa"/>
            <w:noWrap w:val="0"/>
            <w:vAlign w:val="center"/>
          </w:tcPr>
          <w:p w14:paraId="3801643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91" w:type="dxa"/>
            <w:noWrap w:val="0"/>
            <w:vAlign w:val="center"/>
          </w:tcPr>
          <w:p w14:paraId="21B4340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709" w:type="dxa"/>
            <w:noWrap w:val="0"/>
            <w:vAlign w:val="center"/>
          </w:tcPr>
          <w:p w14:paraId="2743906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59" w:type="dxa"/>
            <w:noWrap w:val="0"/>
            <w:vAlign w:val="center"/>
          </w:tcPr>
          <w:p w14:paraId="364960A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20" w:type="dxa"/>
            <w:noWrap w:val="0"/>
            <w:vAlign w:val="center"/>
          </w:tcPr>
          <w:p w14:paraId="6C26F43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60" w:type="dxa"/>
            <w:noWrap w:val="0"/>
            <w:vAlign w:val="center"/>
          </w:tcPr>
          <w:p w14:paraId="30914D3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49" w:type="dxa"/>
            <w:noWrap w:val="0"/>
            <w:vAlign w:val="center"/>
          </w:tcPr>
          <w:p w14:paraId="408E5D6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1" w:type="dxa"/>
            <w:noWrap w:val="0"/>
            <w:vAlign w:val="center"/>
          </w:tcPr>
          <w:p w14:paraId="0278671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61" w:type="dxa"/>
            <w:noWrap w:val="0"/>
            <w:vAlign w:val="center"/>
          </w:tcPr>
          <w:p w14:paraId="2E07FB4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80" w:type="dxa"/>
            <w:noWrap w:val="0"/>
            <w:vAlign w:val="center"/>
          </w:tcPr>
          <w:p w14:paraId="0C7F91D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14:paraId="1FDB6C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jc w:val="center"/>
        </w:trPr>
        <w:tc>
          <w:tcPr>
            <w:tcW w:w="302" w:type="dxa"/>
            <w:vMerge w:val="continue"/>
            <w:tcBorders>
              <w:top w:val="nil"/>
            </w:tcBorders>
            <w:noWrap w:val="0"/>
            <w:vAlign w:val="center"/>
          </w:tcPr>
          <w:p w14:paraId="50E5CBB4">
            <w:pPr>
              <w:jc w:val="center"/>
              <w:rPr>
                <w:rFonts w:hint="eastAsia" w:ascii="仿宋_GB2312" w:hAnsi="仿宋_GB2312" w:eastAsia="仿宋_GB2312" w:cs="仿宋_GB2312"/>
                <w:szCs w:val="21"/>
              </w:rPr>
            </w:pPr>
          </w:p>
        </w:tc>
        <w:tc>
          <w:tcPr>
            <w:tcW w:w="400" w:type="dxa"/>
            <w:vMerge w:val="continue"/>
            <w:tcBorders>
              <w:top w:val="nil"/>
            </w:tcBorders>
            <w:noWrap w:val="0"/>
            <w:vAlign w:val="center"/>
          </w:tcPr>
          <w:p w14:paraId="38F9743D">
            <w:pPr>
              <w:jc w:val="center"/>
              <w:rPr>
                <w:rFonts w:hint="eastAsia" w:ascii="仿宋_GB2312" w:hAnsi="仿宋_GB2312" w:eastAsia="仿宋_GB2312" w:cs="仿宋_GB2312"/>
                <w:szCs w:val="21"/>
              </w:rPr>
            </w:pPr>
          </w:p>
        </w:tc>
        <w:tc>
          <w:tcPr>
            <w:tcW w:w="697" w:type="dxa"/>
            <w:vMerge w:val="restart"/>
            <w:noWrap w:val="0"/>
            <w:vAlign w:val="center"/>
          </w:tcPr>
          <w:p w14:paraId="64019CF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709" w:type="dxa"/>
            <w:vMerge w:val="restart"/>
            <w:noWrap w:val="0"/>
            <w:vAlign w:val="center"/>
          </w:tcPr>
          <w:p w14:paraId="19D9201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613" w:type="dxa"/>
            <w:vMerge w:val="restart"/>
            <w:noWrap w:val="0"/>
            <w:vAlign w:val="center"/>
          </w:tcPr>
          <w:p w14:paraId="74E12C7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5" w:type="dxa"/>
            <w:vMerge w:val="restart"/>
            <w:noWrap w:val="0"/>
            <w:vAlign w:val="center"/>
          </w:tcPr>
          <w:p w14:paraId="0AA41E8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586" w:type="dxa"/>
            <w:vMerge w:val="restart"/>
            <w:noWrap w:val="0"/>
            <w:vAlign w:val="center"/>
          </w:tcPr>
          <w:p w14:paraId="6DAAB1A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437" w:type="dxa"/>
            <w:vMerge w:val="restart"/>
            <w:noWrap w:val="0"/>
            <w:vAlign w:val="center"/>
          </w:tcPr>
          <w:p w14:paraId="083A41F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50" w:type="dxa"/>
            <w:noWrap w:val="0"/>
            <w:vAlign w:val="center"/>
          </w:tcPr>
          <w:p w14:paraId="025F568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5∽10</w:t>
            </w:r>
          </w:p>
        </w:tc>
        <w:tc>
          <w:tcPr>
            <w:tcW w:w="491" w:type="dxa"/>
            <w:vMerge w:val="restart"/>
            <w:noWrap w:val="0"/>
            <w:vAlign w:val="center"/>
          </w:tcPr>
          <w:p w14:paraId="6F7FD23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09" w:type="dxa"/>
            <w:vMerge w:val="restart"/>
            <w:noWrap w:val="0"/>
            <w:vAlign w:val="center"/>
          </w:tcPr>
          <w:p w14:paraId="75415FE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559" w:type="dxa"/>
            <w:vMerge w:val="restart"/>
            <w:noWrap w:val="0"/>
            <w:vAlign w:val="center"/>
          </w:tcPr>
          <w:p w14:paraId="411AD3E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20" w:type="dxa"/>
            <w:vMerge w:val="restart"/>
            <w:noWrap w:val="0"/>
            <w:vAlign w:val="center"/>
          </w:tcPr>
          <w:p w14:paraId="59DAEDE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460" w:type="dxa"/>
            <w:vMerge w:val="restart"/>
            <w:noWrap w:val="0"/>
            <w:vAlign w:val="center"/>
          </w:tcPr>
          <w:p w14:paraId="2E55E1B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49" w:type="dxa"/>
            <w:vMerge w:val="restart"/>
            <w:noWrap w:val="0"/>
            <w:vAlign w:val="center"/>
          </w:tcPr>
          <w:p w14:paraId="602119D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w:t>
            </w:r>
          </w:p>
        </w:tc>
        <w:tc>
          <w:tcPr>
            <w:tcW w:w="501" w:type="dxa"/>
            <w:vMerge w:val="restart"/>
            <w:noWrap w:val="0"/>
            <w:vAlign w:val="center"/>
          </w:tcPr>
          <w:p w14:paraId="1B24DD8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61" w:type="dxa"/>
            <w:noWrap w:val="0"/>
            <w:vAlign w:val="center"/>
          </w:tcPr>
          <w:p w14:paraId="4CCD292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5∽10</w:t>
            </w:r>
          </w:p>
        </w:tc>
        <w:tc>
          <w:tcPr>
            <w:tcW w:w="480" w:type="dxa"/>
            <w:noWrap w:val="0"/>
            <w:vAlign w:val="center"/>
          </w:tcPr>
          <w:p w14:paraId="54BC40F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r>
      <w:tr w14:paraId="155755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jc w:val="center"/>
        </w:trPr>
        <w:tc>
          <w:tcPr>
            <w:tcW w:w="302" w:type="dxa"/>
            <w:vMerge w:val="continue"/>
            <w:tcBorders>
              <w:top w:val="nil"/>
            </w:tcBorders>
            <w:noWrap w:val="0"/>
            <w:vAlign w:val="center"/>
          </w:tcPr>
          <w:p w14:paraId="4210DE69">
            <w:pPr>
              <w:jc w:val="center"/>
              <w:rPr>
                <w:rFonts w:hint="eastAsia" w:ascii="仿宋_GB2312" w:hAnsi="仿宋_GB2312" w:eastAsia="仿宋_GB2312" w:cs="仿宋_GB2312"/>
                <w:szCs w:val="21"/>
              </w:rPr>
            </w:pPr>
          </w:p>
        </w:tc>
        <w:tc>
          <w:tcPr>
            <w:tcW w:w="400" w:type="dxa"/>
            <w:vMerge w:val="continue"/>
            <w:tcBorders>
              <w:top w:val="nil"/>
            </w:tcBorders>
            <w:noWrap w:val="0"/>
            <w:vAlign w:val="center"/>
          </w:tcPr>
          <w:p w14:paraId="391950AC">
            <w:pPr>
              <w:jc w:val="center"/>
              <w:rPr>
                <w:rFonts w:hint="eastAsia" w:ascii="仿宋_GB2312" w:hAnsi="仿宋_GB2312" w:eastAsia="仿宋_GB2312" w:cs="仿宋_GB2312"/>
                <w:szCs w:val="21"/>
              </w:rPr>
            </w:pPr>
          </w:p>
        </w:tc>
        <w:tc>
          <w:tcPr>
            <w:tcW w:w="697" w:type="dxa"/>
            <w:vMerge w:val="continue"/>
            <w:tcBorders>
              <w:top w:val="nil"/>
            </w:tcBorders>
            <w:noWrap w:val="0"/>
            <w:vAlign w:val="center"/>
          </w:tcPr>
          <w:p w14:paraId="0432001E">
            <w:pPr>
              <w:jc w:val="center"/>
              <w:rPr>
                <w:rFonts w:hint="eastAsia" w:ascii="仿宋_GB2312" w:hAnsi="仿宋_GB2312" w:eastAsia="仿宋_GB2312" w:cs="仿宋_GB2312"/>
                <w:szCs w:val="21"/>
              </w:rPr>
            </w:pPr>
          </w:p>
        </w:tc>
        <w:tc>
          <w:tcPr>
            <w:tcW w:w="709" w:type="dxa"/>
            <w:vMerge w:val="continue"/>
            <w:tcBorders>
              <w:top w:val="nil"/>
            </w:tcBorders>
            <w:noWrap w:val="0"/>
            <w:vAlign w:val="center"/>
          </w:tcPr>
          <w:p w14:paraId="1C75B026">
            <w:pPr>
              <w:jc w:val="center"/>
              <w:rPr>
                <w:rFonts w:hint="eastAsia" w:ascii="仿宋_GB2312" w:hAnsi="仿宋_GB2312" w:eastAsia="仿宋_GB2312" w:cs="仿宋_GB2312"/>
                <w:szCs w:val="21"/>
              </w:rPr>
            </w:pPr>
          </w:p>
        </w:tc>
        <w:tc>
          <w:tcPr>
            <w:tcW w:w="613" w:type="dxa"/>
            <w:vMerge w:val="continue"/>
            <w:tcBorders>
              <w:top w:val="nil"/>
            </w:tcBorders>
            <w:noWrap w:val="0"/>
            <w:vAlign w:val="center"/>
          </w:tcPr>
          <w:p w14:paraId="14ACA0D7">
            <w:pPr>
              <w:jc w:val="center"/>
              <w:rPr>
                <w:rFonts w:hint="eastAsia" w:ascii="仿宋_GB2312" w:hAnsi="仿宋_GB2312" w:eastAsia="仿宋_GB2312" w:cs="仿宋_GB2312"/>
                <w:szCs w:val="21"/>
              </w:rPr>
            </w:pPr>
          </w:p>
        </w:tc>
        <w:tc>
          <w:tcPr>
            <w:tcW w:w="505" w:type="dxa"/>
            <w:vMerge w:val="continue"/>
            <w:tcBorders>
              <w:top w:val="nil"/>
            </w:tcBorders>
            <w:noWrap w:val="0"/>
            <w:vAlign w:val="center"/>
          </w:tcPr>
          <w:p w14:paraId="18B8F33A">
            <w:pPr>
              <w:jc w:val="center"/>
              <w:rPr>
                <w:rFonts w:hint="eastAsia" w:ascii="仿宋_GB2312" w:hAnsi="仿宋_GB2312" w:eastAsia="仿宋_GB2312" w:cs="仿宋_GB2312"/>
                <w:szCs w:val="21"/>
              </w:rPr>
            </w:pPr>
          </w:p>
        </w:tc>
        <w:tc>
          <w:tcPr>
            <w:tcW w:w="586" w:type="dxa"/>
            <w:vMerge w:val="continue"/>
            <w:tcBorders>
              <w:top w:val="nil"/>
            </w:tcBorders>
            <w:noWrap w:val="0"/>
            <w:vAlign w:val="center"/>
          </w:tcPr>
          <w:p w14:paraId="7A6E846D">
            <w:pPr>
              <w:jc w:val="center"/>
              <w:rPr>
                <w:rFonts w:hint="eastAsia" w:ascii="仿宋_GB2312" w:hAnsi="仿宋_GB2312" w:eastAsia="仿宋_GB2312" w:cs="仿宋_GB2312"/>
                <w:szCs w:val="21"/>
              </w:rPr>
            </w:pPr>
          </w:p>
        </w:tc>
        <w:tc>
          <w:tcPr>
            <w:tcW w:w="437" w:type="dxa"/>
            <w:vMerge w:val="continue"/>
            <w:tcBorders>
              <w:top w:val="nil"/>
            </w:tcBorders>
            <w:noWrap w:val="0"/>
            <w:vAlign w:val="center"/>
          </w:tcPr>
          <w:p w14:paraId="653C56C1">
            <w:pPr>
              <w:jc w:val="center"/>
              <w:rPr>
                <w:rFonts w:hint="eastAsia" w:ascii="仿宋_GB2312" w:hAnsi="仿宋_GB2312" w:eastAsia="仿宋_GB2312" w:cs="仿宋_GB2312"/>
                <w:szCs w:val="21"/>
              </w:rPr>
            </w:pPr>
          </w:p>
        </w:tc>
        <w:tc>
          <w:tcPr>
            <w:tcW w:w="750" w:type="dxa"/>
            <w:noWrap w:val="0"/>
            <w:vAlign w:val="center"/>
          </w:tcPr>
          <w:p w14:paraId="3DCBDF5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&gt;10</w:t>
            </w:r>
          </w:p>
        </w:tc>
        <w:tc>
          <w:tcPr>
            <w:tcW w:w="491" w:type="dxa"/>
            <w:vMerge w:val="continue"/>
            <w:tcBorders>
              <w:top w:val="nil"/>
            </w:tcBorders>
            <w:noWrap w:val="0"/>
            <w:vAlign w:val="center"/>
          </w:tcPr>
          <w:p w14:paraId="48DBF500">
            <w:pPr>
              <w:jc w:val="center"/>
              <w:rPr>
                <w:rFonts w:hint="eastAsia" w:ascii="仿宋_GB2312" w:hAnsi="仿宋_GB2312" w:eastAsia="仿宋_GB2312" w:cs="仿宋_GB2312"/>
                <w:szCs w:val="21"/>
              </w:rPr>
            </w:pPr>
          </w:p>
        </w:tc>
        <w:tc>
          <w:tcPr>
            <w:tcW w:w="709" w:type="dxa"/>
            <w:vMerge w:val="continue"/>
            <w:tcBorders>
              <w:top w:val="nil"/>
            </w:tcBorders>
            <w:noWrap w:val="0"/>
            <w:vAlign w:val="center"/>
          </w:tcPr>
          <w:p w14:paraId="2626CC1A">
            <w:pPr>
              <w:jc w:val="center"/>
              <w:rPr>
                <w:rFonts w:hint="eastAsia" w:ascii="仿宋_GB2312" w:hAnsi="仿宋_GB2312" w:eastAsia="仿宋_GB2312" w:cs="仿宋_GB2312"/>
                <w:szCs w:val="21"/>
              </w:rPr>
            </w:pPr>
          </w:p>
        </w:tc>
        <w:tc>
          <w:tcPr>
            <w:tcW w:w="559" w:type="dxa"/>
            <w:vMerge w:val="continue"/>
            <w:tcBorders>
              <w:top w:val="nil"/>
            </w:tcBorders>
            <w:noWrap w:val="0"/>
            <w:vAlign w:val="center"/>
          </w:tcPr>
          <w:p w14:paraId="7A892F46">
            <w:pPr>
              <w:jc w:val="center"/>
              <w:rPr>
                <w:rFonts w:hint="eastAsia" w:ascii="仿宋_GB2312" w:hAnsi="仿宋_GB2312" w:eastAsia="仿宋_GB2312" w:cs="仿宋_GB2312"/>
                <w:szCs w:val="21"/>
              </w:rPr>
            </w:pPr>
          </w:p>
        </w:tc>
        <w:tc>
          <w:tcPr>
            <w:tcW w:w="720" w:type="dxa"/>
            <w:vMerge w:val="continue"/>
            <w:tcBorders>
              <w:top w:val="nil"/>
            </w:tcBorders>
            <w:noWrap w:val="0"/>
            <w:vAlign w:val="center"/>
          </w:tcPr>
          <w:p w14:paraId="4CA204B8">
            <w:pPr>
              <w:jc w:val="center"/>
              <w:rPr>
                <w:rFonts w:hint="eastAsia" w:ascii="仿宋_GB2312" w:hAnsi="仿宋_GB2312" w:eastAsia="仿宋_GB2312" w:cs="仿宋_GB2312"/>
                <w:szCs w:val="21"/>
              </w:rPr>
            </w:pPr>
          </w:p>
        </w:tc>
        <w:tc>
          <w:tcPr>
            <w:tcW w:w="460" w:type="dxa"/>
            <w:vMerge w:val="continue"/>
            <w:tcBorders>
              <w:top w:val="nil"/>
            </w:tcBorders>
            <w:noWrap w:val="0"/>
            <w:vAlign w:val="center"/>
          </w:tcPr>
          <w:p w14:paraId="4EBDB11A">
            <w:pPr>
              <w:jc w:val="center"/>
              <w:rPr>
                <w:rFonts w:hint="eastAsia" w:ascii="仿宋_GB2312" w:hAnsi="仿宋_GB2312" w:eastAsia="仿宋_GB2312" w:cs="仿宋_GB2312"/>
                <w:szCs w:val="21"/>
              </w:rPr>
            </w:pPr>
          </w:p>
        </w:tc>
        <w:tc>
          <w:tcPr>
            <w:tcW w:w="749" w:type="dxa"/>
            <w:vMerge w:val="continue"/>
            <w:tcBorders>
              <w:top w:val="nil"/>
            </w:tcBorders>
            <w:noWrap w:val="0"/>
            <w:vAlign w:val="center"/>
          </w:tcPr>
          <w:p w14:paraId="1775A53A">
            <w:pPr>
              <w:jc w:val="center"/>
              <w:rPr>
                <w:rFonts w:hint="eastAsia" w:ascii="仿宋_GB2312" w:hAnsi="仿宋_GB2312" w:eastAsia="仿宋_GB2312" w:cs="仿宋_GB2312"/>
                <w:szCs w:val="21"/>
              </w:rPr>
            </w:pPr>
          </w:p>
        </w:tc>
        <w:tc>
          <w:tcPr>
            <w:tcW w:w="501" w:type="dxa"/>
            <w:vMerge w:val="continue"/>
            <w:tcBorders>
              <w:top w:val="nil"/>
            </w:tcBorders>
            <w:noWrap w:val="0"/>
            <w:vAlign w:val="center"/>
          </w:tcPr>
          <w:p w14:paraId="35278695">
            <w:pPr>
              <w:jc w:val="center"/>
              <w:rPr>
                <w:rFonts w:hint="eastAsia" w:ascii="仿宋_GB2312" w:hAnsi="仿宋_GB2312" w:eastAsia="仿宋_GB2312" w:cs="仿宋_GB2312"/>
                <w:szCs w:val="21"/>
              </w:rPr>
            </w:pPr>
          </w:p>
        </w:tc>
        <w:tc>
          <w:tcPr>
            <w:tcW w:w="761" w:type="dxa"/>
            <w:noWrap w:val="0"/>
            <w:vAlign w:val="center"/>
          </w:tcPr>
          <w:p w14:paraId="025285B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&gt;10</w:t>
            </w:r>
          </w:p>
        </w:tc>
        <w:tc>
          <w:tcPr>
            <w:tcW w:w="480" w:type="dxa"/>
            <w:noWrap w:val="0"/>
            <w:vAlign w:val="center"/>
          </w:tcPr>
          <w:p w14:paraId="4D52B15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r>
      <w:tr w14:paraId="7523F7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jc w:val="center"/>
        </w:trPr>
        <w:tc>
          <w:tcPr>
            <w:tcW w:w="302" w:type="dxa"/>
            <w:vMerge w:val="restart"/>
            <w:noWrap w:val="0"/>
            <w:vAlign w:val="center"/>
          </w:tcPr>
          <w:p w14:paraId="349EC7B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一级</w:t>
            </w:r>
          </w:p>
        </w:tc>
        <w:tc>
          <w:tcPr>
            <w:tcW w:w="400" w:type="dxa"/>
            <w:vMerge w:val="restart"/>
            <w:noWrap w:val="0"/>
            <w:vAlign w:val="center"/>
          </w:tcPr>
          <w:p w14:paraId="1EE1D28C">
            <w:pPr>
              <w:jc w:val="center"/>
              <w:rPr>
                <w:rFonts w:hint="eastAsia" w:ascii="仿宋_GB2312" w:hAnsi="仿宋_GB2312" w:eastAsia="仿宋_GB2312" w:cs="仿宋_GB2312"/>
                <w:szCs w:val="21"/>
              </w:rPr>
            </w:pPr>
          </w:p>
          <w:p w14:paraId="034AFC7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车行道</w:t>
            </w:r>
          </w:p>
        </w:tc>
        <w:tc>
          <w:tcPr>
            <w:tcW w:w="697" w:type="dxa"/>
            <w:noWrap w:val="0"/>
            <w:vAlign w:val="center"/>
          </w:tcPr>
          <w:p w14:paraId="5FB8B37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709" w:type="dxa"/>
            <w:noWrap w:val="0"/>
            <w:vAlign w:val="center"/>
          </w:tcPr>
          <w:p w14:paraId="5B41310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613" w:type="dxa"/>
            <w:noWrap w:val="0"/>
            <w:vAlign w:val="center"/>
          </w:tcPr>
          <w:p w14:paraId="01B253E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5" w:type="dxa"/>
            <w:noWrap w:val="0"/>
            <w:vAlign w:val="center"/>
          </w:tcPr>
          <w:p w14:paraId="5A0602C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86" w:type="dxa"/>
            <w:noWrap w:val="0"/>
            <w:vAlign w:val="center"/>
          </w:tcPr>
          <w:p w14:paraId="4857567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437" w:type="dxa"/>
            <w:noWrap w:val="0"/>
            <w:vAlign w:val="center"/>
          </w:tcPr>
          <w:p w14:paraId="7A8D42A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50" w:type="dxa"/>
            <w:noWrap w:val="0"/>
            <w:vAlign w:val="center"/>
          </w:tcPr>
          <w:p w14:paraId="2962108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91" w:type="dxa"/>
            <w:noWrap w:val="0"/>
            <w:vAlign w:val="center"/>
          </w:tcPr>
          <w:p w14:paraId="4CB821A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709" w:type="dxa"/>
            <w:noWrap w:val="0"/>
            <w:vAlign w:val="center"/>
          </w:tcPr>
          <w:p w14:paraId="289EFC2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59" w:type="dxa"/>
            <w:noWrap w:val="0"/>
            <w:vAlign w:val="center"/>
          </w:tcPr>
          <w:p w14:paraId="1F3101D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20" w:type="dxa"/>
            <w:noWrap w:val="0"/>
            <w:vAlign w:val="center"/>
          </w:tcPr>
          <w:p w14:paraId="600A6AA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60" w:type="dxa"/>
            <w:noWrap w:val="0"/>
            <w:vAlign w:val="center"/>
          </w:tcPr>
          <w:p w14:paraId="32669A0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49" w:type="dxa"/>
            <w:noWrap w:val="0"/>
            <w:vAlign w:val="center"/>
          </w:tcPr>
          <w:p w14:paraId="71F3F53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01" w:type="dxa"/>
            <w:noWrap w:val="0"/>
            <w:vAlign w:val="center"/>
          </w:tcPr>
          <w:p w14:paraId="05A2430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61" w:type="dxa"/>
            <w:noWrap w:val="0"/>
            <w:vAlign w:val="center"/>
          </w:tcPr>
          <w:p w14:paraId="23B0844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80" w:type="dxa"/>
            <w:noWrap w:val="0"/>
            <w:vAlign w:val="center"/>
          </w:tcPr>
          <w:p w14:paraId="242BFF0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14:paraId="79FEA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jc w:val="center"/>
        </w:trPr>
        <w:tc>
          <w:tcPr>
            <w:tcW w:w="302" w:type="dxa"/>
            <w:vMerge w:val="continue"/>
            <w:tcBorders>
              <w:top w:val="nil"/>
            </w:tcBorders>
            <w:noWrap w:val="0"/>
            <w:vAlign w:val="center"/>
          </w:tcPr>
          <w:p w14:paraId="40C74F8E">
            <w:pPr>
              <w:jc w:val="center"/>
              <w:rPr>
                <w:rFonts w:hint="eastAsia" w:ascii="仿宋_GB2312" w:hAnsi="仿宋_GB2312" w:eastAsia="仿宋_GB2312" w:cs="仿宋_GB2312"/>
                <w:szCs w:val="21"/>
              </w:rPr>
            </w:pPr>
          </w:p>
        </w:tc>
        <w:tc>
          <w:tcPr>
            <w:tcW w:w="400" w:type="dxa"/>
            <w:vMerge w:val="continue"/>
            <w:tcBorders>
              <w:top w:val="nil"/>
            </w:tcBorders>
            <w:noWrap w:val="0"/>
            <w:vAlign w:val="center"/>
          </w:tcPr>
          <w:p w14:paraId="7EC1BD10">
            <w:pPr>
              <w:jc w:val="center"/>
              <w:rPr>
                <w:rFonts w:hint="eastAsia" w:ascii="仿宋_GB2312" w:hAnsi="仿宋_GB2312" w:eastAsia="仿宋_GB2312" w:cs="仿宋_GB2312"/>
                <w:szCs w:val="21"/>
              </w:rPr>
            </w:pPr>
          </w:p>
        </w:tc>
        <w:tc>
          <w:tcPr>
            <w:tcW w:w="697" w:type="dxa"/>
            <w:noWrap w:val="0"/>
            <w:vAlign w:val="center"/>
          </w:tcPr>
          <w:p w14:paraId="5BCDE27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1∽3</w:t>
            </w:r>
          </w:p>
        </w:tc>
        <w:tc>
          <w:tcPr>
            <w:tcW w:w="709" w:type="dxa"/>
            <w:noWrap w:val="0"/>
            <w:vAlign w:val="center"/>
          </w:tcPr>
          <w:p w14:paraId="62CB3A6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613" w:type="dxa"/>
            <w:vMerge w:val="restart"/>
            <w:noWrap w:val="0"/>
            <w:vAlign w:val="center"/>
          </w:tcPr>
          <w:p w14:paraId="2C1BE54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w:t>
            </w:r>
          </w:p>
        </w:tc>
        <w:tc>
          <w:tcPr>
            <w:tcW w:w="505" w:type="dxa"/>
            <w:vMerge w:val="restart"/>
            <w:noWrap w:val="0"/>
            <w:vAlign w:val="center"/>
          </w:tcPr>
          <w:p w14:paraId="4FD24BF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586" w:type="dxa"/>
            <w:vMerge w:val="restart"/>
            <w:noWrap w:val="0"/>
            <w:vAlign w:val="center"/>
          </w:tcPr>
          <w:p w14:paraId="60D2A84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w:t>
            </w:r>
          </w:p>
        </w:tc>
        <w:tc>
          <w:tcPr>
            <w:tcW w:w="437" w:type="dxa"/>
            <w:vMerge w:val="restart"/>
            <w:noWrap w:val="0"/>
            <w:vAlign w:val="center"/>
          </w:tcPr>
          <w:p w14:paraId="291B75FD">
            <w:pPr>
              <w:jc w:val="center"/>
              <w:rPr>
                <w:rFonts w:hint="eastAsia" w:ascii="仿宋_GB2312" w:hAnsi="仿宋_GB2312" w:eastAsia="仿宋_GB2312" w:cs="仿宋_GB2312"/>
                <w:szCs w:val="21"/>
              </w:rPr>
            </w:pPr>
          </w:p>
          <w:p w14:paraId="535C70B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50" w:type="dxa"/>
            <w:noWrap w:val="0"/>
            <w:vAlign w:val="center"/>
          </w:tcPr>
          <w:p w14:paraId="5B1447A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5∽10</w:t>
            </w:r>
          </w:p>
        </w:tc>
        <w:tc>
          <w:tcPr>
            <w:tcW w:w="491" w:type="dxa"/>
            <w:noWrap w:val="0"/>
            <w:vAlign w:val="center"/>
          </w:tcPr>
          <w:p w14:paraId="4E7D0EF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09" w:type="dxa"/>
            <w:vMerge w:val="restart"/>
            <w:noWrap w:val="0"/>
            <w:vAlign w:val="center"/>
          </w:tcPr>
          <w:p w14:paraId="23134EA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559" w:type="dxa"/>
            <w:vMerge w:val="restart"/>
            <w:noWrap w:val="0"/>
            <w:vAlign w:val="center"/>
          </w:tcPr>
          <w:p w14:paraId="24BA737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20" w:type="dxa"/>
            <w:vMerge w:val="restart"/>
            <w:noWrap w:val="0"/>
            <w:vAlign w:val="center"/>
          </w:tcPr>
          <w:p w14:paraId="6CA2115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460" w:type="dxa"/>
            <w:vMerge w:val="restart"/>
            <w:noWrap w:val="0"/>
            <w:vAlign w:val="center"/>
          </w:tcPr>
          <w:p w14:paraId="4695554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49" w:type="dxa"/>
            <w:vMerge w:val="restart"/>
            <w:noWrap w:val="0"/>
            <w:vAlign w:val="center"/>
          </w:tcPr>
          <w:p w14:paraId="147D23E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501" w:type="dxa"/>
            <w:vMerge w:val="restart"/>
            <w:noWrap w:val="0"/>
            <w:vAlign w:val="center"/>
          </w:tcPr>
          <w:p w14:paraId="5CF638B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61" w:type="dxa"/>
            <w:noWrap w:val="0"/>
            <w:vAlign w:val="center"/>
          </w:tcPr>
          <w:p w14:paraId="2C2E80F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5∽10</w:t>
            </w:r>
          </w:p>
        </w:tc>
        <w:tc>
          <w:tcPr>
            <w:tcW w:w="480" w:type="dxa"/>
            <w:noWrap w:val="0"/>
            <w:vAlign w:val="center"/>
          </w:tcPr>
          <w:p w14:paraId="3CB7903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r>
      <w:tr w14:paraId="385ED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jc w:val="center"/>
        </w:trPr>
        <w:tc>
          <w:tcPr>
            <w:tcW w:w="302" w:type="dxa"/>
            <w:vMerge w:val="continue"/>
            <w:tcBorders>
              <w:top w:val="nil"/>
            </w:tcBorders>
            <w:noWrap w:val="0"/>
            <w:vAlign w:val="center"/>
          </w:tcPr>
          <w:p w14:paraId="65F3A50A">
            <w:pPr>
              <w:jc w:val="center"/>
              <w:rPr>
                <w:rFonts w:hint="eastAsia" w:ascii="仿宋_GB2312" w:hAnsi="仿宋_GB2312" w:eastAsia="仿宋_GB2312" w:cs="仿宋_GB2312"/>
                <w:szCs w:val="21"/>
              </w:rPr>
            </w:pPr>
          </w:p>
        </w:tc>
        <w:tc>
          <w:tcPr>
            <w:tcW w:w="400" w:type="dxa"/>
            <w:vMerge w:val="continue"/>
            <w:tcBorders>
              <w:top w:val="nil"/>
            </w:tcBorders>
            <w:noWrap w:val="0"/>
            <w:vAlign w:val="center"/>
          </w:tcPr>
          <w:p w14:paraId="0E9E1428">
            <w:pPr>
              <w:jc w:val="center"/>
              <w:rPr>
                <w:rFonts w:hint="eastAsia" w:ascii="仿宋_GB2312" w:hAnsi="仿宋_GB2312" w:eastAsia="仿宋_GB2312" w:cs="仿宋_GB2312"/>
                <w:szCs w:val="21"/>
              </w:rPr>
            </w:pPr>
          </w:p>
        </w:tc>
        <w:tc>
          <w:tcPr>
            <w:tcW w:w="697" w:type="dxa"/>
            <w:noWrap w:val="0"/>
            <w:vAlign w:val="center"/>
          </w:tcPr>
          <w:p w14:paraId="46ACBEF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w:t>
            </w:r>
          </w:p>
        </w:tc>
        <w:tc>
          <w:tcPr>
            <w:tcW w:w="709" w:type="dxa"/>
            <w:noWrap w:val="0"/>
            <w:vAlign w:val="center"/>
          </w:tcPr>
          <w:p w14:paraId="0F6BE1B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613" w:type="dxa"/>
            <w:vMerge w:val="continue"/>
            <w:tcBorders>
              <w:top w:val="nil"/>
            </w:tcBorders>
            <w:noWrap w:val="0"/>
            <w:vAlign w:val="center"/>
          </w:tcPr>
          <w:p w14:paraId="51D6DC32">
            <w:pPr>
              <w:jc w:val="center"/>
              <w:rPr>
                <w:rFonts w:hint="eastAsia" w:ascii="仿宋_GB2312" w:hAnsi="仿宋_GB2312" w:eastAsia="仿宋_GB2312" w:cs="仿宋_GB2312"/>
                <w:szCs w:val="21"/>
              </w:rPr>
            </w:pPr>
          </w:p>
        </w:tc>
        <w:tc>
          <w:tcPr>
            <w:tcW w:w="505" w:type="dxa"/>
            <w:vMerge w:val="continue"/>
            <w:tcBorders>
              <w:top w:val="nil"/>
            </w:tcBorders>
            <w:noWrap w:val="0"/>
            <w:vAlign w:val="center"/>
          </w:tcPr>
          <w:p w14:paraId="04AE46D1">
            <w:pPr>
              <w:jc w:val="center"/>
              <w:rPr>
                <w:rFonts w:hint="eastAsia" w:ascii="仿宋_GB2312" w:hAnsi="仿宋_GB2312" w:eastAsia="仿宋_GB2312" w:cs="仿宋_GB2312"/>
                <w:szCs w:val="21"/>
              </w:rPr>
            </w:pPr>
          </w:p>
        </w:tc>
        <w:tc>
          <w:tcPr>
            <w:tcW w:w="586" w:type="dxa"/>
            <w:vMerge w:val="continue"/>
            <w:tcBorders>
              <w:top w:val="nil"/>
            </w:tcBorders>
            <w:noWrap w:val="0"/>
            <w:vAlign w:val="center"/>
          </w:tcPr>
          <w:p w14:paraId="2BC9CB72">
            <w:pPr>
              <w:jc w:val="center"/>
              <w:rPr>
                <w:rFonts w:hint="eastAsia" w:ascii="仿宋_GB2312" w:hAnsi="仿宋_GB2312" w:eastAsia="仿宋_GB2312" w:cs="仿宋_GB2312"/>
                <w:szCs w:val="21"/>
              </w:rPr>
            </w:pPr>
          </w:p>
        </w:tc>
        <w:tc>
          <w:tcPr>
            <w:tcW w:w="437" w:type="dxa"/>
            <w:vMerge w:val="continue"/>
            <w:tcBorders>
              <w:top w:val="nil"/>
            </w:tcBorders>
            <w:noWrap w:val="0"/>
            <w:vAlign w:val="center"/>
          </w:tcPr>
          <w:p w14:paraId="236B8C02">
            <w:pPr>
              <w:jc w:val="center"/>
              <w:rPr>
                <w:rFonts w:hint="eastAsia" w:ascii="仿宋_GB2312" w:hAnsi="仿宋_GB2312" w:eastAsia="仿宋_GB2312" w:cs="仿宋_GB2312"/>
                <w:szCs w:val="21"/>
              </w:rPr>
            </w:pPr>
          </w:p>
        </w:tc>
        <w:tc>
          <w:tcPr>
            <w:tcW w:w="750" w:type="dxa"/>
            <w:noWrap w:val="0"/>
            <w:vAlign w:val="center"/>
          </w:tcPr>
          <w:p w14:paraId="15FC69C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&gt;10</w:t>
            </w:r>
          </w:p>
        </w:tc>
        <w:tc>
          <w:tcPr>
            <w:tcW w:w="491" w:type="dxa"/>
            <w:noWrap w:val="0"/>
            <w:vAlign w:val="center"/>
          </w:tcPr>
          <w:p w14:paraId="2770EB0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09" w:type="dxa"/>
            <w:vMerge w:val="continue"/>
            <w:tcBorders>
              <w:top w:val="nil"/>
            </w:tcBorders>
            <w:noWrap w:val="0"/>
            <w:vAlign w:val="center"/>
          </w:tcPr>
          <w:p w14:paraId="149C3372">
            <w:pPr>
              <w:jc w:val="center"/>
              <w:rPr>
                <w:rFonts w:hint="eastAsia" w:ascii="仿宋_GB2312" w:hAnsi="仿宋_GB2312" w:eastAsia="仿宋_GB2312" w:cs="仿宋_GB2312"/>
                <w:szCs w:val="21"/>
              </w:rPr>
            </w:pPr>
          </w:p>
        </w:tc>
        <w:tc>
          <w:tcPr>
            <w:tcW w:w="559" w:type="dxa"/>
            <w:vMerge w:val="continue"/>
            <w:tcBorders>
              <w:top w:val="nil"/>
            </w:tcBorders>
            <w:noWrap w:val="0"/>
            <w:vAlign w:val="center"/>
          </w:tcPr>
          <w:p w14:paraId="0CAAD1FA">
            <w:pPr>
              <w:jc w:val="center"/>
              <w:rPr>
                <w:rFonts w:hint="eastAsia" w:ascii="仿宋_GB2312" w:hAnsi="仿宋_GB2312" w:eastAsia="仿宋_GB2312" w:cs="仿宋_GB2312"/>
                <w:szCs w:val="21"/>
              </w:rPr>
            </w:pPr>
          </w:p>
        </w:tc>
        <w:tc>
          <w:tcPr>
            <w:tcW w:w="720" w:type="dxa"/>
            <w:vMerge w:val="continue"/>
            <w:tcBorders>
              <w:top w:val="nil"/>
            </w:tcBorders>
            <w:noWrap w:val="0"/>
            <w:vAlign w:val="center"/>
          </w:tcPr>
          <w:p w14:paraId="78ED584A">
            <w:pPr>
              <w:jc w:val="center"/>
              <w:rPr>
                <w:rFonts w:hint="eastAsia" w:ascii="仿宋_GB2312" w:hAnsi="仿宋_GB2312" w:eastAsia="仿宋_GB2312" w:cs="仿宋_GB2312"/>
                <w:szCs w:val="21"/>
              </w:rPr>
            </w:pPr>
          </w:p>
        </w:tc>
        <w:tc>
          <w:tcPr>
            <w:tcW w:w="460" w:type="dxa"/>
            <w:vMerge w:val="continue"/>
            <w:tcBorders>
              <w:top w:val="nil"/>
            </w:tcBorders>
            <w:noWrap w:val="0"/>
            <w:vAlign w:val="center"/>
          </w:tcPr>
          <w:p w14:paraId="50339F03">
            <w:pPr>
              <w:jc w:val="center"/>
              <w:rPr>
                <w:rFonts w:hint="eastAsia" w:ascii="仿宋_GB2312" w:hAnsi="仿宋_GB2312" w:eastAsia="仿宋_GB2312" w:cs="仿宋_GB2312"/>
                <w:szCs w:val="21"/>
              </w:rPr>
            </w:pPr>
          </w:p>
        </w:tc>
        <w:tc>
          <w:tcPr>
            <w:tcW w:w="749" w:type="dxa"/>
            <w:vMerge w:val="continue"/>
            <w:tcBorders>
              <w:top w:val="nil"/>
            </w:tcBorders>
            <w:noWrap w:val="0"/>
            <w:vAlign w:val="center"/>
          </w:tcPr>
          <w:p w14:paraId="2258F16C">
            <w:pPr>
              <w:jc w:val="center"/>
              <w:rPr>
                <w:rFonts w:hint="eastAsia" w:ascii="仿宋_GB2312" w:hAnsi="仿宋_GB2312" w:eastAsia="仿宋_GB2312" w:cs="仿宋_GB2312"/>
                <w:szCs w:val="21"/>
              </w:rPr>
            </w:pPr>
          </w:p>
        </w:tc>
        <w:tc>
          <w:tcPr>
            <w:tcW w:w="501" w:type="dxa"/>
            <w:vMerge w:val="continue"/>
            <w:tcBorders>
              <w:top w:val="nil"/>
            </w:tcBorders>
            <w:noWrap w:val="0"/>
            <w:vAlign w:val="center"/>
          </w:tcPr>
          <w:p w14:paraId="3F98D8CF">
            <w:pPr>
              <w:jc w:val="center"/>
              <w:rPr>
                <w:rFonts w:hint="eastAsia" w:ascii="仿宋_GB2312" w:hAnsi="仿宋_GB2312" w:eastAsia="仿宋_GB2312" w:cs="仿宋_GB2312"/>
                <w:szCs w:val="21"/>
              </w:rPr>
            </w:pPr>
          </w:p>
        </w:tc>
        <w:tc>
          <w:tcPr>
            <w:tcW w:w="761" w:type="dxa"/>
            <w:noWrap w:val="0"/>
            <w:vAlign w:val="center"/>
          </w:tcPr>
          <w:p w14:paraId="49D93D9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&gt;10</w:t>
            </w:r>
          </w:p>
        </w:tc>
        <w:tc>
          <w:tcPr>
            <w:tcW w:w="480" w:type="dxa"/>
            <w:noWrap w:val="0"/>
            <w:vAlign w:val="center"/>
          </w:tcPr>
          <w:p w14:paraId="5356731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r>
      <w:tr w14:paraId="767729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jc w:val="center"/>
        </w:trPr>
        <w:tc>
          <w:tcPr>
            <w:tcW w:w="302" w:type="dxa"/>
            <w:vMerge w:val="continue"/>
            <w:tcBorders>
              <w:top w:val="nil"/>
            </w:tcBorders>
            <w:noWrap w:val="0"/>
            <w:vAlign w:val="center"/>
          </w:tcPr>
          <w:p w14:paraId="11F9266F">
            <w:pPr>
              <w:jc w:val="center"/>
              <w:rPr>
                <w:rFonts w:hint="eastAsia" w:ascii="仿宋_GB2312" w:hAnsi="仿宋_GB2312" w:eastAsia="仿宋_GB2312" w:cs="仿宋_GB2312"/>
                <w:szCs w:val="21"/>
              </w:rPr>
            </w:pPr>
          </w:p>
        </w:tc>
        <w:tc>
          <w:tcPr>
            <w:tcW w:w="400" w:type="dxa"/>
            <w:vMerge w:val="restart"/>
            <w:noWrap w:val="0"/>
            <w:vAlign w:val="center"/>
          </w:tcPr>
          <w:p w14:paraId="374CB875">
            <w:pPr>
              <w:jc w:val="center"/>
              <w:rPr>
                <w:rFonts w:hint="eastAsia" w:ascii="仿宋_GB2312" w:hAnsi="仿宋_GB2312" w:eastAsia="仿宋_GB2312" w:cs="仿宋_GB2312"/>
                <w:szCs w:val="21"/>
              </w:rPr>
            </w:pPr>
          </w:p>
          <w:p w14:paraId="2963CFC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人行道</w:t>
            </w:r>
          </w:p>
        </w:tc>
        <w:tc>
          <w:tcPr>
            <w:tcW w:w="697" w:type="dxa"/>
            <w:noWrap w:val="0"/>
            <w:vAlign w:val="center"/>
          </w:tcPr>
          <w:p w14:paraId="3386439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709" w:type="dxa"/>
            <w:noWrap w:val="0"/>
            <w:vAlign w:val="center"/>
          </w:tcPr>
          <w:p w14:paraId="625D1E6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613" w:type="dxa"/>
            <w:noWrap w:val="0"/>
            <w:vAlign w:val="center"/>
          </w:tcPr>
          <w:p w14:paraId="61AAAF0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5" w:type="dxa"/>
            <w:noWrap w:val="0"/>
            <w:vAlign w:val="center"/>
          </w:tcPr>
          <w:p w14:paraId="6D95EF5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86" w:type="dxa"/>
            <w:noWrap w:val="0"/>
            <w:vAlign w:val="center"/>
          </w:tcPr>
          <w:p w14:paraId="1B255B5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437" w:type="dxa"/>
            <w:noWrap w:val="0"/>
            <w:vAlign w:val="center"/>
          </w:tcPr>
          <w:p w14:paraId="60D3EF1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50" w:type="dxa"/>
            <w:noWrap w:val="0"/>
            <w:vAlign w:val="center"/>
          </w:tcPr>
          <w:p w14:paraId="2F36381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91" w:type="dxa"/>
            <w:noWrap w:val="0"/>
            <w:vAlign w:val="center"/>
          </w:tcPr>
          <w:p w14:paraId="321B198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709" w:type="dxa"/>
            <w:noWrap w:val="0"/>
            <w:vAlign w:val="center"/>
          </w:tcPr>
          <w:p w14:paraId="3B7D1CA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59" w:type="dxa"/>
            <w:noWrap w:val="0"/>
            <w:vAlign w:val="center"/>
          </w:tcPr>
          <w:p w14:paraId="04B3DEA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20" w:type="dxa"/>
            <w:noWrap w:val="0"/>
            <w:vAlign w:val="center"/>
          </w:tcPr>
          <w:p w14:paraId="26F9884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60" w:type="dxa"/>
            <w:noWrap w:val="0"/>
            <w:vAlign w:val="center"/>
          </w:tcPr>
          <w:p w14:paraId="4DD1C6E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49" w:type="dxa"/>
            <w:noWrap w:val="0"/>
            <w:vAlign w:val="center"/>
          </w:tcPr>
          <w:p w14:paraId="1492BBF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01" w:type="dxa"/>
            <w:noWrap w:val="0"/>
            <w:vAlign w:val="center"/>
          </w:tcPr>
          <w:p w14:paraId="4C548AC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61" w:type="dxa"/>
            <w:noWrap w:val="0"/>
            <w:vAlign w:val="center"/>
          </w:tcPr>
          <w:p w14:paraId="2F53AC0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80" w:type="dxa"/>
            <w:noWrap w:val="0"/>
            <w:vAlign w:val="center"/>
          </w:tcPr>
          <w:p w14:paraId="220D142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14:paraId="5D47C8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jc w:val="center"/>
        </w:trPr>
        <w:tc>
          <w:tcPr>
            <w:tcW w:w="302" w:type="dxa"/>
            <w:vMerge w:val="continue"/>
            <w:tcBorders>
              <w:top w:val="nil"/>
            </w:tcBorders>
            <w:noWrap w:val="0"/>
            <w:vAlign w:val="center"/>
          </w:tcPr>
          <w:p w14:paraId="2CB801C8">
            <w:pPr>
              <w:jc w:val="center"/>
              <w:rPr>
                <w:rFonts w:hint="eastAsia" w:ascii="仿宋_GB2312" w:hAnsi="仿宋_GB2312" w:eastAsia="仿宋_GB2312" w:cs="仿宋_GB2312"/>
                <w:szCs w:val="21"/>
              </w:rPr>
            </w:pPr>
          </w:p>
        </w:tc>
        <w:tc>
          <w:tcPr>
            <w:tcW w:w="400" w:type="dxa"/>
            <w:vMerge w:val="continue"/>
            <w:tcBorders>
              <w:top w:val="nil"/>
            </w:tcBorders>
            <w:noWrap w:val="0"/>
            <w:vAlign w:val="center"/>
          </w:tcPr>
          <w:p w14:paraId="452BD716">
            <w:pPr>
              <w:jc w:val="center"/>
              <w:rPr>
                <w:rFonts w:hint="eastAsia" w:ascii="仿宋_GB2312" w:hAnsi="仿宋_GB2312" w:eastAsia="仿宋_GB2312" w:cs="仿宋_GB2312"/>
                <w:szCs w:val="21"/>
              </w:rPr>
            </w:pPr>
          </w:p>
        </w:tc>
        <w:tc>
          <w:tcPr>
            <w:tcW w:w="697" w:type="dxa"/>
            <w:noWrap w:val="0"/>
            <w:vAlign w:val="center"/>
          </w:tcPr>
          <w:p w14:paraId="66B2041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1∽3</w:t>
            </w:r>
          </w:p>
        </w:tc>
        <w:tc>
          <w:tcPr>
            <w:tcW w:w="709" w:type="dxa"/>
            <w:noWrap w:val="0"/>
            <w:vAlign w:val="center"/>
          </w:tcPr>
          <w:p w14:paraId="09F8AE3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613" w:type="dxa"/>
            <w:vMerge w:val="restart"/>
            <w:noWrap w:val="0"/>
            <w:vAlign w:val="center"/>
          </w:tcPr>
          <w:p w14:paraId="61EF399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w:t>
            </w:r>
          </w:p>
        </w:tc>
        <w:tc>
          <w:tcPr>
            <w:tcW w:w="505" w:type="dxa"/>
            <w:vMerge w:val="restart"/>
            <w:noWrap w:val="0"/>
            <w:vAlign w:val="center"/>
          </w:tcPr>
          <w:p w14:paraId="47C31C7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586" w:type="dxa"/>
            <w:vMerge w:val="restart"/>
            <w:noWrap w:val="0"/>
            <w:vAlign w:val="center"/>
          </w:tcPr>
          <w:p w14:paraId="3CEFF70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w:t>
            </w:r>
          </w:p>
        </w:tc>
        <w:tc>
          <w:tcPr>
            <w:tcW w:w="437" w:type="dxa"/>
            <w:vMerge w:val="restart"/>
            <w:noWrap w:val="0"/>
            <w:vAlign w:val="center"/>
          </w:tcPr>
          <w:p w14:paraId="29950DE9">
            <w:pPr>
              <w:jc w:val="center"/>
              <w:rPr>
                <w:rFonts w:hint="eastAsia" w:ascii="仿宋_GB2312" w:hAnsi="仿宋_GB2312" w:eastAsia="仿宋_GB2312" w:cs="仿宋_GB2312"/>
                <w:szCs w:val="21"/>
              </w:rPr>
            </w:pPr>
          </w:p>
          <w:p w14:paraId="1B92C85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50" w:type="dxa"/>
            <w:noWrap w:val="0"/>
            <w:vAlign w:val="center"/>
          </w:tcPr>
          <w:p w14:paraId="38827E3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5∽20</w:t>
            </w:r>
          </w:p>
        </w:tc>
        <w:tc>
          <w:tcPr>
            <w:tcW w:w="491" w:type="dxa"/>
            <w:noWrap w:val="0"/>
            <w:vAlign w:val="center"/>
          </w:tcPr>
          <w:p w14:paraId="27333EF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09" w:type="dxa"/>
            <w:vMerge w:val="restart"/>
            <w:noWrap w:val="0"/>
            <w:vAlign w:val="center"/>
          </w:tcPr>
          <w:p w14:paraId="6023D7F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559" w:type="dxa"/>
            <w:vMerge w:val="restart"/>
            <w:noWrap w:val="0"/>
            <w:vAlign w:val="center"/>
          </w:tcPr>
          <w:p w14:paraId="72FF075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20" w:type="dxa"/>
            <w:vMerge w:val="restart"/>
            <w:noWrap w:val="0"/>
            <w:vAlign w:val="center"/>
          </w:tcPr>
          <w:p w14:paraId="25FE3A7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460" w:type="dxa"/>
            <w:vMerge w:val="restart"/>
            <w:noWrap w:val="0"/>
            <w:vAlign w:val="center"/>
          </w:tcPr>
          <w:p w14:paraId="579040D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49" w:type="dxa"/>
            <w:vMerge w:val="restart"/>
            <w:noWrap w:val="0"/>
            <w:vAlign w:val="center"/>
          </w:tcPr>
          <w:p w14:paraId="5005AF4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501" w:type="dxa"/>
            <w:vMerge w:val="restart"/>
            <w:noWrap w:val="0"/>
            <w:vAlign w:val="center"/>
          </w:tcPr>
          <w:p w14:paraId="4C0DFE6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61" w:type="dxa"/>
            <w:noWrap w:val="0"/>
            <w:vAlign w:val="center"/>
          </w:tcPr>
          <w:p w14:paraId="1F64692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5∽10</w:t>
            </w:r>
          </w:p>
        </w:tc>
        <w:tc>
          <w:tcPr>
            <w:tcW w:w="480" w:type="dxa"/>
            <w:noWrap w:val="0"/>
            <w:vAlign w:val="center"/>
          </w:tcPr>
          <w:p w14:paraId="6CC2651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r>
      <w:tr w14:paraId="26C903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jc w:val="center"/>
        </w:trPr>
        <w:tc>
          <w:tcPr>
            <w:tcW w:w="302" w:type="dxa"/>
            <w:vMerge w:val="continue"/>
            <w:tcBorders>
              <w:top w:val="nil"/>
              <w:bottom w:val="single" w:color="auto" w:sz="4" w:space="0"/>
            </w:tcBorders>
            <w:noWrap w:val="0"/>
            <w:vAlign w:val="center"/>
          </w:tcPr>
          <w:p w14:paraId="0C24B2E8">
            <w:pPr>
              <w:jc w:val="center"/>
              <w:rPr>
                <w:rFonts w:hint="eastAsia" w:ascii="仿宋_GB2312" w:hAnsi="仿宋_GB2312" w:eastAsia="仿宋_GB2312" w:cs="仿宋_GB2312"/>
                <w:szCs w:val="21"/>
              </w:rPr>
            </w:pPr>
          </w:p>
        </w:tc>
        <w:tc>
          <w:tcPr>
            <w:tcW w:w="400" w:type="dxa"/>
            <w:vMerge w:val="continue"/>
            <w:tcBorders>
              <w:top w:val="nil"/>
              <w:bottom w:val="single" w:color="auto" w:sz="4" w:space="0"/>
            </w:tcBorders>
            <w:noWrap w:val="0"/>
            <w:vAlign w:val="center"/>
          </w:tcPr>
          <w:p w14:paraId="1C434CCF">
            <w:pPr>
              <w:jc w:val="center"/>
              <w:rPr>
                <w:rFonts w:hint="eastAsia" w:ascii="仿宋_GB2312" w:hAnsi="仿宋_GB2312" w:eastAsia="仿宋_GB2312" w:cs="仿宋_GB2312"/>
                <w:szCs w:val="21"/>
              </w:rPr>
            </w:pPr>
          </w:p>
        </w:tc>
        <w:tc>
          <w:tcPr>
            <w:tcW w:w="697" w:type="dxa"/>
            <w:noWrap w:val="0"/>
            <w:vAlign w:val="center"/>
          </w:tcPr>
          <w:p w14:paraId="1764511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w:t>
            </w:r>
          </w:p>
        </w:tc>
        <w:tc>
          <w:tcPr>
            <w:tcW w:w="709" w:type="dxa"/>
            <w:noWrap w:val="0"/>
            <w:vAlign w:val="center"/>
          </w:tcPr>
          <w:p w14:paraId="042A112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613" w:type="dxa"/>
            <w:vMerge w:val="continue"/>
            <w:tcBorders>
              <w:top w:val="nil"/>
            </w:tcBorders>
            <w:noWrap w:val="0"/>
            <w:vAlign w:val="center"/>
          </w:tcPr>
          <w:p w14:paraId="70A0B248">
            <w:pPr>
              <w:jc w:val="center"/>
              <w:rPr>
                <w:rFonts w:hint="eastAsia" w:ascii="仿宋_GB2312" w:hAnsi="仿宋_GB2312" w:eastAsia="仿宋_GB2312" w:cs="仿宋_GB2312"/>
                <w:szCs w:val="21"/>
              </w:rPr>
            </w:pPr>
          </w:p>
        </w:tc>
        <w:tc>
          <w:tcPr>
            <w:tcW w:w="505" w:type="dxa"/>
            <w:vMerge w:val="continue"/>
            <w:tcBorders>
              <w:top w:val="nil"/>
            </w:tcBorders>
            <w:noWrap w:val="0"/>
            <w:vAlign w:val="center"/>
          </w:tcPr>
          <w:p w14:paraId="75775F2B">
            <w:pPr>
              <w:jc w:val="center"/>
              <w:rPr>
                <w:rFonts w:hint="eastAsia" w:ascii="仿宋_GB2312" w:hAnsi="仿宋_GB2312" w:eastAsia="仿宋_GB2312" w:cs="仿宋_GB2312"/>
                <w:szCs w:val="21"/>
              </w:rPr>
            </w:pPr>
          </w:p>
        </w:tc>
        <w:tc>
          <w:tcPr>
            <w:tcW w:w="586" w:type="dxa"/>
            <w:vMerge w:val="continue"/>
            <w:tcBorders>
              <w:top w:val="nil"/>
            </w:tcBorders>
            <w:noWrap w:val="0"/>
            <w:vAlign w:val="center"/>
          </w:tcPr>
          <w:p w14:paraId="29C104FD">
            <w:pPr>
              <w:jc w:val="center"/>
              <w:rPr>
                <w:rFonts w:hint="eastAsia" w:ascii="仿宋_GB2312" w:hAnsi="仿宋_GB2312" w:eastAsia="仿宋_GB2312" w:cs="仿宋_GB2312"/>
                <w:szCs w:val="21"/>
              </w:rPr>
            </w:pPr>
          </w:p>
        </w:tc>
        <w:tc>
          <w:tcPr>
            <w:tcW w:w="437" w:type="dxa"/>
            <w:vMerge w:val="continue"/>
            <w:tcBorders>
              <w:top w:val="nil"/>
            </w:tcBorders>
            <w:noWrap w:val="0"/>
            <w:vAlign w:val="center"/>
          </w:tcPr>
          <w:p w14:paraId="138A41E8">
            <w:pPr>
              <w:jc w:val="center"/>
              <w:rPr>
                <w:rFonts w:hint="eastAsia" w:ascii="仿宋_GB2312" w:hAnsi="仿宋_GB2312" w:eastAsia="仿宋_GB2312" w:cs="仿宋_GB2312"/>
                <w:szCs w:val="21"/>
              </w:rPr>
            </w:pPr>
          </w:p>
        </w:tc>
        <w:tc>
          <w:tcPr>
            <w:tcW w:w="750" w:type="dxa"/>
            <w:noWrap w:val="0"/>
            <w:vAlign w:val="center"/>
          </w:tcPr>
          <w:p w14:paraId="04D7428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&gt;20</w:t>
            </w:r>
          </w:p>
        </w:tc>
        <w:tc>
          <w:tcPr>
            <w:tcW w:w="491" w:type="dxa"/>
            <w:noWrap w:val="0"/>
            <w:vAlign w:val="center"/>
          </w:tcPr>
          <w:p w14:paraId="3BA2314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09" w:type="dxa"/>
            <w:vMerge w:val="continue"/>
            <w:tcBorders>
              <w:top w:val="nil"/>
            </w:tcBorders>
            <w:noWrap w:val="0"/>
            <w:vAlign w:val="center"/>
          </w:tcPr>
          <w:p w14:paraId="6C7B14C1">
            <w:pPr>
              <w:jc w:val="center"/>
              <w:rPr>
                <w:rFonts w:hint="eastAsia" w:ascii="仿宋_GB2312" w:hAnsi="仿宋_GB2312" w:eastAsia="仿宋_GB2312" w:cs="仿宋_GB2312"/>
                <w:szCs w:val="21"/>
              </w:rPr>
            </w:pPr>
          </w:p>
        </w:tc>
        <w:tc>
          <w:tcPr>
            <w:tcW w:w="559" w:type="dxa"/>
            <w:vMerge w:val="continue"/>
            <w:tcBorders>
              <w:top w:val="nil"/>
            </w:tcBorders>
            <w:noWrap w:val="0"/>
            <w:vAlign w:val="center"/>
          </w:tcPr>
          <w:p w14:paraId="5057DD5D">
            <w:pPr>
              <w:jc w:val="center"/>
              <w:rPr>
                <w:rFonts w:hint="eastAsia" w:ascii="仿宋_GB2312" w:hAnsi="仿宋_GB2312" w:eastAsia="仿宋_GB2312" w:cs="仿宋_GB2312"/>
                <w:szCs w:val="21"/>
              </w:rPr>
            </w:pPr>
          </w:p>
        </w:tc>
        <w:tc>
          <w:tcPr>
            <w:tcW w:w="720" w:type="dxa"/>
            <w:vMerge w:val="continue"/>
            <w:tcBorders>
              <w:top w:val="nil"/>
            </w:tcBorders>
            <w:noWrap w:val="0"/>
            <w:vAlign w:val="center"/>
          </w:tcPr>
          <w:p w14:paraId="27769774">
            <w:pPr>
              <w:jc w:val="center"/>
              <w:rPr>
                <w:rFonts w:hint="eastAsia" w:ascii="仿宋_GB2312" w:hAnsi="仿宋_GB2312" w:eastAsia="仿宋_GB2312" w:cs="仿宋_GB2312"/>
                <w:szCs w:val="21"/>
              </w:rPr>
            </w:pPr>
          </w:p>
        </w:tc>
        <w:tc>
          <w:tcPr>
            <w:tcW w:w="460" w:type="dxa"/>
            <w:vMerge w:val="continue"/>
            <w:tcBorders>
              <w:top w:val="nil"/>
            </w:tcBorders>
            <w:noWrap w:val="0"/>
            <w:vAlign w:val="center"/>
          </w:tcPr>
          <w:p w14:paraId="1DC5C373">
            <w:pPr>
              <w:jc w:val="center"/>
              <w:rPr>
                <w:rFonts w:hint="eastAsia" w:ascii="仿宋_GB2312" w:hAnsi="仿宋_GB2312" w:eastAsia="仿宋_GB2312" w:cs="仿宋_GB2312"/>
                <w:szCs w:val="21"/>
              </w:rPr>
            </w:pPr>
          </w:p>
        </w:tc>
        <w:tc>
          <w:tcPr>
            <w:tcW w:w="749" w:type="dxa"/>
            <w:vMerge w:val="continue"/>
            <w:tcBorders>
              <w:top w:val="nil"/>
            </w:tcBorders>
            <w:noWrap w:val="0"/>
            <w:vAlign w:val="center"/>
          </w:tcPr>
          <w:p w14:paraId="4D0985A4">
            <w:pPr>
              <w:jc w:val="center"/>
              <w:rPr>
                <w:rFonts w:hint="eastAsia" w:ascii="仿宋_GB2312" w:hAnsi="仿宋_GB2312" w:eastAsia="仿宋_GB2312" w:cs="仿宋_GB2312"/>
                <w:szCs w:val="21"/>
              </w:rPr>
            </w:pPr>
          </w:p>
        </w:tc>
        <w:tc>
          <w:tcPr>
            <w:tcW w:w="501" w:type="dxa"/>
            <w:vMerge w:val="continue"/>
            <w:tcBorders>
              <w:top w:val="nil"/>
            </w:tcBorders>
            <w:noWrap w:val="0"/>
            <w:vAlign w:val="center"/>
          </w:tcPr>
          <w:p w14:paraId="5BD074D2">
            <w:pPr>
              <w:jc w:val="center"/>
              <w:rPr>
                <w:rFonts w:hint="eastAsia" w:ascii="仿宋_GB2312" w:hAnsi="仿宋_GB2312" w:eastAsia="仿宋_GB2312" w:cs="仿宋_GB2312"/>
                <w:szCs w:val="21"/>
              </w:rPr>
            </w:pPr>
          </w:p>
        </w:tc>
        <w:tc>
          <w:tcPr>
            <w:tcW w:w="761" w:type="dxa"/>
            <w:noWrap w:val="0"/>
            <w:vAlign w:val="center"/>
          </w:tcPr>
          <w:p w14:paraId="1116F83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&gt;10</w:t>
            </w:r>
          </w:p>
        </w:tc>
        <w:tc>
          <w:tcPr>
            <w:tcW w:w="480" w:type="dxa"/>
            <w:noWrap w:val="0"/>
            <w:vAlign w:val="center"/>
          </w:tcPr>
          <w:p w14:paraId="38C4C60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r>
      <w:tr w14:paraId="050B67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jc w:val="center"/>
        </w:trPr>
        <w:tc>
          <w:tcPr>
            <w:tcW w:w="302" w:type="dxa"/>
            <w:vMerge w:val="restart"/>
            <w:tcBorders>
              <w:top w:val="single" w:color="auto" w:sz="4" w:space="0"/>
              <w:left w:val="single" w:color="auto" w:sz="4" w:space="0"/>
              <w:right w:val="single" w:color="auto" w:sz="4" w:space="0"/>
            </w:tcBorders>
            <w:noWrap w:val="0"/>
            <w:vAlign w:val="center"/>
          </w:tcPr>
          <w:p w14:paraId="0D9FB59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二级</w:t>
            </w:r>
          </w:p>
        </w:tc>
        <w:tc>
          <w:tcPr>
            <w:tcW w:w="400" w:type="dxa"/>
            <w:vMerge w:val="restart"/>
            <w:tcBorders>
              <w:top w:val="single" w:color="auto" w:sz="4" w:space="0"/>
              <w:left w:val="single" w:color="auto" w:sz="4" w:space="0"/>
              <w:bottom w:val="single" w:color="auto" w:sz="4" w:space="0"/>
              <w:right w:val="single" w:color="auto" w:sz="4" w:space="0"/>
            </w:tcBorders>
            <w:noWrap w:val="0"/>
            <w:vAlign w:val="center"/>
          </w:tcPr>
          <w:p w14:paraId="15872DE1">
            <w:pPr>
              <w:jc w:val="center"/>
              <w:rPr>
                <w:rFonts w:hint="eastAsia" w:ascii="仿宋_GB2312" w:hAnsi="仿宋_GB2312" w:eastAsia="仿宋_GB2312" w:cs="仿宋_GB2312"/>
                <w:szCs w:val="21"/>
              </w:rPr>
            </w:pPr>
          </w:p>
          <w:p w14:paraId="4C73DDE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车行道</w:t>
            </w:r>
          </w:p>
        </w:tc>
        <w:tc>
          <w:tcPr>
            <w:tcW w:w="697" w:type="dxa"/>
            <w:tcBorders>
              <w:left w:val="single" w:color="auto" w:sz="4" w:space="0"/>
            </w:tcBorders>
            <w:noWrap w:val="0"/>
            <w:vAlign w:val="center"/>
          </w:tcPr>
          <w:p w14:paraId="0184A22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709" w:type="dxa"/>
            <w:noWrap w:val="0"/>
            <w:vAlign w:val="center"/>
          </w:tcPr>
          <w:p w14:paraId="46C5770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613" w:type="dxa"/>
            <w:noWrap w:val="0"/>
            <w:vAlign w:val="center"/>
          </w:tcPr>
          <w:p w14:paraId="42A1FFB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05" w:type="dxa"/>
            <w:noWrap w:val="0"/>
            <w:vAlign w:val="center"/>
          </w:tcPr>
          <w:p w14:paraId="48439A5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86" w:type="dxa"/>
            <w:noWrap w:val="0"/>
            <w:vAlign w:val="center"/>
          </w:tcPr>
          <w:p w14:paraId="2863CD3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37" w:type="dxa"/>
            <w:noWrap w:val="0"/>
            <w:vAlign w:val="center"/>
          </w:tcPr>
          <w:p w14:paraId="063C634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50" w:type="dxa"/>
            <w:noWrap w:val="0"/>
            <w:vAlign w:val="center"/>
          </w:tcPr>
          <w:p w14:paraId="2DD9774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91" w:type="dxa"/>
            <w:noWrap w:val="0"/>
            <w:vAlign w:val="center"/>
          </w:tcPr>
          <w:p w14:paraId="7EBBE26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709" w:type="dxa"/>
            <w:noWrap w:val="0"/>
            <w:vAlign w:val="center"/>
          </w:tcPr>
          <w:p w14:paraId="18F604F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59" w:type="dxa"/>
            <w:noWrap w:val="0"/>
            <w:vAlign w:val="center"/>
          </w:tcPr>
          <w:p w14:paraId="52BA441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20" w:type="dxa"/>
            <w:noWrap w:val="0"/>
            <w:vAlign w:val="center"/>
          </w:tcPr>
          <w:p w14:paraId="2FB9BB1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60" w:type="dxa"/>
            <w:noWrap w:val="0"/>
            <w:vAlign w:val="center"/>
          </w:tcPr>
          <w:p w14:paraId="78772B7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49" w:type="dxa"/>
            <w:noWrap w:val="0"/>
            <w:vAlign w:val="center"/>
          </w:tcPr>
          <w:p w14:paraId="3C8A390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1" w:type="dxa"/>
            <w:noWrap w:val="0"/>
            <w:vAlign w:val="center"/>
          </w:tcPr>
          <w:p w14:paraId="412908E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61" w:type="dxa"/>
            <w:noWrap w:val="0"/>
            <w:vAlign w:val="center"/>
          </w:tcPr>
          <w:p w14:paraId="1F6B379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480" w:type="dxa"/>
            <w:noWrap w:val="0"/>
            <w:vAlign w:val="center"/>
          </w:tcPr>
          <w:p w14:paraId="7736570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14:paraId="1D8155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jc w:val="center"/>
        </w:trPr>
        <w:tc>
          <w:tcPr>
            <w:tcW w:w="302" w:type="dxa"/>
            <w:vMerge w:val="continue"/>
            <w:tcBorders>
              <w:left w:val="single" w:color="auto" w:sz="4" w:space="0"/>
              <w:right w:val="single" w:color="auto" w:sz="4" w:space="0"/>
            </w:tcBorders>
            <w:noWrap w:val="0"/>
            <w:vAlign w:val="center"/>
          </w:tcPr>
          <w:p w14:paraId="2A4FCD12">
            <w:pPr>
              <w:jc w:val="center"/>
              <w:rPr>
                <w:rFonts w:hint="eastAsia" w:ascii="仿宋_GB2312" w:hAnsi="仿宋_GB2312" w:eastAsia="仿宋_GB2312" w:cs="仿宋_GB2312"/>
                <w:szCs w:val="21"/>
              </w:rPr>
            </w:pPr>
          </w:p>
        </w:tc>
        <w:tc>
          <w:tcPr>
            <w:tcW w:w="400" w:type="dxa"/>
            <w:vMerge w:val="continue"/>
            <w:tcBorders>
              <w:top w:val="single" w:color="auto" w:sz="4" w:space="0"/>
              <w:left w:val="single" w:color="auto" w:sz="4" w:space="0"/>
              <w:bottom w:val="single" w:color="auto" w:sz="4" w:space="0"/>
              <w:right w:val="single" w:color="auto" w:sz="4" w:space="0"/>
            </w:tcBorders>
            <w:noWrap w:val="0"/>
            <w:vAlign w:val="center"/>
          </w:tcPr>
          <w:p w14:paraId="74D39551">
            <w:pPr>
              <w:jc w:val="center"/>
              <w:rPr>
                <w:rFonts w:hint="eastAsia" w:ascii="仿宋_GB2312" w:hAnsi="仿宋_GB2312" w:eastAsia="仿宋_GB2312" w:cs="仿宋_GB2312"/>
                <w:szCs w:val="21"/>
              </w:rPr>
            </w:pPr>
          </w:p>
        </w:tc>
        <w:tc>
          <w:tcPr>
            <w:tcW w:w="697" w:type="dxa"/>
            <w:tcBorders>
              <w:left w:val="single" w:color="auto" w:sz="4" w:space="0"/>
            </w:tcBorders>
            <w:noWrap w:val="0"/>
            <w:vAlign w:val="center"/>
          </w:tcPr>
          <w:p w14:paraId="71D2590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709" w:type="dxa"/>
            <w:noWrap w:val="0"/>
            <w:vAlign w:val="center"/>
          </w:tcPr>
          <w:p w14:paraId="3D7393A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613" w:type="dxa"/>
            <w:noWrap w:val="0"/>
            <w:vAlign w:val="center"/>
          </w:tcPr>
          <w:p w14:paraId="6139221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505" w:type="dxa"/>
            <w:noWrap w:val="0"/>
            <w:vAlign w:val="center"/>
          </w:tcPr>
          <w:p w14:paraId="0FA1D41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586" w:type="dxa"/>
            <w:noWrap w:val="0"/>
            <w:vAlign w:val="center"/>
          </w:tcPr>
          <w:p w14:paraId="2A9D81B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437" w:type="dxa"/>
            <w:noWrap w:val="0"/>
            <w:vAlign w:val="center"/>
          </w:tcPr>
          <w:p w14:paraId="42A2397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750" w:type="dxa"/>
            <w:noWrap w:val="0"/>
            <w:vAlign w:val="center"/>
          </w:tcPr>
          <w:p w14:paraId="712EF17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5∽15</w:t>
            </w:r>
          </w:p>
        </w:tc>
        <w:tc>
          <w:tcPr>
            <w:tcW w:w="491" w:type="dxa"/>
            <w:noWrap w:val="0"/>
            <w:vAlign w:val="center"/>
          </w:tcPr>
          <w:p w14:paraId="0B131AC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09" w:type="dxa"/>
            <w:noWrap w:val="0"/>
            <w:vAlign w:val="center"/>
          </w:tcPr>
          <w:p w14:paraId="48B0B4D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559" w:type="dxa"/>
            <w:noWrap w:val="0"/>
            <w:vAlign w:val="center"/>
          </w:tcPr>
          <w:p w14:paraId="427D4CE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20" w:type="dxa"/>
            <w:noWrap w:val="0"/>
            <w:vAlign w:val="center"/>
          </w:tcPr>
          <w:p w14:paraId="54E92A9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460" w:type="dxa"/>
            <w:noWrap w:val="0"/>
            <w:vAlign w:val="center"/>
          </w:tcPr>
          <w:p w14:paraId="791CDBA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749" w:type="dxa"/>
            <w:noWrap w:val="0"/>
            <w:vAlign w:val="center"/>
          </w:tcPr>
          <w:p w14:paraId="299FE7F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1∽3</w:t>
            </w:r>
          </w:p>
        </w:tc>
        <w:tc>
          <w:tcPr>
            <w:tcW w:w="501" w:type="dxa"/>
            <w:noWrap w:val="0"/>
            <w:vAlign w:val="center"/>
          </w:tcPr>
          <w:p w14:paraId="6672542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761" w:type="dxa"/>
            <w:noWrap w:val="0"/>
            <w:vAlign w:val="center"/>
          </w:tcPr>
          <w:p w14:paraId="6598FAA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10∽30</w:t>
            </w:r>
          </w:p>
        </w:tc>
        <w:tc>
          <w:tcPr>
            <w:tcW w:w="480" w:type="dxa"/>
            <w:noWrap w:val="0"/>
            <w:vAlign w:val="center"/>
          </w:tcPr>
          <w:p w14:paraId="30E2810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r>
      <w:tr w14:paraId="74B6E4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jc w:val="center"/>
        </w:trPr>
        <w:tc>
          <w:tcPr>
            <w:tcW w:w="302" w:type="dxa"/>
            <w:vMerge w:val="continue"/>
            <w:tcBorders>
              <w:left w:val="single" w:color="auto" w:sz="4" w:space="0"/>
              <w:right w:val="single" w:color="auto" w:sz="4" w:space="0"/>
            </w:tcBorders>
            <w:noWrap w:val="0"/>
            <w:vAlign w:val="center"/>
          </w:tcPr>
          <w:p w14:paraId="3AE609F4">
            <w:pPr>
              <w:jc w:val="center"/>
              <w:rPr>
                <w:rFonts w:hint="eastAsia" w:ascii="仿宋_GB2312" w:hAnsi="仿宋_GB2312" w:eastAsia="仿宋_GB2312" w:cs="仿宋_GB2312"/>
                <w:szCs w:val="21"/>
              </w:rPr>
            </w:pPr>
          </w:p>
        </w:tc>
        <w:tc>
          <w:tcPr>
            <w:tcW w:w="400" w:type="dxa"/>
            <w:vMerge w:val="continue"/>
            <w:tcBorders>
              <w:top w:val="single" w:color="auto" w:sz="4" w:space="0"/>
              <w:left w:val="single" w:color="auto" w:sz="4" w:space="0"/>
              <w:bottom w:val="single" w:color="auto" w:sz="4" w:space="0"/>
              <w:right w:val="single" w:color="auto" w:sz="4" w:space="0"/>
            </w:tcBorders>
            <w:noWrap w:val="0"/>
            <w:vAlign w:val="center"/>
          </w:tcPr>
          <w:p w14:paraId="2F768737">
            <w:pPr>
              <w:jc w:val="center"/>
              <w:rPr>
                <w:rFonts w:hint="eastAsia" w:ascii="仿宋_GB2312" w:hAnsi="仿宋_GB2312" w:eastAsia="仿宋_GB2312" w:cs="仿宋_GB2312"/>
                <w:szCs w:val="21"/>
              </w:rPr>
            </w:pPr>
          </w:p>
        </w:tc>
        <w:tc>
          <w:tcPr>
            <w:tcW w:w="697" w:type="dxa"/>
            <w:tcBorders>
              <w:left w:val="single" w:color="auto" w:sz="4" w:space="0"/>
            </w:tcBorders>
            <w:noWrap w:val="0"/>
            <w:vAlign w:val="center"/>
          </w:tcPr>
          <w:p w14:paraId="088B3E8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709" w:type="dxa"/>
            <w:noWrap w:val="0"/>
            <w:vAlign w:val="center"/>
          </w:tcPr>
          <w:p w14:paraId="6747985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613" w:type="dxa"/>
            <w:noWrap w:val="0"/>
            <w:vAlign w:val="center"/>
          </w:tcPr>
          <w:p w14:paraId="5407BE4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505" w:type="dxa"/>
            <w:noWrap w:val="0"/>
            <w:vAlign w:val="center"/>
          </w:tcPr>
          <w:p w14:paraId="7E9D4AF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586" w:type="dxa"/>
            <w:noWrap w:val="0"/>
            <w:vAlign w:val="center"/>
          </w:tcPr>
          <w:p w14:paraId="2BAB3D5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437" w:type="dxa"/>
            <w:noWrap w:val="0"/>
            <w:vAlign w:val="center"/>
          </w:tcPr>
          <w:p w14:paraId="47989FD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50" w:type="dxa"/>
            <w:noWrap w:val="0"/>
            <w:vAlign w:val="center"/>
          </w:tcPr>
          <w:p w14:paraId="58047FE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&gt;15</w:t>
            </w:r>
          </w:p>
        </w:tc>
        <w:tc>
          <w:tcPr>
            <w:tcW w:w="491" w:type="dxa"/>
            <w:noWrap w:val="0"/>
            <w:vAlign w:val="center"/>
          </w:tcPr>
          <w:p w14:paraId="68B3AA5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09" w:type="dxa"/>
            <w:noWrap w:val="0"/>
            <w:vAlign w:val="center"/>
          </w:tcPr>
          <w:p w14:paraId="767A713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559" w:type="dxa"/>
            <w:noWrap w:val="0"/>
            <w:vAlign w:val="center"/>
          </w:tcPr>
          <w:p w14:paraId="61E46AE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20" w:type="dxa"/>
            <w:noWrap w:val="0"/>
            <w:vAlign w:val="center"/>
          </w:tcPr>
          <w:p w14:paraId="64B85E2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460" w:type="dxa"/>
            <w:noWrap w:val="0"/>
            <w:vAlign w:val="center"/>
          </w:tcPr>
          <w:p w14:paraId="5C4D16A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49" w:type="dxa"/>
            <w:noWrap w:val="0"/>
            <w:vAlign w:val="center"/>
          </w:tcPr>
          <w:p w14:paraId="2366CEC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w:t>
            </w:r>
          </w:p>
        </w:tc>
        <w:tc>
          <w:tcPr>
            <w:tcW w:w="501" w:type="dxa"/>
            <w:noWrap w:val="0"/>
            <w:vAlign w:val="center"/>
          </w:tcPr>
          <w:p w14:paraId="6EF92C5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61" w:type="dxa"/>
            <w:noWrap w:val="0"/>
            <w:vAlign w:val="center"/>
          </w:tcPr>
          <w:p w14:paraId="12DB26C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&gt;30</w:t>
            </w:r>
          </w:p>
        </w:tc>
        <w:tc>
          <w:tcPr>
            <w:tcW w:w="480" w:type="dxa"/>
            <w:noWrap w:val="0"/>
            <w:vAlign w:val="center"/>
          </w:tcPr>
          <w:p w14:paraId="64C9E63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r>
      <w:tr w14:paraId="45F983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jc w:val="center"/>
        </w:trPr>
        <w:tc>
          <w:tcPr>
            <w:tcW w:w="302" w:type="dxa"/>
            <w:vMerge w:val="continue"/>
            <w:tcBorders>
              <w:left w:val="single" w:color="auto" w:sz="4" w:space="0"/>
              <w:right w:val="single" w:color="auto" w:sz="4" w:space="0"/>
            </w:tcBorders>
            <w:noWrap w:val="0"/>
            <w:vAlign w:val="center"/>
          </w:tcPr>
          <w:p w14:paraId="1D888F67">
            <w:pPr>
              <w:jc w:val="center"/>
              <w:rPr>
                <w:rFonts w:hint="eastAsia" w:ascii="仿宋_GB2312" w:hAnsi="仿宋_GB2312" w:eastAsia="仿宋_GB2312" w:cs="仿宋_GB2312"/>
                <w:szCs w:val="21"/>
              </w:rPr>
            </w:pPr>
          </w:p>
        </w:tc>
        <w:tc>
          <w:tcPr>
            <w:tcW w:w="400" w:type="dxa"/>
            <w:vMerge w:val="restart"/>
            <w:tcBorders>
              <w:top w:val="single" w:color="auto" w:sz="4" w:space="0"/>
              <w:left w:val="single" w:color="auto" w:sz="4" w:space="0"/>
              <w:right w:val="single" w:color="auto" w:sz="4" w:space="0"/>
            </w:tcBorders>
            <w:noWrap w:val="0"/>
            <w:vAlign w:val="center"/>
          </w:tcPr>
          <w:p w14:paraId="4C884B3D">
            <w:pPr>
              <w:jc w:val="center"/>
              <w:rPr>
                <w:rFonts w:hint="eastAsia" w:ascii="仿宋_GB2312" w:hAnsi="仿宋_GB2312" w:eastAsia="仿宋_GB2312" w:cs="仿宋_GB2312"/>
                <w:szCs w:val="21"/>
              </w:rPr>
            </w:pPr>
          </w:p>
          <w:p w14:paraId="4515979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人行道</w:t>
            </w:r>
          </w:p>
        </w:tc>
        <w:tc>
          <w:tcPr>
            <w:tcW w:w="697" w:type="dxa"/>
            <w:tcBorders>
              <w:left w:val="single" w:color="auto" w:sz="4" w:space="0"/>
            </w:tcBorders>
            <w:noWrap w:val="0"/>
            <w:vAlign w:val="center"/>
          </w:tcPr>
          <w:p w14:paraId="1910FFC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709" w:type="dxa"/>
            <w:noWrap w:val="0"/>
            <w:vAlign w:val="center"/>
          </w:tcPr>
          <w:p w14:paraId="350084C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613" w:type="dxa"/>
            <w:noWrap w:val="0"/>
            <w:vAlign w:val="center"/>
          </w:tcPr>
          <w:p w14:paraId="6E55B18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05" w:type="dxa"/>
            <w:noWrap w:val="0"/>
            <w:vAlign w:val="center"/>
          </w:tcPr>
          <w:p w14:paraId="1CDD74E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86" w:type="dxa"/>
            <w:noWrap w:val="0"/>
            <w:vAlign w:val="center"/>
          </w:tcPr>
          <w:p w14:paraId="4FB7B54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37" w:type="dxa"/>
            <w:noWrap w:val="0"/>
            <w:vAlign w:val="center"/>
          </w:tcPr>
          <w:p w14:paraId="24133CD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50" w:type="dxa"/>
            <w:noWrap w:val="0"/>
            <w:vAlign w:val="center"/>
          </w:tcPr>
          <w:p w14:paraId="6E39D73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491" w:type="dxa"/>
            <w:noWrap w:val="0"/>
            <w:vAlign w:val="center"/>
          </w:tcPr>
          <w:p w14:paraId="5BD36C0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709" w:type="dxa"/>
            <w:noWrap w:val="0"/>
            <w:vAlign w:val="center"/>
          </w:tcPr>
          <w:p w14:paraId="2B7AD7D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59" w:type="dxa"/>
            <w:noWrap w:val="0"/>
            <w:vAlign w:val="center"/>
          </w:tcPr>
          <w:p w14:paraId="7A45FD0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20" w:type="dxa"/>
            <w:noWrap w:val="0"/>
            <w:vAlign w:val="center"/>
          </w:tcPr>
          <w:p w14:paraId="06BA5F0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460" w:type="dxa"/>
            <w:noWrap w:val="0"/>
            <w:vAlign w:val="center"/>
          </w:tcPr>
          <w:p w14:paraId="36D03AB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49" w:type="dxa"/>
            <w:noWrap w:val="0"/>
            <w:vAlign w:val="center"/>
          </w:tcPr>
          <w:p w14:paraId="42DE2FF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01" w:type="dxa"/>
            <w:noWrap w:val="0"/>
            <w:vAlign w:val="center"/>
          </w:tcPr>
          <w:p w14:paraId="74385EB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61" w:type="dxa"/>
            <w:noWrap w:val="0"/>
            <w:vAlign w:val="center"/>
          </w:tcPr>
          <w:p w14:paraId="720D82F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480" w:type="dxa"/>
            <w:noWrap w:val="0"/>
            <w:vAlign w:val="center"/>
          </w:tcPr>
          <w:p w14:paraId="2DAF66B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14:paraId="13CD9F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jc w:val="center"/>
        </w:trPr>
        <w:tc>
          <w:tcPr>
            <w:tcW w:w="302" w:type="dxa"/>
            <w:vMerge w:val="continue"/>
            <w:tcBorders>
              <w:left w:val="single" w:color="auto" w:sz="4" w:space="0"/>
              <w:right w:val="single" w:color="auto" w:sz="4" w:space="0"/>
            </w:tcBorders>
            <w:noWrap w:val="0"/>
            <w:vAlign w:val="center"/>
          </w:tcPr>
          <w:p w14:paraId="1B3BD7C7">
            <w:pPr>
              <w:jc w:val="center"/>
              <w:rPr>
                <w:rFonts w:hint="eastAsia" w:ascii="仿宋_GB2312" w:hAnsi="仿宋_GB2312" w:eastAsia="仿宋_GB2312" w:cs="仿宋_GB2312"/>
                <w:szCs w:val="21"/>
              </w:rPr>
            </w:pPr>
          </w:p>
        </w:tc>
        <w:tc>
          <w:tcPr>
            <w:tcW w:w="400" w:type="dxa"/>
            <w:vMerge w:val="continue"/>
            <w:tcBorders>
              <w:left w:val="single" w:color="auto" w:sz="4" w:space="0"/>
              <w:right w:val="single" w:color="auto" w:sz="4" w:space="0"/>
            </w:tcBorders>
            <w:noWrap w:val="0"/>
            <w:vAlign w:val="center"/>
          </w:tcPr>
          <w:p w14:paraId="1D466E48">
            <w:pPr>
              <w:jc w:val="center"/>
              <w:rPr>
                <w:rFonts w:hint="eastAsia" w:ascii="仿宋_GB2312" w:hAnsi="仿宋_GB2312" w:eastAsia="仿宋_GB2312" w:cs="仿宋_GB2312"/>
                <w:szCs w:val="21"/>
              </w:rPr>
            </w:pPr>
          </w:p>
        </w:tc>
        <w:tc>
          <w:tcPr>
            <w:tcW w:w="697" w:type="dxa"/>
            <w:tcBorders>
              <w:left w:val="single" w:color="auto" w:sz="4" w:space="0"/>
            </w:tcBorders>
            <w:noWrap w:val="0"/>
            <w:vAlign w:val="center"/>
          </w:tcPr>
          <w:p w14:paraId="24E1D8B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709" w:type="dxa"/>
            <w:noWrap w:val="0"/>
            <w:vAlign w:val="center"/>
          </w:tcPr>
          <w:p w14:paraId="5F9BD7E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613" w:type="dxa"/>
            <w:noWrap w:val="0"/>
            <w:vAlign w:val="center"/>
          </w:tcPr>
          <w:p w14:paraId="45DA11A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505" w:type="dxa"/>
            <w:noWrap w:val="0"/>
            <w:vAlign w:val="center"/>
          </w:tcPr>
          <w:p w14:paraId="2FA13E4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586" w:type="dxa"/>
            <w:noWrap w:val="0"/>
            <w:vAlign w:val="center"/>
          </w:tcPr>
          <w:p w14:paraId="1052340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437" w:type="dxa"/>
            <w:noWrap w:val="0"/>
            <w:vAlign w:val="center"/>
          </w:tcPr>
          <w:p w14:paraId="4CEFE93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50" w:type="dxa"/>
            <w:noWrap w:val="0"/>
            <w:vAlign w:val="center"/>
          </w:tcPr>
          <w:p w14:paraId="0497D63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15∽30</w:t>
            </w:r>
          </w:p>
        </w:tc>
        <w:tc>
          <w:tcPr>
            <w:tcW w:w="491" w:type="dxa"/>
            <w:noWrap w:val="0"/>
            <w:vAlign w:val="center"/>
          </w:tcPr>
          <w:p w14:paraId="7EA54C7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09" w:type="dxa"/>
            <w:noWrap w:val="0"/>
            <w:vAlign w:val="center"/>
          </w:tcPr>
          <w:p w14:paraId="6BB9EE7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2∽3</w:t>
            </w:r>
          </w:p>
        </w:tc>
        <w:tc>
          <w:tcPr>
            <w:tcW w:w="559" w:type="dxa"/>
            <w:noWrap w:val="0"/>
            <w:vAlign w:val="center"/>
          </w:tcPr>
          <w:p w14:paraId="3DF5CE1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20" w:type="dxa"/>
            <w:noWrap w:val="0"/>
            <w:vAlign w:val="center"/>
          </w:tcPr>
          <w:p w14:paraId="063B5B2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2∽3</w:t>
            </w:r>
          </w:p>
        </w:tc>
        <w:tc>
          <w:tcPr>
            <w:tcW w:w="460" w:type="dxa"/>
            <w:noWrap w:val="0"/>
            <w:vAlign w:val="center"/>
          </w:tcPr>
          <w:p w14:paraId="443C427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749" w:type="dxa"/>
            <w:noWrap w:val="0"/>
            <w:vAlign w:val="center"/>
          </w:tcPr>
          <w:p w14:paraId="2439DD2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R&gt;2</w:t>
            </w:r>
          </w:p>
        </w:tc>
        <w:tc>
          <w:tcPr>
            <w:tcW w:w="501" w:type="dxa"/>
            <w:noWrap w:val="0"/>
            <w:vAlign w:val="center"/>
          </w:tcPr>
          <w:p w14:paraId="0384C71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61" w:type="dxa"/>
            <w:noWrap w:val="0"/>
            <w:vAlign w:val="center"/>
          </w:tcPr>
          <w:p w14:paraId="350E393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10∽30</w:t>
            </w:r>
          </w:p>
        </w:tc>
        <w:tc>
          <w:tcPr>
            <w:tcW w:w="480" w:type="dxa"/>
            <w:noWrap w:val="0"/>
            <w:vAlign w:val="center"/>
          </w:tcPr>
          <w:p w14:paraId="77EA65B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r>
      <w:tr w14:paraId="24DE71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5" w:hRule="atLeast"/>
          <w:jc w:val="center"/>
        </w:trPr>
        <w:tc>
          <w:tcPr>
            <w:tcW w:w="302" w:type="dxa"/>
            <w:vMerge w:val="continue"/>
            <w:tcBorders>
              <w:left w:val="single" w:color="auto" w:sz="4" w:space="0"/>
              <w:bottom w:val="single" w:color="auto" w:sz="4" w:space="0"/>
              <w:right w:val="single" w:color="auto" w:sz="4" w:space="0"/>
            </w:tcBorders>
            <w:noWrap w:val="0"/>
            <w:vAlign w:val="center"/>
          </w:tcPr>
          <w:p w14:paraId="29DCB9FB">
            <w:pPr>
              <w:jc w:val="center"/>
              <w:rPr>
                <w:rFonts w:hint="eastAsia" w:ascii="仿宋_GB2312" w:hAnsi="仿宋_GB2312" w:eastAsia="仿宋_GB2312" w:cs="仿宋_GB2312"/>
                <w:szCs w:val="21"/>
              </w:rPr>
            </w:pPr>
          </w:p>
        </w:tc>
        <w:tc>
          <w:tcPr>
            <w:tcW w:w="400" w:type="dxa"/>
            <w:vMerge w:val="continue"/>
            <w:tcBorders>
              <w:left w:val="single" w:color="auto" w:sz="4" w:space="0"/>
              <w:bottom w:val="single" w:color="auto" w:sz="4" w:space="0"/>
              <w:right w:val="single" w:color="auto" w:sz="4" w:space="0"/>
            </w:tcBorders>
            <w:noWrap w:val="0"/>
            <w:vAlign w:val="center"/>
          </w:tcPr>
          <w:p w14:paraId="581947DF">
            <w:pPr>
              <w:jc w:val="center"/>
              <w:rPr>
                <w:rFonts w:hint="eastAsia" w:ascii="仿宋_GB2312" w:hAnsi="仿宋_GB2312" w:eastAsia="仿宋_GB2312" w:cs="仿宋_GB2312"/>
                <w:szCs w:val="21"/>
              </w:rPr>
            </w:pPr>
          </w:p>
        </w:tc>
        <w:tc>
          <w:tcPr>
            <w:tcW w:w="697" w:type="dxa"/>
            <w:tcBorders>
              <w:left w:val="single" w:color="auto" w:sz="4" w:space="0"/>
            </w:tcBorders>
            <w:noWrap w:val="0"/>
            <w:vAlign w:val="center"/>
          </w:tcPr>
          <w:p w14:paraId="343B481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709" w:type="dxa"/>
            <w:noWrap w:val="0"/>
            <w:vAlign w:val="center"/>
          </w:tcPr>
          <w:p w14:paraId="71F9229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613" w:type="dxa"/>
            <w:noWrap w:val="0"/>
            <w:vAlign w:val="center"/>
          </w:tcPr>
          <w:p w14:paraId="031388E7">
            <w:pPr>
              <w:jc w:val="center"/>
              <w:rPr>
                <w:rFonts w:hint="eastAsia" w:ascii="仿宋_GB2312" w:hAnsi="仿宋_GB2312" w:eastAsia="仿宋_GB2312" w:cs="仿宋_GB2312"/>
                <w:szCs w:val="21"/>
              </w:rPr>
            </w:pPr>
          </w:p>
        </w:tc>
        <w:tc>
          <w:tcPr>
            <w:tcW w:w="505" w:type="dxa"/>
            <w:noWrap w:val="0"/>
            <w:vAlign w:val="center"/>
          </w:tcPr>
          <w:p w14:paraId="598BAC2F">
            <w:pPr>
              <w:jc w:val="center"/>
              <w:rPr>
                <w:rFonts w:hint="eastAsia" w:ascii="仿宋_GB2312" w:hAnsi="仿宋_GB2312" w:eastAsia="仿宋_GB2312" w:cs="仿宋_GB2312"/>
                <w:szCs w:val="21"/>
              </w:rPr>
            </w:pPr>
          </w:p>
        </w:tc>
        <w:tc>
          <w:tcPr>
            <w:tcW w:w="586" w:type="dxa"/>
            <w:noWrap w:val="0"/>
            <w:vAlign w:val="center"/>
          </w:tcPr>
          <w:p w14:paraId="23F92906">
            <w:pPr>
              <w:jc w:val="center"/>
              <w:rPr>
                <w:rFonts w:hint="eastAsia" w:ascii="仿宋_GB2312" w:hAnsi="仿宋_GB2312" w:eastAsia="仿宋_GB2312" w:cs="仿宋_GB2312"/>
                <w:szCs w:val="21"/>
              </w:rPr>
            </w:pPr>
          </w:p>
        </w:tc>
        <w:tc>
          <w:tcPr>
            <w:tcW w:w="437" w:type="dxa"/>
            <w:noWrap w:val="0"/>
            <w:vAlign w:val="center"/>
          </w:tcPr>
          <w:p w14:paraId="3E1A456E">
            <w:pPr>
              <w:jc w:val="center"/>
              <w:rPr>
                <w:rFonts w:hint="eastAsia" w:ascii="仿宋_GB2312" w:hAnsi="仿宋_GB2312" w:eastAsia="仿宋_GB2312" w:cs="仿宋_GB2312"/>
                <w:szCs w:val="21"/>
              </w:rPr>
            </w:pPr>
          </w:p>
        </w:tc>
        <w:tc>
          <w:tcPr>
            <w:tcW w:w="750" w:type="dxa"/>
            <w:noWrap w:val="0"/>
            <w:vAlign w:val="center"/>
          </w:tcPr>
          <w:p w14:paraId="64BD3BA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&gt;30</w:t>
            </w:r>
          </w:p>
        </w:tc>
        <w:tc>
          <w:tcPr>
            <w:tcW w:w="491" w:type="dxa"/>
            <w:noWrap w:val="0"/>
            <w:vAlign w:val="center"/>
          </w:tcPr>
          <w:p w14:paraId="294C36E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09" w:type="dxa"/>
            <w:noWrap w:val="0"/>
            <w:vAlign w:val="center"/>
          </w:tcPr>
          <w:p w14:paraId="6BE5235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w:t>
            </w:r>
          </w:p>
        </w:tc>
        <w:tc>
          <w:tcPr>
            <w:tcW w:w="559" w:type="dxa"/>
            <w:noWrap w:val="0"/>
            <w:vAlign w:val="center"/>
          </w:tcPr>
          <w:p w14:paraId="010023F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20" w:type="dxa"/>
            <w:noWrap w:val="0"/>
            <w:vAlign w:val="center"/>
          </w:tcPr>
          <w:p w14:paraId="4266359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w:t>
            </w:r>
          </w:p>
        </w:tc>
        <w:tc>
          <w:tcPr>
            <w:tcW w:w="460" w:type="dxa"/>
            <w:noWrap w:val="0"/>
            <w:vAlign w:val="center"/>
          </w:tcPr>
          <w:p w14:paraId="4252249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49" w:type="dxa"/>
            <w:noWrap w:val="0"/>
            <w:vAlign w:val="center"/>
          </w:tcPr>
          <w:p w14:paraId="154CE2E5">
            <w:pPr>
              <w:jc w:val="center"/>
              <w:rPr>
                <w:rFonts w:hint="eastAsia" w:ascii="仿宋_GB2312" w:hAnsi="仿宋_GB2312" w:eastAsia="仿宋_GB2312" w:cs="仿宋_GB2312"/>
                <w:szCs w:val="21"/>
              </w:rPr>
            </w:pPr>
          </w:p>
        </w:tc>
        <w:tc>
          <w:tcPr>
            <w:tcW w:w="501" w:type="dxa"/>
            <w:noWrap w:val="0"/>
            <w:vAlign w:val="center"/>
          </w:tcPr>
          <w:p w14:paraId="6F78473E">
            <w:pPr>
              <w:jc w:val="center"/>
              <w:rPr>
                <w:rFonts w:hint="eastAsia" w:ascii="仿宋_GB2312" w:hAnsi="仿宋_GB2312" w:eastAsia="仿宋_GB2312" w:cs="仿宋_GB2312"/>
                <w:szCs w:val="21"/>
              </w:rPr>
            </w:pPr>
          </w:p>
        </w:tc>
        <w:tc>
          <w:tcPr>
            <w:tcW w:w="761" w:type="dxa"/>
            <w:noWrap w:val="0"/>
            <w:vAlign w:val="center"/>
          </w:tcPr>
          <w:p w14:paraId="5C04FD7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&gt;30</w:t>
            </w:r>
          </w:p>
        </w:tc>
        <w:tc>
          <w:tcPr>
            <w:tcW w:w="480" w:type="dxa"/>
            <w:noWrap w:val="0"/>
            <w:vAlign w:val="center"/>
          </w:tcPr>
          <w:p w14:paraId="325B2B4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r>
      <w:tr w14:paraId="319115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 w:hRule="atLeast"/>
          <w:jc w:val="center"/>
        </w:trPr>
        <w:tc>
          <w:tcPr>
            <w:tcW w:w="302" w:type="dxa"/>
            <w:vMerge w:val="restart"/>
            <w:tcBorders>
              <w:top w:val="single" w:color="auto" w:sz="4" w:space="0"/>
              <w:bottom w:val="single" w:color="auto" w:sz="4" w:space="0"/>
            </w:tcBorders>
            <w:noWrap w:val="0"/>
            <w:vAlign w:val="top"/>
          </w:tcPr>
          <w:p w14:paraId="22415CB3">
            <w:pPr>
              <w:jc w:val="center"/>
              <w:rPr>
                <w:rFonts w:hint="eastAsia" w:ascii="仿宋_GB2312" w:hAnsi="仿宋_GB2312" w:eastAsia="仿宋_GB2312" w:cs="仿宋_GB2312"/>
                <w:szCs w:val="21"/>
              </w:rPr>
            </w:pPr>
          </w:p>
          <w:p w14:paraId="544A6510">
            <w:pPr>
              <w:jc w:val="center"/>
              <w:rPr>
                <w:rFonts w:hint="eastAsia" w:ascii="仿宋_GB2312" w:hAnsi="仿宋_GB2312" w:eastAsia="仿宋_GB2312" w:cs="仿宋_GB2312"/>
                <w:szCs w:val="21"/>
              </w:rPr>
            </w:pPr>
          </w:p>
          <w:p w14:paraId="6F6BAE91">
            <w:pPr>
              <w:jc w:val="center"/>
              <w:rPr>
                <w:rFonts w:hint="eastAsia" w:ascii="仿宋_GB2312" w:hAnsi="仿宋_GB2312" w:eastAsia="仿宋_GB2312" w:cs="仿宋_GB2312"/>
                <w:szCs w:val="21"/>
              </w:rPr>
            </w:pPr>
          </w:p>
          <w:p w14:paraId="77DD3A6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三级</w:t>
            </w:r>
          </w:p>
        </w:tc>
        <w:tc>
          <w:tcPr>
            <w:tcW w:w="400" w:type="dxa"/>
            <w:vMerge w:val="restart"/>
            <w:tcBorders>
              <w:top w:val="single" w:color="auto" w:sz="4" w:space="0"/>
              <w:bottom w:val="single" w:color="auto" w:sz="4" w:space="0"/>
            </w:tcBorders>
            <w:noWrap w:val="0"/>
            <w:vAlign w:val="top"/>
          </w:tcPr>
          <w:p w14:paraId="74CED067">
            <w:pPr>
              <w:jc w:val="center"/>
              <w:rPr>
                <w:rFonts w:hint="eastAsia" w:ascii="仿宋_GB2312" w:hAnsi="仿宋_GB2312" w:eastAsia="仿宋_GB2312" w:cs="仿宋_GB2312"/>
                <w:szCs w:val="21"/>
              </w:rPr>
            </w:pPr>
          </w:p>
          <w:p w14:paraId="23A76CE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车行道</w:t>
            </w:r>
          </w:p>
        </w:tc>
        <w:tc>
          <w:tcPr>
            <w:tcW w:w="697" w:type="dxa"/>
            <w:noWrap w:val="0"/>
            <w:vAlign w:val="top"/>
          </w:tcPr>
          <w:p w14:paraId="23CE7C5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709" w:type="dxa"/>
            <w:noWrap w:val="0"/>
            <w:vAlign w:val="top"/>
          </w:tcPr>
          <w:p w14:paraId="1058231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613" w:type="dxa"/>
            <w:noWrap w:val="0"/>
            <w:vAlign w:val="top"/>
          </w:tcPr>
          <w:p w14:paraId="26AA5A1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05" w:type="dxa"/>
            <w:noWrap w:val="0"/>
            <w:vAlign w:val="top"/>
          </w:tcPr>
          <w:p w14:paraId="137BC82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86" w:type="dxa"/>
            <w:noWrap w:val="0"/>
            <w:vAlign w:val="top"/>
          </w:tcPr>
          <w:p w14:paraId="16C84DB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37" w:type="dxa"/>
            <w:noWrap w:val="0"/>
            <w:vAlign w:val="top"/>
          </w:tcPr>
          <w:p w14:paraId="174423F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50" w:type="dxa"/>
            <w:noWrap w:val="0"/>
            <w:vAlign w:val="top"/>
          </w:tcPr>
          <w:p w14:paraId="3694167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91" w:type="dxa"/>
            <w:noWrap w:val="0"/>
            <w:vAlign w:val="top"/>
          </w:tcPr>
          <w:p w14:paraId="7539669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709" w:type="dxa"/>
            <w:noWrap w:val="0"/>
            <w:vAlign w:val="top"/>
          </w:tcPr>
          <w:p w14:paraId="1A9A30B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559" w:type="dxa"/>
            <w:noWrap w:val="0"/>
            <w:vAlign w:val="top"/>
          </w:tcPr>
          <w:p w14:paraId="594E3DF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20" w:type="dxa"/>
            <w:noWrap w:val="0"/>
            <w:vAlign w:val="top"/>
          </w:tcPr>
          <w:p w14:paraId="1E2808B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460" w:type="dxa"/>
            <w:noWrap w:val="0"/>
            <w:vAlign w:val="top"/>
          </w:tcPr>
          <w:p w14:paraId="63C7F54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49" w:type="dxa"/>
            <w:noWrap w:val="0"/>
            <w:vAlign w:val="top"/>
          </w:tcPr>
          <w:p w14:paraId="794544E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01" w:type="dxa"/>
            <w:noWrap w:val="0"/>
            <w:vAlign w:val="top"/>
          </w:tcPr>
          <w:p w14:paraId="6D5B2F3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61" w:type="dxa"/>
            <w:noWrap w:val="0"/>
            <w:vAlign w:val="top"/>
          </w:tcPr>
          <w:p w14:paraId="30509B7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480" w:type="dxa"/>
            <w:noWrap w:val="0"/>
            <w:vAlign w:val="top"/>
          </w:tcPr>
          <w:p w14:paraId="3E3FAA3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14:paraId="39419E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 w:hRule="atLeast"/>
          <w:jc w:val="center"/>
        </w:trPr>
        <w:tc>
          <w:tcPr>
            <w:tcW w:w="302" w:type="dxa"/>
            <w:vMerge w:val="continue"/>
            <w:tcBorders>
              <w:top w:val="single" w:color="auto" w:sz="4" w:space="0"/>
              <w:bottom w:val="single" w:color="auto" w:sz="4" w:space="0"/>
            </w:tcBorders>
            <w:noWrap w:val="0"/>
            <w:vAlign w:val="top"/>
          </w:tcPr>
          <w:p w14:paraId="5A4064AD">
            <w:pPr>
              <w:jc w:val="center"/>
              <w:rPr>
                <w:rFonts w:hint="eastAsia" w:ascii="仿宋_GB2312" w:hAnsi="仿宋_GB2312" w:eastAsia="仿宋_GB2312" w:cs="仿宋_GB2312"/>
                <w:szCs w:val="21"/>
              </w:rPr>
            </w:pPr>
          </w:p>
        </w:tc>
        <w:tc>
          <w:tcPr>
            <w:tcW w:w="400" w:type="dxa"/>
            <w:vMerge w:val="continue"/>
            <w:tcBorders>
              <w:top w:val="single" w:color="auto" w:sz="4" w:space="0"/>
              <w:bottom w:val="single" w:color="auto" w:sz="4" w:space="0"/>
            </w:tcBorders>
            <w:noWrap w:val="0"/>
            <w:vAlign w:val="top"/>
          </w:tcPr>
          <w:p w14:paraId="4009DB86">
            <w:pPr>
              <w:jc w:val="center"/>
              <w:rPr>
                <w:rFonts w:hint="eastAsia" w:ascii="仿宋_GB2312" w:hAnsi="仿宋_GB2312" w:eastAsia="仿宋_GB2312" w:cs="仿宋_GB2312"/>
                <w:szCs w:val="21"/>
              </w:rPr>
            </w:pPr>
          </w:p>
        </w:tc>
        <w:tc>
          <w:tcPr>
            <w:tcW w:w="697" w:type="dxa"/>
            <w:noWrap w:val="0"/>
            <w:vAlign w:val="top"/>
          </w:tcPr>
          <w:p w14:paraId="470B99E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3∽6</w:t>
            </w:r>
          </w:p>
        </w:tc>
        <w:tc>
          <w:tcPr>
            <w:tcW w:w="709" w:type="dxa"/>
            <w:noWrap w:val="0"/>
            <w:vAlign w:val="top"/>
          </w:tcPr>
          <w:p w14:paraId="72D93F7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613" w:type="dxa"/>
            <w:noWrap w:val="0"/>
            <w:vAlign w:val="top"/>
          </w:tcPr>
          <w:p w14:paraId="43206AB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505" w:type="dxa"/>
            <w:noWrap w:val="0"/>
            <w:vAlign w:val="top"/>
          </w:tcPr>
          <w:p w14:paraId="509B919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586" w:type="dxa"/>
            <w:noWrap w:val="0"/>
            <w:vAlign w:val="top"/>
          </w:tcPr>
          <w:p w14:paraId="68709D9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437" w:type="dxa"/>
            <w:noWrap w:val="0"/>
            <w:vAlign w:val="top"/>
          </w:tcPr>
          <w:p w14:paraId="28A2DD3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750" w:type="dxa"/>
            <w:noWrap w:val="0"/>
            <w:vAlign w:val="top"/>
          </w:tcPr>
          <w:p w14:paraId="4B71B06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5∽20</w:t>
            </w:r>
          </w:p>
        </w:tc>
        <w:tc>
          <w:tcPr>
            <w:tcW w:w="491" w:type="dxa"/>
            <w:noWrap w:val="0"/>
            <w:vAlign w:val="top"/>
          </w:tcPr>
          <w:p w14:paraId="0910823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09" w:type="dxa"/>
            <w:vMerge w:val="restart"/>
            <w:noWrap w:val="0"/>
            <w:vAlign w:val="top"/>
          </w:tcPr>
          <w:p w14:paraId="121A342B">
            <w:pPr>
              <w:jc w:val="center"/>
              <w:rPr>
                <w:rFonts w:hint="eastAsia" w:ascii="仿宋_GB2312" w:hAnsi="仿宋_GB2312" w:eastAsia="仿宋_GB2312" w:cs="仿宋_GB2312"/>
                <w:szCs w:val="21"/>
              </w:rPr>
            </w:pPr>
          </w:p>
          <w:p w14:paraId="5A4845E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559" w:type="dxa"/>
            <w:vMerge w:val="restart"/>
            <w:noWrap w:val="0"/>
            <w:vAlign w:val="top"/>
          </w:tcPr>
          <w:p w14:paraId="4B0E38CB">
            <w:pPr>
              <w:jc w:val="center"/>
              <w:rPr>
                <w:rFonts w:hint="eastAsia" w:ascii="仿宋_GB2312" w:hAnsi="仿宋_GB2312" w:eastAsia="仿宋_GB2312" w:cs="仿宋_GB2312"/>
                <w:szCs w:val="21"/>
              </w:rPr>
            </w:pPr>
          </w:p>
          <w:p w14:paraId="4D183AD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20" w:type="dxa"/>
            <w:vMerge w:val="restart"/>
            <w:noWrap w:val="0"/>
            <w:vAlign w:val="top"/>
          </w:tcPr>
          <w:p w14:paraId="2310C5C3">
            <w:pPr>
              <w:jc w:val="center"/>
              <w:rPr>
                <w:rFonts w:hint="eastAsia" w:ascii="仿宋_GB2312" w:hAnsi="仿宋_GB2312" w:eastAsia="仿宋_GB2312" w:cs="仿宋_GB2312"/>
                <w:szCs w:val="21"/>
              </w:rPr>
            </w:pPr>
          </w:p>
          <w:p w14:paraId="7AC3657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460" w:type="dxa"/>
            <w:vMerge w:val="restart"/>
            <w:noWrap w:val="0"/>
            <w:vAlign w:val="top"/>
          </w:tcPr>
          <w:p w14:paraId="48672212">
            <w:pPr>
              <w:jc w:val="center"/>
              <w:rPr>
                <w:rFonts w:hint="eastAsia" w:ascii="仿宋_GB2312" w:hAnsi="仿宋_GB2312" w:eastAsia="仿宋_GB2312" w:cs="仿宋_GB2312"/>
                <w:szCs w:val="21"/>
              </w:rPr>
            </w:pPr>
          </w:p>
          <w:p w14:paraId="0323F32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49" w:type="dxa"/>
            <w:noWrap w:val="0"/>
            <w:vAlign w:val="top"/>
          </w:tcPr>
          <w:p w14:paraId="0416B53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501" w:type="dxa"/>
            <w:noWrap w:val="0"/>
            <w:vAlign w:val="top"/>
          </w:tcPr>
          <w:p w14:paraId="2378790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761" w:type="dxa"/>
            <w:noWrap w:val="0"/>
            <w:vAlign w:val="top"/>
          </w:tcPr>
          <w:p w14:paraId="0822B2C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10∽30</w:t>
            </w:r>
          </w:p>
        </w:tc>
        <w:tc>
          <w:tcPr>
            <w:tcW w:w="480" w:type="dxa"/>
            <w:noWrap w:val="0"/>
            <w:vAlign w:val="top"/>
          </w:tcPr>
          <w:p w14:paraId="58F92AB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r>
      <w:tr w14:paraId="150DA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 w:hRule="atLeast"/>
          <w:jc w:val="center"/>
        </w:trPr>
        <w:tc>
          <w:tcPr>
            <w:tcW w:w="302" w:type="dxa"/>
            <w:vMerge w:val="continue"/>
            <w:tcBorders>
              <w:top w:val="single" w:color="auto" w:sz="4" w:space="0"/>
              <w:bottom w:val="single" w:color="auto" w:sz="4" w:space="0"/>
            </w:tcBorders>
            <w:noWrap w:val="0"/>
            <w:vAlign w:val="top"/>
          </w:tcPr>
          <w:p w14:paraId="348BD0DF">
            <w:pPr>
              <w:jc w:val="center"/>
              <w:rPr>
                <w:rFonts w:hint="eastAsia" w:ascii="仿宋_GB2312" w:hAnsi="仿宋_GB2312" w:eastAsia="仿宋_GB2312" w:cs="仿宋_GB2312"/>
                <w:szCs w:val="21"/>
              </w:rPr>
            </w:pPr>
          </w:p>
        </w:tc>
        <w:tc>
          <w:tcPr>
            <w:tcW w:w="400" w:type="dxa"/>
            <w:vMerge w:val="continue"/>
            <w:tcBorders>
              <w:top w:val="single" w:color="auto" w:sz="4" w:space="0"/>
              <w:bottom w:val="single" w:color="auto" w:sz="4" w:space="0"/>
            </w:tcBorders>
            <w:noWrap w:val="0"/>
            <w:vAlign w:val="top"/>
          </w:tcPr>
          <w:p w14:paraId="1D459D09">
            <w:pPr>
              <w:jc w:val="center"/>
              <w:rPr>
                <w:rFonts w:hint="eastAsia" w:ascii="仿宋_GB2312" w:hAnsi="仿宋_GB2312" w:eastAsia="仿宋_GB2312" w:cs="仿宋_GB2312"/>
                <w:szCs w:val="21"/>
              </w:rPr>
            </w:pPr>
          </w:p>
        </w:tc>
        <w:tc>
          <w:tcPr>
            <w:tcW w:w="697" w:type="dxa"/>
            <w:noWrap w:val="0"/>
            <w:vAlign w:val="top"/>
          </w:tcPr>
          <w:p w14:paraId="1EBC46E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&gt;6</w:t>
            </w:r>
          </w:p>
        </w:tc>
        <w:tc>
          <w:tcPr>
            <w:tcW w:w="709" w:type="dxa"/>
            <w:noWrap w:val="0"/>
            <w:vAlign w:val="top"/>
          </w:tcPr>
          <w:p w14:paraId="55D7C9D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613" w:type="dxa"/>
            <w:noWrap w:val="0"/>
            <w:vAlign w:val="top"/>
          </w:tcPr>
          <w:p w14:paraId="751302A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505" w:type="dxa"/>
            <w:noWrap w:val="0"/>
            <w:vAlign w:val="top"/>
          </w:tcPr>
          <w:p w14:paraId="0B06145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586" w:type="dxa"/>
            <w:noWrap w:val="0"/>
            <w:vAlign w:val="top"/>
          </w:tcPr>
          <w:p w14:paraId="0F58F8A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437" w:type="dxa"/>
            <w:noWrap w:val="0"/>
            <w:vAlign w:val="top"/>
          </w:tcPr>
          <w:p w14:paraId="4C5471F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50" w:type="dxa"/>
            <w:noWrap w:val="0"/>
            <w:vAlign w:val="top"/>
          </w:tcPr>
          <w:p w14:paraId="05EC943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&gt;20</w:t>
            </w:r>
          </w:p>
        </w:tc>
        <w:tc>
          <w:tcPr>
            <w:tcW w:w="491" w:type="dxa"/>
            <w:noWrap w:val="0"/>
            <w:vAlign w:val="top"/>
          </w:tcPr>
          <w:p w14:paraId="4124EF4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09" w:type="dxa"/>
            <w:vMerge w:val="continue"/>
            <w:noWrap w:val="0"/>
            <w:vAlign w:val="top"/>
          </w:tcPr>
          <w:p w14:paraId="36E90FE5">
            <w:pPr>
              <w:jc w:val="center"/>
              <w:rPr>
                <w:rFonts w:hint="eastAsia" w:ascii="仿宋_GB2312" w:hAnsi="仿宋_GB2312" w:eastAsia="仿宋_GB2312" w:cs="仿宋_GB2312"/>
                <w:szCs w:val="21"/>
              </w:rPr>
            </w:pPr>
          </w:p>
        </w:tc>
        <w:tc>
          <w:tcPr>
            <w:tcW w:w="559" w:type="dxa"/>
            <w:vMerge w:val="continue"/>
            <w:noWrap w:val="0"/>
            <w:vAlign w:val="top"/>
          </w:tcPr>
          <w:p w14:paraId="7BF8BB35">
            <w:pPr>
              <w:jc w:val="center"/>
              <w:rPr>
                <w:rFonts w:hint="eastAsia" w:ascii="仿宋_GB2312" w:hAnsi="仿宋_GB2312" w:eastAsia="仿宋_GB2312" w:cs="仿宋_GB2312"/>
                <w:szCs w:val="21"/>
              </w:rPr>
            </w:pPr>
          </w:p>
        </w:tc>
        <w:tc>
          <w:tcPr>
            <w:tcW w:w="720" w:type="dxa"/>
            <w:vMerge w:val="continue"/>
            <w:noWrap w:val="0"/>
            <w:vAlign w:val="top"/>
          </w:tcPr>
          <w:p w14:paraId="16135F7B">
            <w:pPr>
              <w:jc w:val="center"/>
              <w:rPr>
                <w:rFonts w:hint="eastAsia" w:ascii="仿宋_GB2312" w:hAnsi="仿宋_GB2312" w:eastAsia="仿宋_GB2312" w:cs="仿宋_GB2312"/>
                <w:szCs w:val="21"/>
              </w:rPr>
            </w:pPr>
          </w:p>
        </w:tc>
        <w:tc>
          <w:tcPr>
            <w:tcW w:w="460" w:type="dxa"/>
            <w:vMerge w:val="continue"/>
            <w:noWrap w:val="0"/>
            <w:vAlign w:val="top"/>
          </w:tcPr>
          <w:p w14:paraId="3F9A0C80">
            <w:pPr>
              <w:jc w:val="center"/>
              <w:rPr>
                <w:rFonts w:hint="eastAsia" w:ascii="仿宋_GB2312" w:hAnsi="仿宋_GB2312" w:eastAsia="仿宋_GB2312" w:cs="仿宋_GB2312"/>
                <w:szCs w:val="21"/>
              </w:rPr>
            </w:pPr>
          </w:p>
        </w:tc>
        <w:tc>
          <w:tcPr>
            <w:tcW w:w="749" w:type="dxa"/>
            <w:noWrap w:val="0"/>
            <w:vAlign w:val="top"/>
          </w:tcPr>
          <w:p w14:paraId="083211D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&gt;5</w:t>
            </w:r>
          </w:p>
        </w:tc>
        <w:tc>
          <w:tcPr>
            <w:tcW w:w="501" w:type="dxa"/>
            <w:noWrap w:val="0"/>
            <w:vAlign w:val="top"/>
          </w:tcPr>
          <w:p w14:paraId="5521375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61" w:type="dxa"/>
            <w:noWrap w:val="0"/>
            <w:vAlign w:val="top"/>
          </w:tcPr>
          <w:p w14:paraId="7F89B28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&gt;30</w:t>
            </w:r>
          </w:p>
        </w:tc>
        <w:tc>
          <w:tcPr>
            <w:tcW w:w="480" w:type="dxa"/>
            <w:noWrap w:val="0"/>
            <w:vAlign w:val="top"/>
          </w:tcPr>
          <w:p w14:paraId="4F2567B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r>
      <w:tr w14:paraId="329E38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 w:hRule="atLeast"/>
          <w:jc w:val="center"/>
        </w:trPr>
        <w:tc>
          <w:tcPr>
            <w:tcW w:w="302" w:type="dxa"/>
            <w:vMerge w:val="continue"/>
            <w:tcBorders>
              <w:top w:val="single" w:color="auto" w:sz="4" w:space="0"/>
              <w:bottom w:val="single" w:color="auto" w:sz="4" w:space="0"/>
            </w:tcBorders>
            <w:noWrap w:val="0"/>
            <w:vAlign w:val="top"/>
          </w:tcPr>
          <w:p w14:paraId="24D392D8">
            <w:pPr>
              <w:jc w:val="center"/>
              <w:rPr>
                <w:rFonts w:hint="eastAsia" w:ascii="仿宋_GB2312" w:hAnsi="仿宋_GB2312" w:eastAsia="仿宋_GB2312" w:cs="仿宋_GB2312"/>
                <w:szCs w:val="21"/>
              </w:rPr>
            </w:pPr>
          </w:p>
        </w:tc>
        <w:tc>
          <w:tcPr>
            <w:tcW w:w="400" w:type="dxa"/>
            <w:vMerge w:val="restart"/>
            <w:tcBorders>
              <w:top w:val="single" w:color="auto" w:sz="4" w:space="0"/>
              <w:bottom w:val="single" w:color="auto" w:sz="4" w:space="0"/>
            </w:tcBorders>
            <w:noWrap w:val="0"/>
            <w:vAlign w:val="top"/>
          </w:tcPr>
          <w:p w14:paraId="09FF41B5">
            <w:pPr>
              <w:jc w:val="center"/>
              <w:rPr>
                <w:rFonts w:hint="eastAsia" w:ascii="仿宋_GB2312" w:hAnsi="仿宋_GB2312" w:eastAsia="仿宋_GB2312" w:cs="仿宋_GB2312"/>
                <w:szCs w:val="21"/>
              </w:rPr>
            </w:pPr>
          </w:p>
          <w:p w14:paraId="4CD6E59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人行道</w:t>
            </w:r>
          </w:p>
        </w:tc>
        <w:tc>
          <w:tcPr>
            <w:tcW w:w="697" w:type="dxa"/>
            <w:noWrap w:val="0"/>
            <w:vAlign w:val="top"/>
          </w:tcPr>
          <w:p w14:paraId="2AB9D71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709" w:type="dxa"/>
            <w:noWrap w:val="0"/>
            <w:vAlign w:val="top"/>
          </w:tcPr>
          <w:p w14:paraId="197D08C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613" w:type="dxa"/>
            <w:noWrap w:val="0"/>
            <w:vAlign w:val="top"/>
          </w:tcPr>
          <w:p w14:paraId="308BD10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505" w:type="dxa"/>
            <w:noWrap w:val="0"/>
            <w:vAlign w:val="top"/>
          </w:tcPr>
          <w:p w14:paraId="75DA48F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86" w:type="dxa"/>
            <w:noWrap w:val="0"/>
            <w:vAlign w:val="top"/>
          </w:tcPr>
          <w:p w14:paraId="67C331B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437" w:type="dxa"/>
            <w:noWrap w:val="0"/>
            <w:vAlign w:val="top"/>
          </w:tcPr>
          <w:p w14:paraId="14DAF41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50" w:type="dxa"/>
            <w:noWrap w:val="0"/>
            <w:vAlign w:val="top"/>
          </w:tcPr>
          <w:p w14:paraId="779170F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≤20</w:t>
            </w:r>
          </w:p>
        </w:tc>
        <w:tc>
          <w:tcPr>
            <w:tcW w:w="491" w:type="dxa"/>
            <w:noWrap w:val="0"/>
            <w:vAlign w:val="top"/>
          </w:tcPr>
          <w:p w14:paraId="4B3CAA7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709" w:type="dxa"/>
            <w:noWrap w:val="0"/>
            <w:vAlign w:val="top"/>
          </w:tcPr>
          <w:p w14:paraId="1EA9F0B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59" w:type="dxa"/>
            <w:noWrap w:val="0"/>
            <w:vAlign w:val="top"/>
          </w:tcPr>
          <w:p w14:paraId="4CB65C8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20" w:type="dxa"/>
            <w:noWrap w:val="0"/>
            <w:vAlign w:val="top"/>
          </w:tcPr>
          <w:p w14:paraId="734A5FD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60" w:type="dxa"/>
            <w:noWrap w:val="0"/>
            <w:vAlign w:val="top"/>
          </w:tcPr>
          <w:p w14:paraId="6BA440F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49" w:type="dxa"/>
            <w:noWrap w:val="0"/>
            <w:vAlign w:val="top"/>
          </w:tcPr>
          <w:p w14:paraId="3B03EBC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01" w:type="dxa"/>
            <w:noWrap w:val="0"/>
            <w:vAlign w:val="top"/>
          </w:tcPr>
          <w:p w14:paraId="0BFE8DD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61" w:type="dxa"/>
            <w:noWrap w:val="0"/>
            <w:vAlign w:val="top"/>
          </w:tcPr>
          <w:p w14:paraId="5B71C9F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480" w:type="dxa"/>
            <w:noWrap w:val="0"/>
            <w:vAlign w:val="top"/>
          </w:tcPr>
          <w:p w14:paraId="241A48F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14:paraId="65948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 w:hRule="atLeast"/>
          <w:jc w:val="center"/>
        </w:trPr>
        <w:tc>
          <w:tcPr>
            <w:tcW w:w="302" w:type="dxa"/>
            <w:vMerge w:val="continue"/>
            <w:tcBorders>
              <w:top w:val="single" w:color="auto" w:sz="4" w:space="0"/>
              <w:bottom w:val="single" w:color="auto" w:sz="4" w:space="0"/>
            </w:tcBorders>
            <w:noWrap w:val="0"/>
            <w:vAlign w:val="top"/>
          </w:tcPr>
          <w:p w14:paraId="7EB5E206">
            <w:pPr>
              <w:jc w:val="center"/>
              <w:rPr>
                <w:rFonts w:hint="eastAsia" w:ascii="仿宋_GB2312" w:hAnsi="仿宋_GB2312" w:eastAsia="仿宋_GB2312" w:cs="仿宋_GB2312"/>
                <w:szCs w:val="21"/>
              </w:rPr>
            </w:pPr>
          </w:p>
        </w:tc>
        <w:tc>
          <w:tcPr>
            <w:tcW w:w="400" w:type="dxa"/>
            <w:vMerge w:val="continue"/>
            <w:tcBorders>
              <w:top w:val="single" w:color="auto" w:sz="4" w:space="0"/>
              <w:bottom w:val="single" w:color="auto" w:sz="4" w:space="0"/>
            </w:tcBorders>
            <w:noWrap w:val="0"/>
            <w:vAlign w:val="top"/>
          </w:tcPr>
          <w:p w14:paraId="7E3B4BB5">
            <w:pPr>
              <w:jc w:val="center"/>
              <w:rPr>
                <w:rFonts w:hint="eastAsia" w:ascii="仿宋_GB2312" w:hAnsi="仿宋_GB2312" w:eastAsia="仿宋_GB2312" w:cs="仿宋_GB2312"/>
                <w:szCs w:val="21"/>
              </w:rPr>
            </w:pPr>
          </w:p>
        </w:tc>
        <w:tc>
          <w:tcPr>
            <w:tcW w:w="697" w:type="dxa"/>
            <w:noWrap w:val="0"/>
            <w:vAlign w:val="top"/>
          </w:tcPr>
          <w:p w14:paraId="0E42B1B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3∽6</w:t>
            </w:r>
          </w:p>
        </w:tc>
        <w:tc>
          <w:tcPr>
            <w:tcW w:w="709" w:type="dxa"/>
            <w:noWrap w:val="0"/>
            <w:vAlign w:val="top"/>
          </w:tcPr>
          <w:p w14:paraId="1EA95D9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613" w:type="dxa"/>
            <w:vMerge w:val="restart"/>
            <w:noWrap w:val="0"/>
            <w:vAlign w:val="center"/>
          </w:tcPr>
          <w:p w14:paraId="2965BD7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w:t>
            </w:r>
          </w:p>
        </w:tc>
        <w:tc>
          <w:tcPr>
            <w:tcW w:w="505" w:type="dxa"/>
            <w:vMerge w:val="restart"/>
            <w:noWrap w:val="0"/>
            <w:vAlign w:val="center"/>
          </w:tcPr>
          <w:p w14:paraId="1611CBE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586" w:type="dxa"/>
            <w:vMerge w:val="restart"/>
            <w:noWrap w:val="0"/>
            <w:vAlign w:val="center"/>
          </w:tcPr>
          <w:p w14:paraId="2B05922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w:t>
            </w:r>
          </w:p>
        </w:tc>
        <w:tc>
          <w:tcPr>
            <w:tcW w:w="437" w:type="dxa"/>
            <w:vMerge w:val="restart"/>
            <w:noWrap w:val="0"/>
            <w:vAlign w:val="top"/>
          </w:tcPr>
          <w:p w14:paraId="4A28367D">
            <w:pPr>
              <w:jc w:val="center"/>
              <w:rPr>
                <w:rFonts w:hint="eastAsia" w:ascii="仿宋_GB2312" w:hAnsi="仿宋_GB2312" w:eastAsia="仿宋_GB2312" w:cs="仿宋_GB2312"/>
                <w:szCs w:val="21"/>
              </w:rPr>
            </w:pPr>
          </w:p>
          <w:p w14:paraId="3CE2613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50" w:type="dxa"/>
            <w:noWrap w:val="0"/>
            <w:vAlign w:val="top"/>
          </w:tcPr>
          <w:p w14:paraId="1DF5477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20∽40</w:t>
            </w:r>
          </w:p>
        </w:tc>
        <w:tc>
          <w:tcPr>
            <w:tcW w:w="491" w:type="dxa"/>
            <w:noWrap w:val="0"/>
            <w:vAlign w:val="top"/>
          </w:tcPr>
          <w:p w14:paraId="0F06AEE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09" w:type="dxa"/>
            <w:noWrap w:val="0"/>
            <w:vAlign w:val="top"/>
          </w:tcPr>
          <w:p w14:paraId="2A14200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559" w:type="dxa"/>
            <w:noWrap w:val="0"/>
            <w:vAlign w:val="top"/>
          </w:tcPr>
          <w:p w14:paraId="435EC7F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20" w:type="dxa"/>
            <w:noWrap w:val="0"/>
            <w:vAlign w:val="top"/>
          </w:tcPr>
          <w:p w14:paraId="7BC4CF4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460" w:type="dxa"/>
            <w:noWrap w:val="0"/>
            <w:vAlign w:val="top"/>
          </w:tcPr>
          <w:p w14:paraId="3E3516E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749" w:type="dxa"/>
            <w:noWrap w:val="0"/>
            <w:vAlign w:val="top"/>
          </w:tcPr>
          <w:p w14:paraId="76F23AE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501" w:type="dxa"/>
            <w:noWrap w:val="0"/>
            <w:vAlign w:val="top"/>
          </w:tcPr>
          <w:p w14:paraId="309CA73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761" w:type="dxa"/>
            <w:noWrap w:val="0"/>
            <w:vAlign w:val="top"/>
          </w:tcPr>
          <w:p w14:paraId="606570D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10∽30</w:t>
            </w:r>
          </w:p>
        </w:tc>
        <w:tc>
          <w:tcPr>
            <w:tcW w:w="480" w:type="dxa"/>
            <w:noWrap w:val="0"/>
            <w:vAlign w:val="top"/>
          </w:tcPr>
          <w:p w14:paraId="2259A6A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r>
      <w:tr w14:paraId="1ABCB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 w:hRule="atLeast"/>
          <w:jc w:val="center"/>
        </w:trPr>
        <w:tc>
          <w:tcPr>
            <w:tcW w:w="302" w:type="dxa"/>
            <w:vMerge w:val="continue"/>
            <w:tcBorders>
              <w:top w:val="single" w:color="auto" w:sz="4" w:space="0"/>
              <w:bottom w:val="single" w:color="auto" w:sz="4" w:space="0"/>
            </w:tcBorders>
            <w:noWrap w:val="0"/>
            <w:vAlign w:val="top"/>
          </w:tcPr>
          <w:p w14:paraId="10193D9C">
            <w:pPr>
              <w:jc w:val="center"/>
              <w:rPr>
                <w:rFonts w:hint="eastAsia" w:ascii="仿宋_GB2312" w:hAnsi="仿宋_GB2312" w:eastAsia="仿宋_GB2312" w:cs="仿宋_GB2312"/>
                <w:szCs w:val="21"/>
              </w:rPr>
            </w:pPr>
          </w:p>
        </w:tc>
        <w:tc>
          <w:tcPr>
            <w:tcW w:w="400" w:type="dxa"/>
            <w:vMerge w:val="continue"/>
            <w:tcBorders>
              <w:top w:val="single" w:color="auto" w:sz="4" w:space="0"/>
              <w:bottom w:val="single" w:color="auto" w:sz="4" w:space="0"/>
            </w:tcBorders>
            <w:noWrap w:val="0"/>
            <w:vAlign w:val="top"/>
          </w:tcPr>
          <w:p w14:paraId="7B934D87">
            <w:pPr>
              <w:jc w:val="center"/>
              <w:rPr>
                <w:rFonts w:hint="eastAsia" w:ascii="仿宋_GB2312" w:hAnsi="仿宋_GB2312" w:eastAsia="仿宋_GB2312" w:cs="仿宋_GB2312"/>
                <w:szCs w:val="21"/>
              </w:rPr>
            </w:pPr>
          </w:p>
        </w:tc>
        <w:tc>
          <w:tcPr>
            <w:tcW w:w="697" w:type="dxa"/>
            <w:tcBorders>
              <w:bottom w:val="single" w:color="auto" w:sz="4" w:space="0"/>
            </w:tcBorders>
            <w:noWrap w:val="0"/>
            <w:vAlign w:val="top"/>
          </w:tcPr>
          <w:p w14:paraId="1BAA0F3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&gt;6</w:t>
            </w:r>
          </w:p>
        </w:tc>
        <w:tc>
          <w:tcPr>
            <w:tcW w:w="709" w:type="dxa"/>
            <w:tcBorders>
              <w:bottom w:val="single" w:color="auto" w:sz="4" w:space="0"/>
            </w:tcBorders>
            <w:noWrap w:val="0"/>
            <w:vAlign w:val="top"/>
          </w:tcPr>
          <w:p w14:paraId="0A85EAD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613" w:type="dxa"/>
            <w:vMerge w:val="continue"/>
            <w:tcBorders>
              <w:bottom w:val="single" w:color="auto" w:sz="4" w:space="0"/>
            </w:tcBorders>
            <w:noWrap w:val="0"/>
            <w:vAlign w:val="top"/>
          </w:tcPr>
          <w:p w14:paraId="5EB5279A">
            <w:pPr>
              <w:jc w:val="center"/>
              <w:rPr>
                <w:rFonts w:hint="eastAsia" w:ascii="仿宋_GB2312" w:hAnsi="仿宋_GB2312" w:eastAsia="仿宋_GB2312" w:cs="仿宋_GB2312"/>
                <w:szCs w:val="21"/>
              </w:rPr>
            </w:pPr>
          </w:p>
        </w:tc>
        <w:tc>
          <w:tcPr>
            <w:tcW w:w="505" w:type="dxa"/>
            <w:vMerge w:val="continue"/>
            <w:tcBorders>
              <w:bottom w:val="single" w:color="auto" w:sz="4" w:space="0"/>
            </w:tcBorders>
            <w:noWrap w:val="0"/>
            <w:vAlign w:val="top"/>
          </w:tcPr>
          <w:p w14:paraId="5EE0F12A">
            <w:pPr>
              <w:jc w:val="center"/>
              <w:rPr>
                <w:rFonts w:hint="eastAsia" w:ascii="仿宋_GB2312" w:hAnsi="仿宋_GB2312" w:eastAsia="仿宋_GB2312" w:cs="仿宋_GB2312"/>
                <w:szCs w:val="21"/>
              </w:rPr>
            </w:pPr>
          </w:p>
        </w:tc>
        <w:tc>
          <w:tcPr>
            <w:tcW w:w="586" w:type="dxa"/>
            <w:vMerge w:val="continue"/>
            <w:tcBorders>
              <w:bottom w:val="single" w:color="auto" w:sz="4" w:space="0"/>
            </w:tcBorders>
            <w:noWrap w:val="0"/>
            <w:vAlign w:val="top"/>
          </w:tcPr>
          <w:p w14:paraId="5CC4F29C">
            <w:pPr>
              <w:jc w:val="center"/>
              <w:rPr>
                <w:rFonts w:hint="eastAsia" w:ascii="仿宋_GB2312" w:hAnsi="仿宋_GB2312" w:eastAsia="仿宋_GB2312" w:cs="仿宋_GB2312"/>
                <w:szCs w:val="21"/>
              </w:rPr>
            </w:pPr>
          </w:p>
        </w:tc>
        <w:tc>
          <w:tcPr>
            <w:tcW w:w="437" w:type="dxa"/>
            <w:vMerge w:val="continue"/>
            <w:tcBorders>
              <w:bottom w:val="single" w:color="auto" w:sz="4" w:space="0"/>
            </w:tcBorders>
            <w:noWrap w:val="0"/>
            <w:vAlign w:val="top"/>
          </w:tcPr>
          <w:p w14:paraId="6C95770E">
            <w:pPr>
              <w:jc w:val="center"/>
              <w:rPr>
                <w:rFonts w:hint="eastAsia" w:ascii="仿宋_GB2312" w:hAnsi="仿宋_GB2312" w:eastAsia="仿宋_GB2312" w:cs="仿宋_GB2312"/>
                <w:szCs w:val="21"/>
              </w:rPr>
            </w:pPr>
          </w:p>
        </w:tc>
        <w:tc>
          <w:tcPr>
            <w:tcW w:w="750" w:type="dxa"/>
            <w:tcBorders>
              <w:bottom w:val="single" w:color="auto" w:sz="4" w:space="0"/>
            </w:tcBorders>
            <w:noWrap w:val="0"/>
            <w:vAlign w:val="top"/>
          </w:tcPr>
          <w:p w14:paraId="4C40184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&gt;40</w:t>
            </w:r>
          </w:p>
        </w:tc>
        <w:tc>
          <w:tcPr>
            <w:tcW w:w="491" w:type="dxa"/>
            <w:tcBorders>
              <w:bottom w:val="single" w:color="auto" w:sz="4" w:space="0"/>
            </w:tcBorders>
            <w:noWrap w:val="0"/>
            <w:vAlign w:val="top"/>
          </w:tcPr>
          <w:p w14:paraId="13E22AF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09" w:type="dxa"/>
            <w:tcBorders>
              <w:bottom w:val="single" w:color="auto" w:sz="4" w:space="0"/>
            </w:tcBorders>
            <w:noWrap w:val="0"/>
            <w:vAlign w:val="top"/>
          </w:tcPr>
          <w:p w14:paraId="40BBC91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559" w:type="dxa"/>
            <w:tcBorders>
              <w:bottom w:val="single" w:color="auto" w:sz="4" w:space="0"/>
            </w:tcBorders>
            <w:noWrap w:val="0"/>
            <w:vAlign w:val="top"/>
          </w:tcPr>
          <w:p w14:paraId="29D9665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20" w:type="dxa"/>
            <w:tcBorders>
              <w:bottom w:val="single" w:color="auto" w:sz="4" w:space="0"/>
            </w:tcBorders>
            <w:noWrap w:val="0"/>
            <w:vAlign w:val="top"/>
          </w:tcPr>
          <w:p w14:paraId="2C22762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460" w:type="dxa"/>
            <w:tcBorders>
              <w:bottom w:val="single" w:color="auto" w:sz="4" w:space="0"/>
            </w:tcBorders>
            <w:noWrap w:val="0"/>
            <w:vAlign w:val="top"/>
          </w:tcPr>
          <w:p w14:paraId="69DD568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49" w:type="dxa"/>
            <w:tcBorders>
              <w:bottom w:val="single" w:color="auto" w:sz="4" w:space="0"/>
            </w:tcBorders>
            <w:noWrap w:val="0"/>
            <w:vAlign w:val="top"/>
          </w:tcPr>
          <w:p w14:paraId="7E1B734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&gt;5</w:t>
            </w:r>
          </w:p>
        </w:tc>
        <w:tc>
          <w:tcPr>
            <w:tcW w:w="501" w:type="dxa"/>
            <w:tcBorders>
              <w:bottom w:val="single" w:color="auto" w:sz="4" w:space="0"/>
            </w:tcBorders>
            <w:noWrap w:val="0"/>
            <w:vAlign w:val="top"/>
          </w:tcPr>
          <w:p w14:paraId="6B92BDF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61" w:type="dxa"/>
            <w:tcBorders>
              <w:bottom w:val="single" w:color="auto" w:sz="4" w:space="0"/>
            </w:tcBorders>
            <w:noWrap w:val="0"/>
            <w:vAlign w:val="top"/>
          </w:tcPr>
          <w:p w14:paraId="1AE822A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&gt;30</w:t>
            </w:r>
          </w:p>
        </w:tc>
        <w:tc>
          <w:tcPr>
            <w:tcW w:w="480" w:type="dxa"/>
            <w:tcBorders>
              <w:bottom w:val="single" w:color="auto" w:sz="4" w:space="0"/>
            </w:tcBorders>
            <w:noWrap w:val="0"/>
            <w:vAlign w:val="top"/>
          </w:tcPr>
          <w:p w14:paraId="43771FA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r>
      <w:tr w14:paraId="5C099C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 w:hRule="atLeast"/>
          <w:jc w:val="center"/>
        </w:trPr>
        <w:tc>
          <w:tcPr>
            <w:tcW w:w="10429" w:type="dxa"/>
            <w:gridSpan w:val="18"/>
            <w:tcBorders>
              <w:top w:val="single" w:color="auto" w:sz="4" w:space="0"/>
              <w:left w:val="single" w:color="auto" w:sz="4" w:space="0"/>
              <w:bottom w:val="single" w:color="auto" w:sz="4" w:space="0"/>
              <w:right w:val="single" w:color="auto" w:sz="4" w:space="0"/>
            </w:tcBorders>
            <w:noWrap w:val="0"/>
            <w:vAlign w:val="center"/>
          </w:tcPr>
          <w:p w14:paraId="7A89B381">
            <w:pPr>
              <w:jc w:val="left"/>
              <w:rPr>
                <w:rFonts w:hint="eastAsia" w:ascii="仿宋_GB2312" w:hAnsi="仿宋_GB2312" w:eastAsia="仿宋_GB2312" w:cs="仿宋_GB2312"/>
                <w:szCs w:val="21"/>
              </w:rPr>
            </w:pPr>
            <w:r>
              <w:rPr>
                <w:rFonts w:hint="eastAsia" w:ascii="仿宋_GB2312" w:hAnsi="仿宋_GB2312" w:eastAsia="仿宋_GB2312" w:cs="仿宋_GB2312"/>
                <w:szCs w:val="21"/>
              </w:rPr>
              <w:t>说明：</w:t>
            </w:r>
          </w:p>
          <w:p w14:paraId="3A112A84">
            <w:pPr>
              <w:jc w:val="left"/>
              <w:rPr>
                <w:rFonts w:hint="eastAsia" w:ascii="仿宋_GB2312" w:hAnsi="仿宋_GB2312" w:eastAsia="仿宋_GB2312" w:cs="仿宋_GB2312"/>
                <w:szCs w:val="21"/>
              </w:rPr>
            </w:pPr>
            <w:r>
              <w:rPr>
                <w:rFonts w:hint="eastAsia" w:ascii="仿宋_GB2312" w:hAnsi="仿宋_GB2312" w:eastAsia="仿宋_GB2312" w:cs="仿宋_GB2312"/>
                <w:szCs w:val="21"/>
              </w:rPr>
              <w:t>1、成堆纸塑、果皮等垃圾应以小于等于 0.25m2 为 1“个”，大于 0.25m2 的按照倍数累进计数；</w:t>
            </w:r>
          </w:p>
          <w:p w14:paraId="57061929">
            <w:pPr>
              <w:jc w:val="left"/>
              <w:rPr>
                <w:rFonts w:hint="eastAsia" w:ascii="仿宋_GB2312" w:hAnsi="仿宋_GB2312" w:eastAsia="仿宋_GB2312" w:cs="仿宋_GB2312"/>
                <w:szCs w:val="21"/>
              </w:rPr>
            </w:pPr>
            <w:r>
              <w:rPr>
                <w:rFonts w:hint="eastAsia" w:ascii="仿宋_GB2312" w:hAnsi="仿宋_GB2312" w:eastAsia="仿宋_GB2312" w:cs="仿宋_GB2312"/>
                <w:szCs w:val="21"/>
              </w:rPr>
              <w:t>2、成片污渍应以小于等于 1m2 为 1“处”，大于 1m2 的按照倍数累进计数；</w:t>
            </w:r>
          </w:p>
          <w:p w14:paraId="154760B9">
            <w:pPr>
              <w:jc w:val="left"/>
              <w:rPr>
                <w:rFonts w:hint="eastAsia" w:ascii="仿宋_GB2312" w:hAnsi="仿宋_GB2312" w:eastAsia="仿宋_GB2312" w:cs="仿宋_GB2312"/>
                <w:szCs w:val="21"/>
              </w:rPr>
            </w:pPr>
            <w:r>
              <w:rPr>
                <w:rFonts w:hint="eastAsia" w:ascii="仿宋_GB2312" w:hAnsi="仿宋_GB2312" w:eastAsia="仿宋_GB2312" w:cs="仿宋_GB2312"/>
                <w:szCs w:val="21"/>
              </w:rPr>
              <w:t>4、植物落叶、落花、落果根据其性状可不计为可见垃圾，陈旧性污渍应不计为污渍，水渍应不计为污渍；</w:t>
            </w:r>
          </w:p>
          <w:p w14:paraId="6F151F3F">
            <w:pPr>
              <w:jc w:val="left"/>
              <w:rPr>
                <w:rFonts w:hint="eastAsia" w:ascii="仿宋_GB2312" w:hAnsi="仿宋_GB2312" w:eastAsia="仿宋_GB2312" w:cs="仿宋_GB2312"/>
                <w:szCs w:val="21"/>
              </w:rPr>
            </w:pPr>
            <w:r>
              <w:rPr>
                <w:rFonts w:hint="eastAsia" w:ascii="仿宋_GB2312" w:hAnsi="仿宋_GB2312" w:eastAsia="仿宋_GB2312" w:cs="仿宋_GB2312"/>
                <w:szCs w:val="21"/>
              </w:rPr>
              <w:t>5、道路等级中车行道、人行道满分各为 100 分，每级道路得分为车行道得分和人行道得分的平均值。</w:t>
            </w:r>
          </w:p>
        </w:tc>
      </w:tr>
    </w:tbl>
    <w:p w14:paraId="62D3D003">
      <w:pPr>
        <w:rPr>
          <w:rFonts w:hint="eastAsia"/>
          <w:lang w:val="zh-CN"/>
        </w:rPr>
        <w:sectPr>
          <w:pgSz w:w="11905" w:h="16838"/>
          <w:pgMar w:top="1440" w:right="1080" w:bottom="1440" w:left="1080" w:header="850" w:footer="975" w:gutter="0"/>
          <w:cols w:space="720" w:num="1"/>
          <w:docGrid w:linePitch="312" w:charSpace="0"/>
        </w:sectPr>
      </w:pPr>
    </w:p>
    <w:p w14:paraId="6468DE73">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3、西安高新区直管道路清扫保洁质量月度打分表（  月）</w:t>
      </w:r>
    </w:p>
    <w:tbl>
      <w:tblPr>
        <w:tblStyle w:val="10"/>
        <w:tblW w:w="10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092"/>
        <w:gridCol w:w="1156"/>
        <w:gridCol w:w="986"/>
        <w:gridCol w:w="1220"/>
        <w:gridCol w:w="1071"/>
        <w:gridCol w:w="1644"/>
        <w:gridCol w:w="1033"/>
        <w:gridCol w:w="1325"/>
      </w:tblGrid>
      <w:tr w14:paraId="34A8F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9" w:hRule="exact"/>
          <w:jc w:val="center"/>
        </w:trPr>
        <w:tc>
          <w:tcPr>
            <w:tcW w:w="860" w:type="dxa"/>
            <w:noWrap/>
            <w:vAlign w:val="center"/>
          </w:tcPr>
          <w:p w14:paraId="74CFFE57">
            <w:pPr>
              <w:jc w:val="center"/>
              <w:rPr>
                <w:rFonts w:hint="eastAsia" w:ascii="仿宋_GB2312" w:hAnsi="仿宋_GB2312" w:eastAsia="仿宋_GB2312" w:cs="仿宋_GB2312"/>
                <w:b/>
                <w:bCs/>
                <w:szCs w:val="21"/>
              </w:rPr>
            </w:pPr>
          </w:p>
          <w:p w14:paraId="6C6421FD">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考核</w:t>
            </w:r>
          </w:p>
          <w:p w14:paraId="169315C5">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项目</w:t>
            </w:r>
          </w:p>
          <w:p w14:paraId="3EFC6150">
            <w:pPr>
              <w:pStyle w:val="7"/>
              <w:rPr>
                <w:rFonts w:hint="eastAsia" w:ascii="仿宋_GB2312" w:hAnsi="仿宋_GB2312" w:eastAsia="仿宋_GB2312" w:cs="仿宋_GB2312"/>
                <w:sz w:val="21"/>
                <w:szCs w:val="21"/>
              </w:rPr>
            </w:pPr>
          </w:p>
        </w:tc>
        <w:tc>
          <w:tcPr>
            <w:tcW w:w="1093" w:type="dxa"/>
            <w:noWrap/>
            <w:vAlign w:val="center"/>
          </w:tcPr>
          <w:p w14:paraId="301E94CB">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果皮纸屑塑料袋烟头等垃圾</w:t>
            </w:r>
          </w:p>
        </w:tc>
        <w:tc>
          <w:tcPr>
            <w:tcW w:w="1157" w:type="dxa"/>
            <w:noWrap/>
            <w:vAlign w:val="center"/>
          </w:tcPr>
          <w:p w14:paraId="3261F0A1">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积泥</w:t>
            </w:r>
          </w:p>
          <w:p w14:paraId="5B192202">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污水</w:t>
            </w:r>
          </w:p>
        </w:tc>
        <w:tc>
          <w:tcPr>
            <w:tcW w:w="986" w:type="dxa"/>
            <w:noWrap/>
            <w:vAlign w:val="center"/>
          </w:tcPr>
          <w:p w14:paraId="3986F0FA">
            <w:pPr>
              <w:jc w:val="center"/>
              <w:rPr>
                <w:rFonts w:hint="eastAsia" w:ascii="仿宋_GB2312" w:hAnsi="仿宋_GB2312" w:eastAsia="仿宋_GB2312" w:cs="仿宋_GB2312"/>
                <w:b/>
                <w:bCs/>
                <w:szCs w:val="21"/>
              </w:rPr>
            </w:pPr>
          </w:p>
          <w:p w14:paraId="1521A8C9">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路面</w:t>
            </w:r>
          </w:p>
          <w:p w14:paraId="6373ECBB">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积尘</w:t>
            </w:r>
          </w:p>
          <w:p w14:paraId="5CD6074D">
            <w:pPr>
              <w:jc w:val="center"/>
              <w:rPr>
                <w:rFonts w:hint="eastAsia" w:ascii="仿宋_GB2312" w:hAnsi="仿宋_GB2312" w:eastAsia="仿宋_GB2312" w:cs="仿宋_GB2312"/>
                <w:b/>
                <w:bCs/>
                <w:szCs w:val="21"/>
              </w:rPr>
            </w:pPr>
          </w:p>
        </w:tc>
        <w:tc>
          <w:tcPr>
            <w:tcW w:w="1221" w:type="dxa"/>
            <w:noWrap/>
            <w:vAlign w:val="center"/>
          </w:tcPr>
          <w:p w14:paraId="2373F88D">
            <w:pPr>
              <w:jc w:val="center"/>
              <w:rPr>
                <w:rFonts w:hint="eastAsia" w:ascii="仿宋_GB2312" w:hAnsi="仿宋_GB2312" w:eastAsia="仿宋_GB2312" w:cs="仿宋_GB2312"/>
                <w:b/>
                <w:bCs/>
                <w:szCs w:val="21"/>
              </w:rPr>
            </w:pPr>
          </w:p>
          <w:p w14:paraId="5B2FD2ED">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痰迹</w:t>
            </w:r>
          </w:p>
          <w:p w14:paraId="5F1958C8">
            <w:pPr>
              <w:jc w:val="center"/>
              <w:rPr>
                <w:rFonts w:hint="eastAsia" w:ascii="仿宋_GB2312" w:hAnsi="仿宋_GB2312" w:eastAsia="仿宋_GB2312" w:cs="仿宋_GB2312"/>
                <w:b/>
                <w:bCs/>
                <w:szCs w:val="21"/>
              </w:rPr>
            </w:pPr>
          </w:p>
        </w:tc>
        <w:tc>
          <w:tcPr>
            <w:tcW w:w="1072" w:type="dxa"/>
            <w:noWrap/>
            <w:vAlign w:val="center"/>
          </w:tcPr>
          <w:p w14:paraId="619637C8">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小广告</w:t>
            </w:r>
          </w:p>
          <w:p w14:paraId="52D75ADB">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乱贴</w:t>
            </w:r>
          </w:p>
          <w:p w14:paraId="14C4B221">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乱画</w:t>
            </w:r>
          </w:p>
        </w:tc>
        <w:tc>
          <w:tcPr>
            <w:tcW w:w="1645" w:type="dxa"/>
            <w:noWrap/>
            <w:vAlign w:val="center"/>
          </w:tcPr>
          <w:p w14:paraId="2446C15B">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停留</w:t>
            </w:r>
          </w:p>
          <w:p w14:paraId="1A07CD27">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时间</w:t>
            </w:r>
          </w:p>
        </w:tc>
        <w:tc>
          <w:tcPr>
            <w:tcW w:w="1033" w:type="dxa"/>
            <w:noWrap/>
            <w:vAlign w:val="center"/>
          </w:tcPr>
          <w:p w14:paraId="26B88AE4">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果皮箱等环卫设施</w:t>
            </w:r>
          </w:p>
          <w:p w14:paraId="5D795F57">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管理</w:t>
            </w:r>
          </w:p>
        </w:tc>
        <w:tc>
          <w:tcPr>
            <w:tcW w:w="1326" w:type="dxa"/>
            <w:noWrap/>
            <w:vAlign w:val="center"/>
          </w:tcPr>
          <w:p w14:paraId="4A13A60A">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环卫工人</w:t>
            </w:r>
          </w:p>
          <w:p w14:paraId="2F8C929A">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管理</w:t>
            </w:r>
          </w:p>
        </w:tc>
      </w:tr>
      <w:tr w14:paraId="4CD9D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2" w:hRule="exact"/>
          <w:jc w:val="center"/>
        </w:trPr>
        <w:tc>
          <w:tcPr>
            <w:tcW w:w="860" w:type="dxa"/>
            <w:noWrap/>
            <w:vAlign w:val="center"/>
          </w:tcPr>
          <w:p w14:paraId="1AB55B7E">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评分</w:t>
            </w:r>
          </w:p>
          <w:p w14:paraId="6A218D91">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标准</w:t>
            </w:r>
          </w:p>
        </w:tc>
        <w:tc>
          <w:tcPr>
            <w:tcW w:w="1093" w:type="dxa"/>
            <w:noWrap/>
            <w:vAlign w:val="center"/>
          </w:tcPr>
          <w:p w14:paraId="42B5716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一级≤4</w:t>
            </w:r>
          </w:p>
          <w:p w14:paraId="079FBB2D">
            <w:pPr>
              <w:pStyle w:val="7"/>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二级≤8</w:t>
            </w:r>
          </w:p>
          <w:p w14:paraId="4054FDD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超出每处扣0.5分</w:t>
            </w:r>
          </w:p>
        </w:tc>
        <w:tc>
          <w:tcPr>
            <w:tcW w:w="1157" w:type="dxa"/>
            <w:noWrap/>
            <w:vAlign w:val="center"/>
          </w:tcPr>
          <w:p w14:paraId="10ACE7F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一级≤2</w:t>
            </w:r>
          </w:p>
          <w:p w14:paraId="7A1B9B3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二级≤4</w:t>
            </w:r>
          </w:p>
          <w:p w14:paraId="26BECE1B">
            <w:pPr>
              <w:pStyle w:val="7"/>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超出每处扣0.5分</w:t>
            </w:r>
          </w:p>
        </w:tc>
        <w:tc>
          <w:tcPr>
            <w:tcW w:w="986" w:type="dxa"/>
            <w:noWrap/>
            <w:vAlign w:val="center"/>
          </w:tcPr>
          <w:p w14:paraId="11A6014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严重-5</w:t>
            </w:r>
          </w:p>
          <w:p w14:paraId="2F5B619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轻微-2</w:t>
            </w:r>
          </w:p>
          <w:p w14:paraId="5A46FE6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合格不扣分</w:t>
            </w:r>
          </w:p>
        </w:tc>
        <w:tc>
          <w:tcPr>
            <w:tcW w:w="1221" w:type="dxa"/>
            <w:noWrap/>
            <w:vAlign w:val="center"/>
          </w:tcPr>
          <w:p w14:paraId="67D1067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一级≤3</w:t>
            </w:r>
          </w:p>
          <w:p w14:paraId="666FDFD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二级≤6</w:t>
            </w:r>
          </w:p>
          <w:p w14:paraId="3E173BF8">
            <w:pPr>
              <w:pStyle w:val="7"/>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超出每处扣0.5分</w:t>
            </w:r>
          </w:p>
        </w:tc>
        <w:tc>
          <w:tcPr>
            <w:tcW w:w="1072" w:type="dxa"/>
            <w:noWrap/>
            <w:vAlign w:val="center"/>
          </w:tcPr>
          <w:p w14:paraId="6DAB187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一级≤2</w:t>
            </w:r>
          </w:p>
          <w:p w14:paraId="04F13B6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二级≤4</w:t>
            </w:r>
          </w:p>
          <w:p w14:paraId="0598E8CA">
            <w:pPr>
              <w:pStyle w:val="7"/>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超出每处扣0.5分</w:t>
            </w:r>
          </w:p>
        </w:tc>
        <w:tc>
          <w:tcPr>
            <w:tcW w:w="1645" w:type="dxa"/>
            <w:noWrap/>
            <w:vAlign w:val="center"/>
          </w:tcPr>
          <w:p w14:paraId="2B568303">
            <w:pPr>
              <w:jc w:val="left"/>
              <w:rPr>
                <w:rFonts w:hint="eastAsia" w:ascii="仿宋_GB2312" w:hAnsi="仿宋_GB2312" w:eastAsia="仿宋_GB2312" w:cs="仿宋_GB2312"/>
                <w:szCs w:val="21"/>
              </w:rPr>
            </w:pPr>
            <w:r>
              <w:rPr>
                <w:rFonts w:hint="eastAsia" w:ascii="仿宋_GB2312" w:hAnsi="仿宋_GB2312" w:eastAsia="仿宋_GB2312" w:cs="仿宋_GB2312"/>
                <w:szCs w:val="21"/>
              </w:rPr>
              <w:t>一级≤10分钟</w:t>
            </w:r>
          </w:p>
          <w:p w14:paraId="31B8BA58">
            <w:pPr>
              <w:jc w:val="left"/>
              <w:rPr>
                <w:rFonts w:hint="eastAsia" w:ascii="仿宋_GB2312" w:hAnsi="仿宋_GB2312" w:eastAsia="仿宋_GB2312" w:cs="仿宋_GB2312"/>
                <w:szCs w:val="21"/>
              </w:rPr>
            </w:pPr>
            <w:r>
              <w:rPr>
                <w:rFonts w:hint="eastAsia" w:ascii="仿宋_GB2312" w:hAnsi="仿宋_GB2312" w:eastAsia="仿宋_GB2312" w:cs="仿宋_GB2312"/>
                <w:szCs w:val="21"/>
              </w:rPr>
              <w:t>二级≤20分钟</w:t>
            </w:r>
          </w:p>
          <w:p w14:paraId="288D6C8E">
            <w:pPr>
              <w:pStyle w:val="7"/>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超时扣0.5分</w:t>
            </w:r>
          </w:p>
        </w:tc>
        <w:tc>
          <w:tcPr>
            <w:tcW w:w="1033" w:type="dxa"/>
            <w:noWrap/>
            <w:vAlign w:val="center"/>
          </w:tcPr>
          <w:p w14:paraId="1D402567">
            <w:pPr>
              <w:jc w:val="left"/>
              <w:rPr>
                <w:rFonts w:hint="eastAsia" w:ascii="仿宋_GB2312" w:hAnsi="仿宋_GB2312" w:eastAsia="仿宋_GB2312" w:cs="仿宋_GB2312"/>
                <w:szCs w:val="21"/>
              </w:rPr>
            </w:pPr>
            <w:r>
              <w:rPr>
                <w:rFonts w:hint="eastAsia" w:ascii="仿宋_GB2312" w:hAnsi="仿宋_GB2312" w:eastAsia="仿宋_GB2312" w:cs="仿宋_GB2312"/>
                <w:szCs w:val="21"/>
              </w:rPr>
              <w:t>未擦洗-2分；</w:t>
            </w:r>
          </w:p>
          <w:p w14:paraId="6DF8E91E">
            <w:pPr>
              <w:jc w:val="left"/>
              <w:rPr>
                <w:rFonts w:hint="eastAsia" w:ascii="仿宋_GB2312" w:hAnsi="仿宋_GB2312" w:eastAsia="仿宋_GB2312" w:cs="仿宋_GB2312"/>
                <w:szCs w:val="21"/>
              </w:rPr>
            </w:pPr>
            <w:r>
              <w:rPr>
                <w:rFonts w:hint="eastAsia" w:ascii="仿宋_GB2312" w:hAnsi="仿宋_GB2312" w:eastAsia="仿宋_GB2312" w:cs="仿宋_GB2312"/>
                <w:szCs w:val="21"/>
              </w:rPr>
              <w:t>清理不及时-3分；满溢-5分</w:t>
            </w:r>
          </w:p>
        </w:tc>
        <w:tc>
          <w:tcPr>
            <w:tcW w:w="1326" w:type="dxa"/>
            <w:noWrap/>
            <w:vAlign w:val="center"/>
          </w:tcPr>
          <w:p w14:paraId="799F4B78">
            <w:pPr>
              <w:jc w:val="left"/>
              <w:rPr>
                <w:rFonts w:hint="eastAsia" w:ascii="仿宋_GB2312" w:hAnsi="仿宋_GB2312" w:eastAsia="仿宋_GB2312" w:cs="仿宋_GB2312"/>
                <w:szCs w:val="21"/>
              </w:rPr>
            </w:pPr>
            <w:r>
              <w:rPr>
                <w:rFonts w:hint="eastAsia" w:ascii="仿宋_GB2312" w:hAnsi="仿宋_GB2312" w:eastAsia="仿宋_GB2312" w:cs="仿宋_GB2312"/>
                <w:szCs w:val="21"/>
              </w:rPr>
              <w:t>着装不规范-3分</w:t>
            </w:r>
          </w:p>
          <w:p w14:paraId="3F16EFF8">
            <w:pPr>
              <w:pStyle w:val="7"/>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工作状态差-5分</w:t>
            </w:r>
          </w:p>
          <w:p w14:paraId="7760FFB8">
            <w:pPr>
              <w:jc w:val="left"/>
              <w:rPr>
                <w:rFonts w:hint="eastAsia" w:ascii="仿宋_GB2312" w:hAnsi="仿宋_GB2312" w:eastAsia="仿宋_GB2312" w:cs="仿宋_GB2312"/>
                <w:szCs w:val="21"/>
              </w:rPr>
            </w:pPr>
            <w:r>
              <w:rPr>
                <w:rFonts w:hint="eastAsia" w:ascii="仿宋_GB2312" w:hAnsi="仿宋_GB2312" w:eastAsia="仿宋_GB2312" w:cs="仿宋_GB2312"/>
                <w:szCs w:val="21"/>
              </w:rPr>
              <w:t>违反安全规范-10分</w:t>
            </w:r>
          </w:p>
        </w:tc>
      </w:tr>
      <w:tr w14:paraId="096AA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exact"/>
          <w:jc w:val="center"/>
        </w:trPr>
        <w:tc>
          <w:tcPr>
            <w:tcW w:w="860" w:type="dxa"/>
            <w:noWrap/>
            <w:vAlign w:val="center"/>
          </w:tcPr>
          <w:p w14:paraId="7FF267EB">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检查</w:t>
            </w:r>
          </w:p>
          <w:p w14:paraId="28165731">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结果</w:t>
            </w:r>
          </w:p>
        </w:tc>
        <w:tc>
          <w:tcPr>
            <w:tcW w:w="1093" w:type="dxa"/>
            <w:noWrap/>
            <w:vAlign w:val="center"/>
          </w:tcPr>
          <w:p w14:paraId="20FB85ED">
            <w:pPr>
              <w:jc w:val="center"/>
              <w:rPr>
                <w:rFonts w:hint="eastAsia" w:ascii="仿宋_GB2312" w:hAnsi="仿宋_GB2312" w:eastAsia="仿宋_GB2312" w:cs="仿宋_GB2312"/>
                <w:szCs w:val="21"/>
              </w:rPr>
            </w:pPr>
          </w:p>
        </w:tc>
        <w:tc>
          <w:tcPr>
            <w:tcW w:w="1157" w:type="dxa"/>
            <w:noWrap/>
            <w:vAlign w:val="center"/>
          </w:tcPr>
          <w:p w14:paraId="5538B8E2">
            <w:pPr>
              <w:jc w:val="center"/>
              <w:rPr>
                <w:rFonts w:hint="eastAsia" w:ascii="仿宋_GB2312" w:hAnsi="仿宋_GB2312" w:eastAsia="仿宋_GB2312" w:cs="仿宋_GB2312"/>
                <w:szCs w:val="21"/>
              </w:rPr>
            </w:pPr>
          </w:p>
        </w:tc>
        <w:tc>
          <w:tcPr>
            <w:tcW w:w="986" w:type="dxa"/>
            <w:noWrap/>
            <w:vAlign w:val="center"/>
          </w:tcPr>
          <w:p w14:paraId="4C906FE9">
            <w:pPr>
              <w:jc w:val="center"/>
              <w:rPr>
                <w:rFonts w:hint="eastAsia" w:ascii="仿宋_GB2312" w:hAnsi="仿宋_GB2312" w:eastAsia="仿宋_GB2312" w:cs="仿宋_GB2312"/>
                <w:szCs w:val="21"/>
              </w:rPr>
            </w:pPr>
          </w:p>
        </w:tc>
        <w:tc>
          <w:tcPr>
            <w:tcW w:w="1221" w:type="dxa"/>
            <w:noWrap/>
            <w:vAlign w:val="center"/>
          </w:tcPr>
          <w:p w14:paraId="401F15EB">
            <w:pPr>
              <w:jc w:val="center"/>
              <w:rPr>
                <w:rFonts w:hint="eastAsia" w:ascii="仿宋_GB2312" w:hAnsi="仿宋_GB2312" w:eastAsia="仿宋_GB2312" w:cs="仿宋_GB2312"/>
                <w:szCs w:val="21"/>
              </w:rPr>
            </w:pPr>
          </w:p>
        </w:tc>
        <w:tc>
          <w:tcPr>
            <w:tcW w:w="1072" w:type="dxa"/>
            <w:noWrap/>
            <w:vAlign w:val="center"/>
          </w:tcPr>
          <w:p w14:paraId="44B05DAC">
            <w:pPr>
              <w:jc w:val="center"/>
              <w:rPr>
                <w:rFonts w:hint="eastAsia" w:ascii="仿宋_GB2312" w:hAnsi="仿宋_GB2312" w:eastAsia="仿宋_GB2312" w:cs="仿宋_GB2312"/>
                <w:szCs w:val="21"/>
              </w:rPr>
            </w:pPr>
          </w:p>
        </w:tc>
        <w:tc>
          <w:tcPr>
            <w:tcW w:w="1645" w:type="dxa"/>
            <w:noWrap/>
            <w:vAlign w:val="center"/>
          </w:tcPr>
          <w:p w14:paraId="1E0B6BD9">
            <w:pPr>
              <w:jc w:val="center"/>
              <w:rPr>
                <w:rFonts w:hint="eastAsia" w:ascii="仿宋_GB2312" w:hAnsi="仿宋_GB2312" w:eastAsia="仿宋_GB2312" w:cs="仿宋_GB2312"/>
                <w:szCs w:val="21"/>
              </w:rPr>
            </w:pPr>
          </w:p>
        </w:tc>
        <w:tc>
          <w:tcPr>
            <w:tcW w:w="1033" w:type="dxa"/>
            <w:noWrap/>
            <w:vAlign w:val="center"/>
          </w:tcPr>
          <w:p w14:paraId="0E7CC281">
            <w:pPr>
              <w:jc w:val="center"/>
              <w:rPr>
                <w:rFonts w:hint="eastAsia" w:ascii="仿宋_GB2312" w:hAnsi="仿宋_GB2312" w:eastAsia="仿宋_GB2312" w:cs="仿宋_GB2312"/>
                <w:szCs w:val="21"/>
              </w:rPr>
            </w:pPr>
          </w:p>
        </w:tc>
        <w:tc>
          <w:tcPr>
            <w:tcW w:w="1326" w:type="dxa"/>
            <w:noWrap/>
            <w:vAlign w:val="center"/>
          </w:tcPr>
          <w:p w14:paraId="1FFBBC95">
            <w:pPr>
              <w:jc w:val="center"/>
              <w:rPr>
                <w:rFonts w:hint="eastAsia" w:ascii="仿宋_GB2312" w:hAnsi="仿宋_GB2312" w:eastAsia="仿宋_GB2312" w:cs="仿宋_GB2312"/>
                <w:szCs w:val="21"/>
              </w:rPr>
            </w:pPr>
          </w:p>
        </w:tc>
      </w:tr>
      <w:tr w14:paraId="7041F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exact"/>
          <w:jc w:val="center"/>
        </w:trPr>
        <w:tc>
          <w:tcPr>
            <w:tcW w:w="860" w:type="dxa"/>
            <w:noWrap/>
            <w:vAlign w:val="center"/>
          </w:tcPr>
          <w:p w14:paraId="79A6A177">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扣分</w:t>
            </w:r>
          </w:p>
          <w:p w14:paraId="0689FC6C">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分值</w:t>
            </w:r>
          </w:p>
        </w:tc>
        <w:tc>
          <w:tcPr>
            <w:tcW w:w="1093" w:type="dxa"/>
            <w:noWrap/>
            <w:vAlign w:val="center"/>
          </w:tcPr>
          <w:p w14:paraId="0B5F99D1">
            <w:pPr>
              <w:jc w:val="center"/>
              <w:rPr>
                <w:rFonts w:hint="eastAsia" w:ascii="仿宋_GB2312" w:hAnsi="仿宋_GB2312" w:eastAsia="仿宋_GB2312" w:cs="仿宋_GB2312"/>
                <w:szCs w:val="21"/>
              </w:rPr>
            </w:pPr>
          </w:p>
        </w:tc>
        <w:tc>
          <w:tcPr>
            <w:tcW w:w="1157" w:type="dxa"/>
            <w:noWrap/>
            <w:vAlign w:val="center"/>
          </w:tcPr>
          <w:p w14:paraId="78B8411A">
            <w:pPr>
              <w:jc w:val="center"/>
              <w:rPr>
                <w:rFonts w:hint="eastAsia" w:ascii="仿宋_GB2312" w:hAnsi="仿宋_GB2312" w:eastAsia="仿宋_GB2312" w:cs="仿宋_GB2312"/>
                <w:szCs w:val="21"/>
              </w:rPr>
            </w:pPr>
          </w:p>
        </w:tc>
        <w:tc>
          <w:tcPr>
            <w:tcW w:w="986" w:type="dxa"/>
            <w:noWrap/>
            <w:vAlign w:val="center"/>
          </w:tcPr>
          <w:p w14:paraId="3632408A">
            <w:pPr>
              <w:jc w:val="center"/>
              <w:rPr>
                <w:rFonts w:hint="eastAsia" w:ascii="仿宋_GB2312" w:hAnsi="仿宋_GB2312" w:eastAsia="仿宋_GB2312" w:cs="仿宋_GB2312"/>
                <w:szCs w:val="21"/>
              </w:rPr>
            </w:pPr>
          </w:p>
        </w:tc>
        <w:tc>
          <w:tcPr>
            <w:tcW w:w="1221" w:type="dxa"/>
            <w:noWrap/>
            <w:vAlign w:val="center"/>
          </w:tcPr>
          <w:p w14:paraId="7F75E191">
            <w:pPr>
              <w:jc w:val="center"/>
              <w:rPr>
                <w:rFonts w:hint="eastAsia" w:ascii="仿宋_GB2312" w:hAnsi="仿宋_GB2312" w:eastAsia="仿宋_GB2312" w:cs="仿宋_GB2312"/>
                <w:szCs w:val="21"/>
              </w:rPr>
            </w:pPr>
          </w:p>
        </w:tc>
        <w:tc>
          <w:tcPr>
            <w:tcW w:w="1072" w:type="dxa"/>
            <w:noWrap/>
            <w:vAlign w:val="center"/>
          </w:tcPr>
          <w:p w14:paraId="7F6CD543">
            <w:pPr>
              <w:jc w:val="center"/>
              <w:rPr>
                <w:rFonts w:hint="eastAsia" w:ascii="仿宋_GB2312" w:hAnsi="仿宋_GB2312" w:eastAsia="仿宋_GB2312" w:cs="仿宋_GB2312"/>
                <w:szCs w:val="21"/>
              </w:rPr>
            </w:pPr>
          </w:p>
        </w:tc>
        <w:tc>
          <w:tcPr>
            <w:tcW w:w="1645" w:type="dxa"/>
            <w:noWrap/>
            <w:vAlign w:val="center"/>
          </w:tcPr>
          <w:p w14:paraId="4689695B">
            <w:pPr>
              <w:jc w:val="center"/>
              <w:rPr>
                <w:rFonts w:hint="eastAsia" w:ascii="仿宋_GB2312" w:hAnsi="仿宋_GB2312" w:eastAsia="仿宋_GB2312" w:cs="仿宋_GB2312"/>
                <w:szCs w:val="21"/>
              </w:rPr>
            </w:pPr>
          </w:p>
        </w:tc>
        <w:tc>
          <w:tcPr>
            <w:tcW w:w="1033" w:type="dxa"/>
            <w:noWrap/>
            <w:vAlign w:val="center"/>
          </w:tcPr>
          <w:p w14:paraId="51A77DB3">
            <w:pPr>
              <w:jc w:val="center"/>
              <w:rPr>
                <w:rFonts w:hint="eastAsia" w:ascii="仿宋_GB2312" w:hAnsi="仿宋_GB2312" w:eastAsia="仿宋_GB2312" w:cs="仿宋_GB2312"/>
                <w:szCs w:val="21"/>
              </w:rPr>
            </w:pPr>
          </w:p>
        </w:tc>
        <w:tc>
          <w:tcPr>
            <w:tcW w:w="1326" w:type="dxa"/>
            <w:noWrap/>
            <w:vAlign w:val="center"/>
          </w:tcPr>
          <w:p w14:paraId="2B5F738E">
            <w:pPr>
              <w:jc w:val="center"/>
              <w:rPr>
                <w:rFonts w:hint="eastAsia" w:ascii="仿宋_GB2312" w:hAnsi="仿宋_GB2312" w:eastAsia="仿宋_GB2312" w:cs="仿宋_GB2312"/>
                <w:szCs w:val="21"/>
              </w:rPr>
            </w:pPr>
          </w:p>
        </w:tc>
      </w:tr>
      <w:tr w14:paraId="17822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exact"/>
          <w:jc w:val="center"/>
        </w:trPr>
        <w:tc>
          <w:tcPr>
            <w:tcW w:w="865" w:type="dxa"/>
            <w:noWrap/>
            <w:vAlign w:val="center"/>
          </w:tcPr>
          <w:p w14:paraId="68CA2D07">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备注</w:t>
            </w:r>
          </w:p>
        </w:tc>
        <w:tc>
          <w:tcPr>
            <w:tcW w:w="9528" w:type="dxa"/>
            <w:gridSpan w:val="8"/>
            <w:noWrap/>
            <w:vAlign w:val="center"/>
          </w:tcPr>
          <w:p w14:paraId="0A534A4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抽取100米道路，对人行道、绿化带、车行道进行统一检测，相关标准参照《西安市城市道路清扫保洁技术规范》中的城市道路清扫保洁质量标准</w:t>
            </w:r>
          </w:p>
        </w:tc>
      </w:tr>
    </w:tbl>
    <w:p w14:paraId="232AC875">
      <w:pPr>
        <w:spacing w:line="440" w:lineRule="exact"/>
        <w:ind w:right="120"/>
        <w:jc w:val="left"/>
        <w:rPr>
          <w:rFonts w:hint="eastAsia" w:ascii="仿宋_GB2312" w:hAnsi="仿宋_GB2312" w:eastAsia="仿宋_GB2312" w:cs="仿宋_GB2312"/>
          <w:szCs w:val="21"/>
        </w:rPr>
      </w:pPr>
      <w:r>
        <w:rPr>
          <w:rFonts w:hint="eastAsia" w:ascii="仿宋_GB2312" w:hAnsi="仿宋_GB2312" w:eastAsia="仿宋_GB2312" w:cs="仿宋_GB2312"/>
          <w:szCs w:val="21"/>
        </w:rPr>
        <w:t xml:space="preserve">道路名称：                                道路级别：                              </w:t>
      </w:r>
    </w:p>
    <w:p w14:paraId="372B59B5">
      <w:pPr>
        <w:spacing w:line="440" w:lineRule="exact"/>
        <w:ind w:right="120"/>
        <w:jc w:val="left"/>
        <w:rPr>
          <w:rFonts w:hint="eastAsia" w:ascii="仿宋_GB2312" w:hAnsi="仿宋_GB2312" w:eastAsia="仿宋_GB2312" w:cs="仿宋_GB2312"/>
          <w:szCs w:val="21"/>
        </w:rPr>
      </w:pPr>
      <w:r>
        <w:rPr>
          <w:rFonts w:hint="eastAsia" w:ascii="仿宋_GB2312" w:hAnsi="仿宋_GB2312" w:eastAsia="仿宋_GB2312" w:cs="仿宋_GB2312"/>
          <w:szCs w:val="21"/>
        </w:rPr>
        <w:t>检查时间：                                综合得分：</w:t>
      </w:r>
    </w:p>
    <w:p w14:paraId="5D38C6DC">
      <w:pPr>
        <w:spacing w:line="440" w:lineRule="exact"/>
        <w:ind w:right="120"/>
        <w:rPr>
          <w:rFonts w:hint="eastAsia" w:ascii="仿宋_GB2312" w:hAnsi="仿宋_GB2312" w:eastAsia="仿宋_GB2312" w:cs="仿宋_GB2312"/>
          <w:szCs w:val="21"/>
        </w:rPr>
      </w:pPr>
      <w:r>
        <w:rPr>
          <w:rFonts w:hint="eastAsia" w:ascii="仿宋_GB2312" w:hAnsi="仿宋_GB2312" w:eastAsia="仿宋_GB2312" w:cs="仿宋_GB2312"/>
          <w:szCs w:val="21"/>
        </w:rPr>
        <w:t xml:space="preserve">受检单位：  </w:t>
      </w:r>
    </w:p>
    <w:p w14:paraId="7A476BAA">
      <w:pPr>
        <w:spacing w:line="440" w:lineRule="exact"/>
        <w:ind w:right="120"/>
        <w:rPr>
          <w:rFonts w:hint="eastAsia" w:ascii="仿宋_GB2312" w:hAnsi="仿宋_GB2312" w:eastAsia="仿宋_GB2312" w:cs="仿宋_GB2312"/>
          <w:szCs w:val="21"/>
        </w:rPr>
      </w:pPr>
      <w:r>
        <w:rPr>
          <w:rFonts w:hint="eastAsia" w:ascii="仿宋_GB2312" w:hAnsi="仿宋_GB2312" w:eastAsia="仿宋_GB2312" w:cs="仿宋_GB2312"/>
          <w:szCs w:val="21"/>
        </w:rPr>
        <w:t xml:space="preserve">                                                                                       </w:t>
      </w:r>
    </w:p>
    <w:p w14:paraId="72C2C0EA">
      <w:pPr>
        <w:spacing w:line="440" w:lineRule="exact"/>
        <w:ind w:right="120"/>
        <w:rPr>
          <w:rFonts w:hint="eastAsia" w:ascii="仿宋_GB2312" w:hAnsi="仿宋_GB2312" w:eastAsia="仿宋_GB2312" w:cs="仿宋_GB2312"/>
          <w:szCs w:val="21"/>
        </w:rPr>
        <w:sectPr>
          <w:pgSz w:w="11906" w:h="16838"/>
          <w:pgMar w:top="1440" w:right="1080" w:bottom="1440" w:left="1080" w:header="851" w:footer="992" w:gutter="0"/>
          <w:cols w:space="720" w:num="1"/>
          <w:docGrid w:type="lines" w:linePitch="326" w:charSpace="0"/>
        </w:sectPr>
      </w:pPr>
      <w:r>
        <w:rPr>
          <w:rFonts w:hint="eastAsia" w:ascii="仿宋_GB2312" w:hAnsi="仿宋_GB2312" w:eastAsia="仿宋_GB2312" w:cs="仿宋_GB2312"/>
          <w:szCs w:val="21"/>
        </w:rPr>
        <w:t>负责人签字:</w:t>
      </w:r>
    </w:p>
    <w:p w14:paraId="0235190F">
      <w:pPr>
        <w:adjustRightInd w:val="0"/>
        <w:snapToGrid w:val="0"/>
        <w:spacing w:line="360" w:lineRule="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附件2：</w:t>
      </w:r>
    </w:p>
    <w:p w14:paraId="29EB238B">
      <w:pPr>
        <w:adjustRightInd w:val="0"/>
        <w:snapToGrid w:val="0"/>
        <w:spacing w:line="36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b/>
          <w:bCs/>
          <w:sz w:val="28"/>
          <w:szCs w:val="28"/>
        </w:rPr>
        <w:t>西安高新区其他垃圾转运站运营监督管理及考核办法</w:t>
      </w:r>
    </w:p>
    <w:p w14:paraId="48795338">
      <w:pPr>
        <w:adjustRightInd w:val="0"/>
        <w:snapToGrid w:val="0"/>
        <w:spacing w:line="36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第一章  总则</w:t>
      </w:r>
    </w:p>
    <w:p w14:paraId="141AAE01">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条为规范其他垃圾转运站运营，促进其安全、环保和稳定运行，有效保护生态环境，保障公众利益，根据《中华人民共和国固体废物污染环境防治法》、《城市生活垃圾管理办法》和《西安市生活垃圾分类管理条例》等相关法律、法规、规章和标准，制定本办法。</w:t>
      </w:r>
    </w:p>
    <w:p w14:paraId="0958DA4E">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第二条本办法适用于高新区内其他垃圾转运站运营监管。</w:t>
      </w:r>
    </w:p>
    <w:p w14:paraId="08DACBDA">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第三条高新区城市管理和综合执法局（以下简称监管主体）负责辖区内其他垃圾转运站运营监督管理工作，并对其他垃圾转运站运营工作进行考核评价。</w:t>
      </w:r>
    </w:p>
    <w:p w14:paraId="325A4BD8">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四条其他垃圾转运站运营单位(以下简称运营单位)应取得生活垃圾处理经营许可，做好运营管理、安全生产、环境保护工作，接受并积极配合高新区城市管理和综合执法局的监督检查，提供监管所需的资料、数据、视频及其他必要的条件。</w:t>
      </w:r>
    </w:p>
    <w:p w14:paraId="33304243">
      <w:pPr>
        <w:adjustRightInd w:val="0"/>
        <w:snapToGrid w:val="0"/>
        <w:spacing w:line="36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第二章  运营管理</w:t>
      </w:r>
    </w:p>
    <w:p w14:paraId="5D6B23E4">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第五条运营单位应采用符合国家有关城市生活垃圾处理技术标准的技术、设备和材料，严格执行有关法律法规、国家或行业标准，不得擅自改变处理工艺流程。</w:t>
      </w:r>
    </w:p>
    <w:p w14:paraId="493EAF41">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第六条运营单位因营运需要，需对外委托运营相关业务时，须向监管主体进行报备。运营方不得向不具备相关资质的单位委托承包相关业务。</w:t>
      </w:r>
    </w:p>
    <w:p w14:paraId="22322554">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第七条其他垃圾转运站设施需要关停的，运营单位应书面上报监管主体，经监管主体核准后，运营单位方可关停，并应做好后续协调、维护等工作。</w:t>
      </w:r>
    </w:p>
    <w:p w14:paraId="001DF369">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第八条运营单位应做好其他垃圾转运站的日常管理工作：</w:t>
      </w:r>
    </w:p>
    <w:p w14:paraId="5A8570CA">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（一）建立完善的生产运行、环境保护、安全与应急等规章制度并组织落实；</w:t>
      </w:r>
    </w:p>
    <w:p w14:paraId="2B32F7F5">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（二）建立统计制度，上报统计资料应及时、完整、准确、一致；</w:t>
      </w:r>
    </w:p>
    <w:p w14:paraId="2479907E">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（三）设施设备应及时维护，做好厂(场)区绿化美化、环卫保洁，确保厂(场)区干净整洁卫生；</w:t>
      </w:r>
    </w:p>
    <w:p w14:paraId="1258E5D4">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第九条运营单位应做好污染物排放管理工作：</w:t>
      </w:r>
    </w:p>
    <w:p w14:paraId="506B72EF">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（一）依照标准规范和工艺设计要求做好其他垃圾的处理工作，确保污染物排放符合国家和本市有关标准；</w:t>
      </w:r>
    </w:p>
    <w:p w14:paraId="3C4C40E3">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（二）按规定配备污染物治理设施，并确保其正常运行；</w:t>
      </w:r>
    </w:p>
    <w:p w14:paraId="5C4AA598">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（三）采取必要措施控制生活垃圾处理设施周边的异味，防止恶臭物质的扩散。</w:t>
      </w:r>
    </w:p>
    <w:p w14:paraId="73709ED4">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第十条运营单位应做好环境监测工作：</w:t>
      </w:r>
    </w:p>
    <w:p w14:paraId="685189BC">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（一）按照国家相关标准、规范及环境影响评价报告书的要求制定环境监测计划并组织实施，建立监测台账；</w:t>
      </w:r>
    </w:p>
    <w:p w14:paraId="3E7EB375">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（二）配备专人负责环境监测工作，自行或委托第三方监测机构定期监测常规污染物排放情况，监测结果及时上报监管主体。</w:t>
      </w:r>
    </w:p>
    <w:p w14:paraId="735CC154">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第十一条运营单位应认真落实生产经营安全生产主体责任：</w:t>
      </w:r>
    </w:p>
    <w:p w14:paraId="2926238F">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（一）运营单位的安全生产责任制应当明确主要负责人、其他负责人、各职能部门负责人、车间和班组负责人、其他从业人员等全体人员的安全生产责任范围和考核标准等内容；</w:t>
      </w:r>
    </w:p>
    <w:p w14:paraId="479819AF">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运营单位的主要负责人应当组织制定下列安全生产规章制度：安全生产教育和培训制度；安全生产检查制度；生产安全事故隐患排查和治理制度；具有较大危险因素的生产经营场所、设备和设施的安全管理制度；安全生产资金投入或者安全生产费用提取、使用和管理制度；危险作业管理制度；特种作业人员管理制度；劳动防护用品配备和使用制度；安全生产奖励和惩罚制度；生产安全事故报告和调查处理制度；</w:t>
      </w:r>
    </w:p>
    <w:p w14:paraId="65DA776E">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应当依照法律、法规、规章和国家标准、行业标准，结合工艺流程、技术设备特点以及原辅料危险性等情况，制定安全操作规程；安全操作规程应当覆盖本单位生产经营活动的全过程，应当明确安全操作要求、作业环境要求、作业防护要求、禁止事项、紧急情况现场处置措施等内容；</w:t>
      </w:r>
    </w:p>
    <w:p w14:paraId="1A66EFCB">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（四）应当保证具备安全生产条件所必需的资金投入，安排用于配备劳动防护用品、进行安全生产教育和培训的经费；</w:t>
      </w:r>
    </w:p>
    <w:p w14:paraId="08E9F3BB">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（五）落实病媒生物预防控制措施，做好相关预防控制工作。</w:t>
      </w:r>
    </w:p>
    <w:p w14:paraId="377A5818">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第十二条运营单位应做好其他垃圾转运站应急管理工作：</w:t>
      </w:r>
    </w:p>
    <w:p w14:paraId="70CBC747">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（一）明确应急管理岗位职责和工作要求；</w:t>
      </w:r>
    </w:p>
    <w:p w14:paraId="4BD00D2F">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（二）制定事故灾害、公共突发性事件和临时生活垃圾处理等突发事件应急预案，建立应急抢险队伍人员装备物资台账，健全安全应急物资储备保障制度；</w:t>
      </w:r>
    </w:p>
    <w:p w14:paraId="10B14E0B">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（三）加强应急知识宣传普及工作，定期开展应急预案演练；</w:t>
      </w:r>
    </w:p>
    <w:p w14:paraId="644B90AC">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（四）遇突发事件时，立即启动相关应急预案，按照有关突发事件和重大事件上报程序及时上报，同时做好先期处理和公共关系应对等。</w:t>
      </w:r>
    </w:p>
    <w:p w14:paraId="65BDE250">
      <w:pPr>
        <w:adjustRightInd w:val="0"/>
        <w:snapToGrid w:val="0"/>
        <w:spacing w:line="36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第三章  监督管理</w:t>
      </w:r>
    </w:p>
    <w:p w14:paraId="1BED03A6">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第十三条高新区城市管理和综合执法局对其他垃圾转运站处理设施工艺运行、环境保护、安全生产等方面工作开展情况进行监管：</w:t>
      </w:r>
    </w:p>
    <w:p w14:paraId="4135FCD9">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（一）工艺运行，监管其他垃圾转运站是否按照有关技术规定进行生活垃圾处理，如称重计量系统配置及使用规范、按工艺要求运行、设备及构筑物维护到位等；</w:t>
      </w:r>
    </w:p>
    <w:p w14:paraId="6B39BAED">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（二）环境保护，检查其他垃圾转运站运行过程中环保措施实施、环境监测结果达标、节能减排制度建立和措施实施及厂内环境卫生达标等情况；环境监测主要针对废水、废气、废渣及噪声；</w:t>
      </w:r>
    </w:p>
    <w:p w14:paraId="46BF49B3">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（三）安全生产，检查其他垃圾转运站运行过程中对不安全因素的预防与处理情况，如安全生产规章制度健全、安全生产教育培训到位、现场安全管理规范、应急管理与演练等。</w:t>
      </w:r>
    </w:p>
    <w:p w14:paraId="703F2844">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第十四条其他垃圾转运站监管采取日常检查、专项抽查、联合检查和驻场监督等方式进行：</w:t>
      </w:r>
    </w:p>
    <w:p w14:paraId="71B8E78B">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（一）根据高新区相关规定对其他垃圾转运站开展日常检查，并对其他垃圾转运站进行环境监测；</w:t>
      </w:r>
    </w:p>
    <w:p w14:paraId="230E14EE">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（二）针对重点问题，开展不定期的专项抽查；</w:t>
      </w:r>
    </w:p>
    <w:p w14:paraId="5155E3EA">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（三）针对其他垃圾转运站重点处理设施，由监管主体会同生态环境、应急等部门开展联合检查；</w:t>
      </w:r>
    </w:p>
    <w:p w14:paraId="00E81C69">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（四）针对特殊情况，可委托第三方专业机构对其他垃圾转运站运营状况进行协助监督。</w:t>
      </w:r>
    </w:p>
    <w:p w14:paraId="4F86CF4D">
      <w:pPr>
        <w:adjustRightInd w:val="0"/>
        <w:snapToGrid w:val="0"/>
        <w:spacing w:line="36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第四章  考核评价</w:t>
      </w:r>
    </w:p>
    <w:p w14:paraId="6BBBBD5E">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第十五条高新区城市管理和综合执法局对其他垃圾转运站实施检查考核，并将考核结果作为对其他垃圾转运站核算资金拨付的重要依据。</w:t>
      </w:r>
    </w:p>
    <w:p w14:paraId="35C104E6">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第十六条 运营方向监管主体提交资料应遵守如下规定：</w:t>
      </w:r>
    </w:p>
    <w:p w14:paraId="3B8C405E">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（一）每月第5个工作日前向监管主体提交本单位上月的月报表及本月的生产运营计划，每月第10个工作日前向监管主体提交上月运营月报；</w:t>
      </w:r>
    </w:p>
    <w:p w14:paraId="10BB1581">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（二）运营方根据每月的垃圾处理量提出垃圾处理费的支付申请，监管主体根据《高新区其他垃圾转运站月度监管考核》结果，按规定计算扣减的垃圾处理费并按支付流程办理垃圾费支付手续。</w:t>
      </w:r>
    </w:p>
    <w:p w14:paraId="6C4D1DE8">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（三）每年度第一月底前向监管主体提交本单位上年度的年度报表和运营年报；每年度的十二月底报送下年度的生产运营计划。</w:t>
      </w:r>
    </w:p>
    <w:p w14:paraId="678C290F">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第十七条监管主体的评价依据（以下材料的最长有效期为一年）：</w:t>
      </w:r>
    </w:p>
    <w:p w14:paraId="0256DC13">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（一）有资质的相关监测单位报告和数据；</w:t>
      </w:r>
    </w:p>
    <w:p w14:paraId="5F810293">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（二）现场拍摄的照片或录像； </w:t>
      </w:r>
    </w:p>
    <w:p w14:paraId="34096DFF">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（三）监管人员的现场记录及监管函；</w:t>
      </w:r>
    </w:p>
    <w:p w14:paraId="5A93631C">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（四）监管主体与运营单位委托监测的结果；</w:t>
      </w:r>
    </w:p>
    <w:p w14:paraId="1D64E938">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（五）运营单位的运行记录资料；</w:t>
      </w:r>
    </w:p>
    <w:p w14:paraId="69329E69">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（六）在线监测记录资料；</w:t>
      </w:r>
    </w:p>
    <w:p w14:paraId="20EA81C1">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（七）其他足以证明的材料。</w:t>
      </w:r>
    </w:p>
    <w:p w14:paraId="30F6DE1F">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第十八条 监管主体每月对运营单位组织不少于1次专项检查，同时进行不定期的临时巡检。检查中发现的问题按照严重程度分别以《问题告知单》或《整改督办单》的形式告知运营方。运营方必须在规定时限内完成整改并将整改结果报送监管主体。</w:t>
      </w:r>
    </w:p>
    <w:p w14:paraId="32BC444A">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第十九条监管主体依照《考核表》对运营方考核评分，评分周期为一个自然月，采用扣分制，对存在的违规行为，运营方如有欺骗、阻挠调查，或造成重大社会影响的，将视情节严重给予1-5倍的惩罚性扣分。</w:t>
      </w:r>
    </w:p>
    <w:p w14:paraId="66F4041E">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考核评分满分100分，分值在96分--100分之间的，运营方对存在问题迅速整改，可以不扣除处理费；分值低于95分（含95分），每扣除1分，则扣减垃圾处理费的1%。若分值低于60分时，扣减当月所有处理费。</w:t>
      </w:r>
    </w:p>
    <w:p w14:paraId="53AE7260">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考核评分中，“环保监管”的相关指标如有扣分，无论当月总分值高低，均按扣分值对应扣除当月处理费，并按规定进行行政处罚。</w:t>
      </w:r>
    </w:p>
    <w:p w14:paraId="0343B1A3">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第二十条 运营方在运营过程中获得中、省、市领导点名表扬、批示的；各级媒体正面报道的；相关技术获得市级以上表彰奖励的给予1-5分加分奖励。</w:t>
      </w:r>
    </w:p>
    <w:p w14:paraId="1CC58CAA">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第二十一条 每月第10个工作日前由监管主体汇总上月度考核材料，填写评分表，告知单、督办单、整改通知和照片等考核材料作为评分表的附件，审定无误后通报运营方。</w:t>
      </w:r>
    </w:p>
    <w:p w14:paraId="6CFF5FEE">
      <w:pPr>
        <w:adjustRightInd w:val="0"/>
        <w:snapToGrid w:val="0"/>
        <w:spacing w:line="36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第五章  附则</w:t>
      </w:r>
    </w:p>
    <w:p w14:paraId="7B4DBF0F">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第二十二条 遵守国家和省市的其他规定。</w:t>
      </w:r>
    </w:p>
    <w:p w14:paraId="50CC7F59">
      <w:pPr>
        <w:adjustRightInd w:val="0"/>
        <w:snapToGrid w:val="0"/>
        <w:spacing w:line="360" w:lineRule="auto"/>
        <w:ind w:firstLine="480" w:firstLineChars="200"/>
        <w:rPr>
          <w:rFonts w:hint="eastAsia" w:ascii="仿宋_GB2312" w:hAnsi="仿宋_GB2312" w:eastAsia="仿宋_GB2312" w:cs="仿宋_GB2312"/>
          <w:sz w:val="24"/>
          <w:szCs w:val="24"/>
        </w:rPr>
        <w:sectPr>
          <w:pgSz w:w="11905" w:h="16838"/>
          <w:pgMar w:top="1440" w:right="1080" w:bottom="1440" w:left="1080" w:header="850" w:footer="975" w:gutter="0"/>
          <w:cols w:space="720" w:num="1"/>
          <w:docGrid w:linePitch="312" w:charSpace="0"/>
        </w:sectPr>
      </w:pPr>
      <w:r>
        <w:rPr>
          <w:rFonts w:hint="eastAsia" w:ascii="仿宋_GB2312" w:hAnsi="仿宋_GB2312" w:eastAsia="仿宋_GB2312" w:cs="仿宋_GB2312"/>
          <w:sz w:val="24"/>
          <w:szCs w:val="24"/>
        </w:rPr>
        <w:t>第二十三条本办法自发布之日起实行，由高新区城市管理和综合执法局负责解释。</w:t>
      </w:r>
    </w:p>
    <w:p w14:paraId="6DDBD2BF">
      <w:pPr>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1、高新区其他垃圾转运站检查打分表</w:t>
      </w:r>
    </w:p>
    <w:p w14:paraId="0EA7609E">
      <w:pPr>
        <w:spacing w:line="340" w:lineRule="exact"/>
        <w:jc w:val="left"/>
        <w:rPr>
          <w:rFonts w:hint="eastAsia" w:ascii="仿宋_GB2312" w:hAnsi="仿宋_GB2312" w:eastAsia="仿宋_GB2312" w:cs="仿宋_GB2312"/>
          <w:kern w:val="0"/>
          <w:sz w:val="24"/>
          <w:szCs w:val="24"/>
        </w:rPr>
      </w:pPr>
    </w:p>
    <w:p w14:paraId="35203C60">
      <w:pPr>
        <w:spacing w:line="340" w:lineRule="exact"/>
        <w:jc w:val="left"/>
        <w:rPr>
          <w:rFonts w:hint="eastAsia" w:ascii="仿宋_GB2312" w:hAnsi="仿宋_GB2312" w:eastAsia="仿宋_GB2312" w:cs="仿宋_GB2312"/>
          <w:b/>
          <w:kern w:val="0"/>
          <w:sz w:val="24"/>
          <w:szCs w:val="24"/>
        </w:rPr>
      </w:pPr>
      <w:r>
        <w:rPr>
          <w:rFonts w:hint="eastAsia" w:ascii="仿宋_GB2312" w:hAnsi="仿宋_GB2312" w:eastAsia="仿宋_GB2312" w:cs="仿宋_GB2312"/>
          <w:kern w:val="0"/>
          <w:sz w:val="24"/>
          <w:szCs w:val="24"/>
        </w:rPr>
        <w:t>检查日期：20   年  月  日</w:t>
      </w:r>
    </w:p>
    <w:tbl>
      <w:tblPr>
        <w:tblStyle w:val="10"/>
        <w:tblW w:w="1015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12"/>
        <w:gridCol w:w="2483"/>
        <w:gridCol w:w="1555"/>
        <w:gridCol w:w="3609"/>
        <w:gridCol w:w="1195"/>
      </w:tblGrid>
      <w:tr w14:paraId="234054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jc w:val="center"/>
        </w:trPr>
        <w:tc>
          <w:tcPr>
            <w:tcW w:w="1312" w:type="dxa"/>
            <w:noWrap/>
            <w:vAlign w:val="center"/>
          </w:tcPr>
          <w:p w14:paraId="69620F0F">
            <w:pPr>
              <w:spacing w:line="340" w:lineRule="exact"/>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序号</w:t>
            </w:r>
          </w:p>
        </w:tc>
        <w:tc>
          <w:tcPr>
            <w:tcW w:w="2483" w:type="dxa"/>
            <w:noWrap/>
            <w:vAlign w:val="center"/>
          </w:tcPr>
          <w:p w14:paraId="057D2A4C">
            <w:pPr>
              <w:spacing w:line="340" w:lineRule="exact"/>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考核项目</w:t>
            </w:r>
          </w:p>
        </w:tc>
        <w:tc>
          <w:tcPr>
            <w:tcW w:w="1555" w:type="dxa"/>
            <w:noWrap/>
            <w:vAlign w:val="center"/>
          </w:tcPr>
          <w:p w14:paraId="75BE9C57">
            <w:pPr>
              <w:spacing w:line="340" w:lineRule="exact"/>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检查时间</w:t>
            </w:r>
          </w:p>
        </w:tc>
        <w:tc>
          <w:tcPr>
            <w:tcW w:w="3609" w:type="dxa"/>
            <w:noWrap/>
            <w:vAlign w:val="center"/>
          </w:tcPr>
          <w:p w14:paraId="1ED836BB">
            <w:pPr>
              <w:spacing w:line="340" w:lineRule="exact"/>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存在问题描述和发监管函情况</w:t>
            </w:r>
          </w:p>
        </w:tc>
        <w:tc>
          <w:tcPr>
            <w:tcW w:w="1195" w:type="dxa"/>
            <w:noWrap/>
            <w:vAlign w:val="center"/>
          </w:tcPr>
          <w:p w14:paraId="50A91F0B">
            <w:pPr>
              <w:spacing w:line="340" w:lineRule="exact"/>
              <w:jc w:val="center"/>
              <w:rPr>
                <w:rFonts w:hint="eastAsia" w:ascii="仿宋_GB2312" w:hAnsi="仿宋_GB2312" w:eastAsia="仿宋_GB2312" w:cs="仿宋_GB2312"/>
                <w:b/>
                <w:szCs w:val="21"/>
              </w:rPr>
            </w:pPr>
            <w:r>
              <w:rPr>
                <w:rFonts w:hint="eastAsia" w:ascii="仿宋_GB2312" w:hAnsi="仿宋_GB2312" w:eastAsia="仿宋_GB2312" w:cs="仿宋_GB2312"/>
                <w:b/>
                <w:szCs w:val="21"/>
              </w:rPr>
              <w:t>打分</w:t>
            </w:r>
          </w:p>
        </w:tc>
      </w:tr>
      <w:tr w14:paraId="2B6FC6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exact"/>
          <w:jc w:val="center"/>
        </w:trPr>
        <w:tc>
          <w:tcPr>
            <w:tcW w:w="1312" w:type="dxa"/>
            <w:noWrap/>
            <w:vAlign w:val="center"/>
          </w:tcPr>
          <w:p w14:paraId="4B37004F">
            <w:pPr>
              <w:spacing w:line="3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一</w:t>
            </w:r>
          </w:p>
        </w:tc>
        <w:tc>
          <w:tcPr>
            <w:tcW w:w="2483" w:type="dxa"/>
            <w:noWrap/>
            <w:vAlign w:val="center"/>
          </w:tcPr>
          <w:p w14:paraId="21B3D9F0">
            <w:pPr>
              <w:spacing w:line="3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计量管理</w:t>
            </w:r>
          </w:p>
        </w:tc>
        <w:tc>
          <w:tcPr>
            <w:tcW w:w="1555" w:type="dxa"/>
            <w:noWrap/>
            <w:vAlign w:val="top"/>
          </w:tcPr>
          <w:p w14:paraId="12919828">
            <w:pPr>
              <w:spacing w:line="340" w:lineRule="exact"/>
              <w:rPr>
                <w:rFonts w:hint="eastAsia" w:ascii="仿宋_GB2312" w:hAnsi="仿宋_GB2312" w:eastAsia="仿宋_GB2312" w:cs="仿宋_GB2312"/>
                <w:szCs w:val="21"/>
              </w:rPr>
            </w:pPr>
          </w:p>
        </w:tc>
        <w:tc>
          <w:tcPr>
            <w:tcW w:w="3609" w:type="dxa"/>
            <w:noWrap/>
            <w:vAlign w:val="top"/>
          </w:tcPr>
          <w:p w14:paraId="2CD376CD">
            <w:pPr>
              <w:spacing w:line="340" w:lineRule="exact"/>
              <w:rPr>
                <w:rFonts w:hint="eastAsia" w:ascii="仿宋_GB2312" w:hAnsi="仿宋_GB2312" w:eastAsia="仿宋_GB2312" w:cs="仿宋_GB2312"/>
                <w:szCs w:val="21"/>
              </w:rPr>
            </w:pPr>
          </w:p>
        </w:tc>
        <w:tc>
          <w:tcPr>
            <w:tcW w:w="1195" w:type="dxa"/>
            <w:noWrap/>
            <w:vAlign w:val="top"/>
          </w:tcPr>
          <w:p w14:paraId="288DD119">
            <w:pPr>
              <w:spacing w:line="340" w:lineRule="exact"/>
              <w:rPr>
                <w:rFonts w:hint="eastAsia" w:ascii="仿宋_GB2312" w:hAnsi="仿宋_GB2312" w:eastAsia="仿宋_GB2312" w:cs="仿宋_GB2312"/>
                <w:szCs w:val="21"/>
              </w:rPr>
            </w:pPr>
          </w:p>
        </w:tc>
      </w:tr>
      <w:tr w14:paraId="7A076F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exact"/>
          <w:jc w:val="center"/>
        </w:trPr>
        <w:tc>
          <w:tcPr>
            <w:tcW w:w="1312" w:type="dxa"/>
            <w:noWrap/>
            <w:vAlign w:val="center"/>
          </w:tcPr>
          <w:p w14:paraId="42DCCBA4">
            <w:pPr>
              <w:spacing w:line="3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二</w:t>
            </w:r>
          </w:p>
        </w:tc>
        <w:tc>
          <w:tcPr>
            <w:tcW w:w="2483" w:type="dxa"/>
            <w:noWrap/>
            <w:vAlign w:val="center"/>
          </w:tcPr>
          <w:p w14:paraId="34BD7C65">
            <w:pPr>
              <w:spacing w:line="3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运行监管</w:t>
            </w:r>
          </w:p>
        </w:tc>
        <w:tc>
          <w:tcPr>
            <w:tcW w:w="1555" w:type="dxa"/>
            <w:noWrap/>
            <w:vAlign w:val="top"/>
          </w:tcPr>
          <w:p w14:paraId="12B43ED1">
            <w:pPr>
              <w:spacing w:line="340" w:lineRule="exact"/>
              <w:rPr>
                <w:rFonts w:hint="eastAsia" w:ascii="仿宋_GB2312" w:hAnsi="仿宋_GB2312" w:eastAsia="仿宋_GB2312" w:cs="仿宋_GB2312"/>
                <w:szCs w:val="21"/>
              </w:rPr>
            </w:pPr>
          </w:p>
        </w:tc>
        <w:tc>
          <w:tcPr>
            <w:tcW w:w="3609" w:type="dxa"/>
            <w:noWrap/>
            <w:vAlign w:val="top"/>
          </w:tcPr>
          <w:p w14:paraId="368C3A69">
            <w:pPr>
              <w:spacing w:line="340" w:lineRule="exact"/>
              <w:rPr>
                <w:rFonts w:hint="eastAsia" w:ascii="仿宋_GB2312" w:hAnsi="仿宋_GB2312" w:eastAsia="仿宋_GB2312" w:cs="仿宋_GB2312"/>
                <w:szCs w:val="21"/>
              </w:rPr>
            </w:pPr>
          </w:p>
        </w:tc>
        <w:tc>
          <w:tcPr>
            <w:tcW w:w="1195" w:type="dxa"/>
            <w:noWrap/>
            <w:vAlign w:val="top"/>
          </w:tcPr>
          <w:p w14:paraId="4BF54852">
            <w:pPr>
              <w:spacing w:line="340" w:lineRule="exact"/>
              <w:rPr>
                <w:rFonts w:hint="eastAsia" w:ascii="仿宋_GB2312" w:hAnsi="仿宋_GB2312" w:eastAsia="仿宋_GB2312" w:cs="仿宋_GB2312"/>
                <w:szCs w:val="21"/>
              </w:rPr>
            </w:pPr>
          </w:p>
        </w:tc>
      </w:tr>
      <w:tr w14:paraId="10C98E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exact"/>
          <w:jc w:val="center"/>
        </w:trPr>
        <w:tc>
          <w:tcPr>
            <w:tcW w:w="1312" w:type="dxa"/>
            <w:noWrap/>
            <w:vAlign w:val="center"/>
          </w:tcPr>
          <w:p w14:paraId="46BA68E3">
            <w:pPr>
              <w:spacing w:line="3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三</w:t>
            </w:r>
          </w:p>
        </w:tc>
        <w:tc>
          <w:tcPr>
            <w:tcW w:w="2483" w:type="dxa"/>
            <w:noWrap/>
            <w:vAlign w:val="center"/>
          </w:tcPr>
          <w:p w14:paraId="0A7470A7">
            <w:pPr>
              <w:spacing w:line="3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环保监管</w:t>
            </w:r>
          </w:p>
        </w:tc>
        <w:tc>
          <w:tcPr>
            <w:tcW w:w="1555" w:type="dxa"/>
            <w:noWrap/>
            <w:vAlign w:val="top"/>
          </w:tcPr>
          <w:p w14:paraId="4BCE8DD0">
            <w:pPr>
              <w:spacing w:line="340" w:lineRule="exact"/>
              <w:rPr>
                <w:rFonts w:hint="eastAsia" w:ascii="仿宋_GB2312" w:hAnsi="仿宋_GB2312" w:eastAsia="仿宋_GB2312" w:cs="仿宋_GB2312"/>
                <w:szCs w:val="21"/>
              </w:rPr>
            </w:pPr>
          </w:p>
        </w:tc>
        <w:tc>
          <w:tcPr>
            <w:tcW w:w="3609" w:type="dxa"/>
            <w:noWrap/>
            <w:vAlign w:val="top"/>
          </w:tcPr>
          <w:p w14:paraId="4CD39D28">
            <w:pPr>
              <w:spacing w:line="340" w:lineRule="exact"/>
              <w:rPr>
                <w:rFonts w:hint="eastAsia" w:ascii="仿宋_GB2312" w:hAnsi="仿宋_GB2312" w:eastAsia="仿宋_GB2312" w:cs="仿宋_GB2312"/>
                <w:szCs w:val="21"/>
              </w:rPr>
            </w:pPr>
          </w:p>
        </w:tc>
        <w:tc>
          <w:tcPr>
            <w:tcW w:w="1195" w:type="dxa"/>
            <w:noWrap/>
            <w:vAlign w:val="top"/>
          </w:tcPr>
          <w:p w14:paraId="22F082AB">
            <w:pPr>
              <w:spacing w:line="340" w:lineRule="exact"/>
              <w:rPr>
                <w:rFonts w:hint="eastAsia" w:ascii="仿宋_GB2312" w:hAnsi="仿宋_GB2312" w:eastAsia="仿宋_GB2312" w:cs="仿宋_GB2312"/>
                <w:szCs w:val="21"/>
              </w:rPr>
            </w:pPr>
          </w:p>
        </w:tc>
      </w:tr>
      <w:tr w14:paraId="4986A4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exact"/>
          <w:jc w:val="center"/>
        </w:trPr>
        <w:tc>
          <w:tcPr>
            <w:tcW w:w="1312" w:type="dxa"/>
            <w:noWrap/>
            <w:vAlign w:val="center"/>
          </w:tcPr>
          <w:p w14:paraId="7AFD2B05">
            <w:pPr>
              <w:spacing w:line="3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四</w:t>
            </w:r>
          </w:p>
        </w:tc>
        <w:tc>
          <w:tcPr>
            <w:tcW w:w="2483" w:type="dxa"/>
            <w:noWrap/>
            <w:vAlign w:val="center"/>
          </w:tcPr>
          <w:p w14:paraId="008A068F">
            <w:pPr>
              <w:spacing w:line="3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安全生产管理</w:t>
            </w:r>
          </w:p>
        </w:tc>
        <w:tc>
          <w:tcPr>
            <w:tcW w:w="1555" w:type="dxa"/>
            <w:noWrap/>
            <w:vAlign w:val="top"/>
          </w:tcPr>
          <w:p w14:paraId="0D4BF7D7">
            <w:pPr>
              <w:spacing w:line="340" w:lineRule="exact"/>
              <w:rPr>
                <w:rFonts w:hint="eastAsia" w:ascii="仿宋_GB2312" w:hAnsi="仿宋_GB2312" w:eastAsia="仿宋_GB2312" w:cs="仿宋_GB2312"/>
                <w:szCs w:val="21"/>
              </w:rPr>
            </w:pPr>
          </w:p>
        </w:tc>
        <w:tc>
          <w:tcPr>
            <w:tcW w:w="3609" w:type="dxa"/>
            <w:noWrap/>
            <w:vAlign w:val="top"/>
          </w:tcPr>
          <w:p w14:paraId="222373B1">
            <w:pPr>
              <w:spacing w:line="340" w:lineRule="exact"/>
              <w:rPr>
                <w:rFonts w:hint="eastAsia" w:ascii="仿宋_GB2312" w:hAnsi="仿宋_GB2312" w:eastAsia="仿宋_GB2312" w:cs="仿宋_GB2312"/>
                <w:szCs w:val="21"/>
              </w:rPr>
            </w:pPr>
          </w:p>
        </w:tc>
        <w:tc>
          <w:tcPr>
            <w:tcW w:w="1195" w:type="dxa"/>
            <w:noWrap/>
            <w:vAlign w:val="top"/>
          </w:tcPr>
          <w:p w14:paraId="015A49EE">
            <w:pPr>
              <w:spacing w:line="340" w:lineRule="exact"/>
              <w:rPr>
                <w:rFonts w:hint="eastAsia" w:ascii="仿宋_GB2312" w:hAnsi="仿宋_GB2312" w:eastAsia="仿宋_GB2312" w:cs="仿宋_GB2312"/>
                <w:szCs w:val="21"/>
              </w:rPr>
            </w:pPr>
          </w:p>
        </w:tc>
      </w:tr>
      <w:tr w14:paraId="61AECD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exact"/>
          <w:jc w:val="center"/>
        </w:trPr>
        <w:tc>
          <w:tcPr>
            <w:tcW w:w="1312" w:type="dxa"/>
            <w:noWrap/>
            <w:vAlign w:val="center"/>
          </w:tcPr>
          <w:p w14:paraId="0BA40099">
            <w:pPr>
              <w:spacing w:line="3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五</w:t>
            </w:r>
          </w:p>
        </w:tc>
        <w:tc>
          <w:tcPr>
            <w:tcW w:w="2483" w:type="dxa"/>
            <w:noWrap/>
            <w:vAlign w:val="center"/>
          </w:tcPr>
          <w:p w14:paraId="57F65120">
            <w:pPr>
              <w:spacing w:line="3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日常管理</w:t>
            </w:r>
          </w:p>
        </w:tc>
        <w:tc>
          <w:tcPr>
            <w:tcW w:w="1555" w:type="dxa"/>
            <w:noWrap/>
            <w:vAlign w:val="top"/>
          </w:tcPr>
          <w:p w14:paraId="7B318B4F">
            <w:pPr>
              <w:spacing w:line="340" w:lineRule="exact"/>
              <w:rPr>
                <w:rFonts w:hint="eastAsia" w:ascii="仿宋_GB2312" w:hAnsi="仿宋_GB2312" w:eastAsia="仿宋_GB2312" w:cs="仿宋_GB2312"/>
                <w:szCs w:val="21"/>
              </w:rPr>
            </w:pPr>
          </w:p>
        </w:tc>
        <w:tc>
          <w:tcPr>
            <w:tcW w:w="3609" w:type="dxa"/>
            <w:noWrap/>
            <w:vAlign w:val="top"/>
          </w:tcPr>
          <w:p w14:paraId="067F0591">
            <w:pPr>
              <w:spacing w:line="340" w:lineRule="exact"/>
              <w:rPr>
                <w:rFonts w:hint="eastAsia" w:ascii="仿宋_GB2312" w:hAnsi="仿宋_GB2312" w:eastAsia="仿宋_GB2312" w:cs="仿宋_GB2312"/>
                <w:szCs w:val="21"/>
              </w:rPr>
            </w:pPr>
          </w:p>
        </w:tc>
        <w:tc>
          <w:tcPr>
            <w:tcW w:w="1195" w:type="dxa"/>
            <w:noWrap/>
            <w:vAlign w:val="top"/>
          </w:tcPr>
          <w:p w14:paraId="7685D497">
            <w:pPr>
              <w:spacing w:line="340" w:lineRule="exact"/>
              <w:rPr>
                <w:rFonts w:hint="eastAsia" w:ascii="仿宋_GB2312" w:hAnsi="仿宋_GB2312" w:eastAsia="仿宋_GB2312" w:cs="仿宋_GB2312"/>
                <w:szCs w:val="21"/>
              </w:rPr>
            </w:pPr>
          </w:p>
        </w:tc>
      </w:tr>
      <w:tr w14:paraId="5D36A5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exact"/>
          <w:jc w:val="center"/>
        </w:trPr>
        <w:tc>
          <w:tcPr>
            <w:tcW w:w="1312" w:type="dxa"/>
            <w:noWrap/>
            <w:vAlign w:val="center"/>
          </w:tcPr>
          <w:p w14:paraId="5392109B">
            <w:pPr>
              <w:spacing w:line="3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六</w:t>
            </w:r>
          </w:p>
        </w:tc>
        <w:tc>
          <w:tcPr>
            <w:tcW w:w="2483" w:type="dxa"/>
            <w:noWrap/>
            <w:vAlign w:val="center"/>
          </w:tcPr>
          <w:p w14:paraId="4BF64B5D">
            <w:pPr>
              <w:spacing w:line="3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奖惩情况</w:t>
            </w:r>
          </w:p>
        </w:tc>
        <w:tc>
          <w:tcPr>
            <w:tcW w:w="1555" w:type="dxa"/>
            <w:noWrap/>
            <w:vAlign w:val="top"/>
          </w:tcPr>
          <w:p w14:paraId="40A434E0">
            <w:pPr>
              <w:spacing w:line="340" w:lineRule="exact"/>
              <w:rPr>
                <w:rFonts w:hint="eastAsia" w:ascii="仿宋_GB2312" w:hAnsi="仿宋_GB2312" w:eastAsia="仿宋_GB2312" w:cs="仿宋_GB2312"/>
                <w:szCs w:val="21"/>
              </w:rPr>
            </w:pPr>
          </w:p>
        </w:tc>
        <w:tc>
          <w:tcPr>
            <w:tcW w:w="3609" w:type="dxa"/>
            <w:noWrap/>
            <w:vAlign w:val="top"/>
          </w:tcPr>
          <w:p w14:paraId="03CFB6BC">
            <w:pPr>
              <w:spacing w:line="340" w:lineRule="exact"/>
              <w:rPr>
                <w:rFonts w:hint="eastAsia" w:ascii="仿宋_GB2312" w:hAnsi="仿宋_GB2312" w:eastAsia="仿宋_GB2312" w:cs="仿宋_GB2312"/>
                <w:szCs w:val="21"/>
              </w:rPr>
            </w:pPr>
          </w:p>
        </w:tc>
        <w:tc>
          <w:tcPr>
            <w:tcW w:w="1195" w:type="dxa"/>
            <w:noWrap/>
            <w:vAlign w:val="top"/>
          </w:tcPr>
          <w:p w14:paraId="6187A0AA">
            <w:pPr>
              <w:spacing w:line="340" w:lineRule="exact"/>
              <w:rPr>
                <w:rFonts w:hint="eastAsia" w:ascii="仿宋_GB2312" w:hAnsi="仿宋_GB2312" w:eastAsia="仿宋_GB2312" w:cs="仿宋_GB2312"/>
                <w:szCs w:val="21"/>
              </w:rPr>
            </w:pPr>
          </w:p>
        </w:tc>
      </w:tr>
      <w:tr w14:paraId="1D4957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 w:hRule="atLeast"/>
          <w:jc w:val="center"/>
        </w:trPr>
        <w:tc>
          <w:tcPr>
            <w:tcW w:w="1312" w:type="dxa"/>
            <w:noWrap/>
            <w:vAlign w:val="top"/>
          </w:tcPr>
          <w:p w14:paraId="3BE87575">
            <w:pPr>
              <w:spacing w:line="3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总分</w:t>
            </w:r>
          </w:p>
        </w:tc>
        <w:tc>
          <w:tcPr>
            <w:tcW w:w="7647" w:type="dxa"/>
            <w:gridSpan w:val="3"/>
            <w:noWrap/>
            <w:vAlign w:val="top"/>
          </w:tcPr>
          <w:p w14:paraId="1A45EE6A">
            <w:pPr>
              <w:spacing w:line="340" w:lineRule="exact"/>
              <w:rPr>
                <w:rFonts w:hint="eastAsia" w:ascii="仿宋_GB2312" w:hAnsi="仿宋_GB2312" w:eastAsia="仿宋_GB2312" w:cs="仿宋_GB2312"/>
                <w:szCs w:val="21"/>
              </w:rPr>
            </w:pPr>
          </w:p>
        </w:tc>
        <w:tc>
          <w:tcPr>
            <w:tcW w:w="1195" w:type="dxa"/>
            <w:noWrap/>
            <w:vAlign w:val="top"/>
          </w:tcPr>
          <w:p w14:paraId="6F204CA3">
            <w:pPr>
              <w:spacing w:line="340" w:lineRule="exact"/>
              <w:rPr>
                <w:rFonts w:hint="eastAsia" w:ascii="仿宋_GB2312" w:hAnsi="仿宋_GB2312" w:eastAsia="仿宋_GB2312" w:cs="仿宋_GB2312"/>
                <w:szCs w:val="21"/>
              </w:rPr>
            </w:pPr>
          </w:p>
        </w:tc>
      </w:tr>
    </w:tbl>
    <w:p w14:paraId="2D2061B4">
      <w:pPr>
        <w:spacing w:line="340" w:lineRule="exact"/>
        <w:ind w:firstLine="720" w:firstLineChars="3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检查人（签名）：                        运营方（签名）：</w:t>
      </w:r>
    </w:p>
    <w:p w14:paraId="4D52B919">
      <w:pPr>
        <w:rPr>
          <w:rFonts w:hint="eastAsia" w:ascii="仿宋_GB2312" w:hAnsi="仿宋_GB2312" w:eastAsia="仿宋_GB2312" w:cs="仿宋_GB2312"/>
          <w:sz w:val="24"/>
          <w:szCs w:val="24"/>
        </w:rPr>
      </w:pPr>
    </w:p>
    <w:p w14:paraId="3830DE7D">
      <w:pPr>
        <w:rPr>
          <w:rFonts w:hint="eastAsia" w:ascii="仿宋_GB2312" w:hAnsi="仿宋_GB2312" w:eastAsia="仿宋_GB2312" w:cs="仿宋_GB2312"/>
          <w:sz w:val="24"/>
          <w:szCs w:val="24"/>
        </w:rPr>
      </w:pPr>
    </w:p>
    <w:p w14:paraId="414F13AB">
      <w:pPr>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br w:type="page"/>
      </w:r>
      <w:r>
        <w:rPr>
          <w:rFonts w:hint="eastAsia" w:ascii="仿宋_GB2312" w:hAnsi="仿宋_GB2312" w:eastAsia="仿宋_GB2312" w:cs="仿宋_GB2312"/>
          <w:b/>
          <w:bCs/>
          <w:kern w:val="0"/>
          <w:sz w:val="24"/>
          <w:szCs w:val="24"/>
        </w:rPr>
        <w:t>2、高新区其他垃圾转运站考核打分细则</w:t>
      </w:r>
    </w:p>
    <w:p w14:paraId="700869C5">
      <w:pPr>
        <w:rPr>
          <w:rFonts w:hint="eastAsia" w:ascii="仿宋_GB2312" w:hAnsi="仿宋_GB2312" w:eastAsia="仿宋_GB2312" w:cs="仿宋_GB2312"/>
          <w:b/>
          <w:bCs/>
          <w:kern w:val="0"/>
          <w:sz w:val="24"/>
          <w:szCs w:val="24"/>
        </w:rPr>
      </w:pPr>
    </w:p>
    <w:tbl>
      <w:tblPr>
        <w:tblStyle w:val="10"/>
        <w:tblW w:w="102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789"/>
        <w:gridCol w:w="504"/>
        <w:gridCol w:w="504"/>
        <w:gridCol w:w="3511"/>
        <w:gridCol w:w="1554"/>
        <w:gridCol w:w="1994"/>
        <w:gridCol w:w="886"/>
      </w:tblGrid>
      <w:tr w14:paraId="00989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blHeader/>
          <w:jc w:val="center"/>
        </w:trPr>
        <w:tc>
          <w:tcPr>
            <w:tcW w:w="525" w:type="dxa"/>
            <w:noWrap/>
            <w:vAlign w:val="center"/>
          </w:tcPr>
          <w:p w14:paraId="1BFAFDD2">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序号</w:t>
            </w:r>
          </w:p>
        </w:tc>
        <w:tc>
          <w:tcPr>
            <w:tcW w:w="789" w:type="dxa"/>
            <w:noWrap/>
            <w:vAlign w:val="center"/>
          </w:tcPr>
          <w:p w14:paraId="0A0C0C44">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监管单位</w:t>
            </w:r>
          </w:p>
        </w:tc>
        <w:tc>
          <w:tcPr>
            <w:tcW w:w="504" w:type="dxa"/>
            <w:noWrap/>
            <w:vAlign w:val="center"/>
          </w:tcPr>
          <w:p w14:paraId="13947384">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考核项目</w:t>
            </w:r>
          </w:p>
        </w:tc>
        <w:tc>
          <w:tcPr>
            <w:tcW w:w="504" w:type="dxa"/>
            <w:noWrap/>
            <w:vAlign w:val="center"/>
          </w:tcPr>
          <w:p w14:paraId="2DE30E60">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分值范围</w:t>
            </w:r>
          </w:p>
        </w:tc>
        <w:tc>
          <w:tcPr>
            <w:tcW w:w="3511" w:type="dxa"/>
            <w:noWrap/>
            <w:vAlign w:val="center"/>
          </w:tcPr>
          <w:p w14:paraId="6C0D6CA8">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监管内容和要求</w:t>
            </w:r>
          </w:p>
        </w:tc>
        <w:tc>
          <w:tcPr>
            <w:tcW w:w="1554" w:type="dxa"/>
            <w:noWrap/>
            <w:vAlign w:val="center"/>
          </w:tcPr>
          <w:p w14:paraId="629F5F27">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监管方法</w:t>
            </w:r>
          </w:p>
        </w:tc>
        <w:tc>
          <w:tcPr>
            <w:tcW w:w="1994" w:type="dxa"/>
            <w:noWrap/>
            <w:vAlign w:val="center"/>
          </w:tcPr>
          <w:p w14:paraId="5882B533">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评分办法</w:t>
            </w:r>
          </w:p>
        </w:tc>
        <w:tc>
          <w:tcPr>
            <w:tcW w:w="886" w:type="dxa"/>
            <w:noWrap/>
            <w:vAlign w:val="center"/>
          </w:tcPr>
          <w:p w14:paraId="56A2FDE2">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评分</w:t>
            </w:r>
          </w:p>
          <w:p w14:paraId="1444D05A">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说明</w:t>
            </w:r>
          </w:p>
        </w:tc>
      </w:tr>
      <w:tr w14:paraId="1C24D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525" w:type="dxa"/>
            <w:vMerge w:val="restart"/>
            <w:noWrap/>
            <w:vAlign w:val="center"/>
          </w:tcPr>
          <w:p w14:paraId="63E086E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一</w:t>
            </w:r>
          </w:p>
        </w:tc>
        <w:tc>
          <w:tcPr>
            <w:tcW w:w="789" w:type="dxa"/>
            <w:vMerge w:val="restart"/>
            <w:noWrap/>
            <w:vAlign w:val="center"/>
          </w:tcPr>
          <w:p w14:paraId="6345FB1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高新区城市管理和综合执法局</w:t>
            </w:r>
          </w:p>
        </w:tc>
        <w:tc>
          <w:tcPr>
            <w:tcW w:w="504" w:type="dxa"/>
            <w:vMerge w:val="restart"/>
            <w:noWrap/>
            <w:vAlign w:val="center"/>
          </w:tcPr>
          <w:p w14:paraId="44CA7C9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计量管理</w:t>
            </w:r>
          </w:p>
        </w:tc>
        <w:tc>
          <w:tcPr>
            <w:tcW w:w="504" w:type="dxa"/>
            <w:vMerge w:val="restart"/>
            <w:noWrap/>
            <w:vAlign w:val="center"/>
          </w:tcPr>
          <w:p w14:paraId="2B7FD66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0-20分</w:t>
            </w:r>
          </w:p>
        </w:tc>
        <w:tc>
          <w:tcPr>
            <w:tcW w:w="3511" w:type="dxa"/>
            <w:noWrap/>
            <w:vAlign w:val="center"/>
          </w:tcPr>
          <w:p w14:paraId="01B4204F">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垃圾车进厂管理：</w:t>
            </w:r>
            <w:r>
              <w:rPr>
                <w:rFonts w:hint="eastAsia" w:ascii="仿宋_GB2312" w:hAnsi="仿宋_GB2312" w:eastAsia="仿宋_GB2312" w:cs="仿宋_GB2312"/>
                <w:kern w:val="0"/>
                <w:szCs w:val="21"/>
              </w:rPr>
              <w:t>不得接收未经监管主体核准或备案的垃圾车进厂；不得让车牌与备案信息卡不符的垃圾车进厂；如实记录每辆车辆的进厂日期、时间、车号、垃圾来源、单位、重量等数据。各项数据、信息应详细记录存档，并形成日报表备查。</w:t>
            </w:r>
          </w:p>
        </w:tc>
        <w:tc>
          <w:tcPr>
            <w:tcW w:w="1554" w:type="dxa"/>
            <w:noWrap/>
            <w:vAlign w:val="center"/>
          </w:tcPr>
          <w:p w14:paraId="018E372E">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监管主体不定期巡查</w:t>
            </w:r>
          </w:p>
        </w:tc>
        <w:tc>
          <w:tcPr>
            <w:tcW w:w="1994" w:type="dxa"/>
            <w:noWrap/>
            <w:vAlign w:val="center"/>
          </w:tcPr>
          <w:p w14:paraId="7817FDD8">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接收未经核准或备案的垃圾车每车次扣5分；车牌与备案信息不符的垃圾车进厂每车次扣2分；虚报、乱报计量数据，每次扣5分；不符合记录要求的每车次扣1分。</w:t>
            </w:r>
          </w:p>
        </w:tc>
        <w:tc>
          <w:tcPr>
            <w:tcW w:w="886" w:type="dxa"/>
            <w:noWrap/>
            <w:vAlign w:val="center"/>
          </w:tcPr>
          <w:p w14:paraId="611D1559">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64B7F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5" w:type="dxa"/>
            <w:vMerge w:val="continue"/>
            <w:noWrap/>
            <w:vAlign w:val="center"/>
          </w:tcPr>
          <w:p w14:paraId="60C96558">
            <w:pPr>
              <w:widowControl/>
              <w:jc w:val="left"/>
              <w:rPr>
                <w:rFonts w:hint="eastAsia" w:ascii="仿宋_GB2312" w:hAnsi="仿宋_GB2312" w:eastAsia="仿宋_GB2312" w:cs="仿宋_GB2312"/>
                <w:kern w:val="0"/>
                <w:szCs w:val="21"/>
              </w:rPr>
            </w:pPr>
          </w:p>
        </w:tc>
        <w:tc>
          <w:tcPr>
            <w:tcW w:w="789" w:type="dxa"/>
            <w:vMerge w:val="continue"/>
            <w:noWrap/>
            <w:vAlign w:val="center"/>
          </w:tcPr>
          <w:p w14:paraId="073A174F">
            <w:pPr>
              <w:widowControl/>
              <w:jc w:val="left"/>
              <w:rPr>
                <w:rFonts w:hint="eastAsia" w:ascii="仿宋_GB2312" w:hAnsi="仿宋_GB2312" w:eastAsia="仿宋_GB2312" w:cs="仿宋_GB2312"/>
                <w:kern w:val="0"/>
                <w:szCs w:val="21"/>
              </w:rPr>
            </w:pPr>
          </w:p>
        </w:tc>
        <w:tc>
          <w:tcPr>
            <w:tcW w:w="504" w:type="dxa"/>
            <w:vMerge w:val="continue"/>
            <w:noWrap/>
            <w:vAlign w:val="center"/>
          </w:tcPr>
          <w:p w14:paraId="1083EF2A">
            <w:pPr>
              <w:widowControl/>
              <w:jc w:val="left"/>
              <w:rPr>
                <w:rFonts w:hint="eastAsia" w:ascii="仿宋_GB2312" w:hAnsi="仿宋_GB2312" w:eastAsia="仿宋_GB2312" w:cs="仿宋_GB2312"/>
                <w:kern w:val="0"/>
                <w:szCs w:val="21"/>
              </w:rPr>
            </w:pPr>
          </w:p>
        </w:tc>
        <w:tc>
          <w:tcPr>
            <w:tcW w:w="504" w:type="dxa"/>
            <w:vMerge w:val="continue"/>
            <w:noWrap/>
            <w:vAlign w:val="center"/>
          </w:tcPr>
          <w:p w14:paraId="0E8D5193">
            <w:pPr>
              <w:widowControl/>
              <w:jc w:val="left"/>
              <w:rPr>
                <w:rFonts w:hint="eastAsia" w:ascii="仿宋_GB2312" w:hAnsi="仿宋_GB2312" w:eastAsia="仿宋_GB2312" w:cs="仿宋_GB2312"/>
                <w:kern w:val="0"/>
                <w:szCs w:val="21"/>
              </w:rPr>
            </w:pPr>
          </w:p>
        </w:tc>
        <w:tc>
          <w:tcPr>
            <w:tcW w:w="3511" w:type="dxa"/>
            <w:noWrap/>
            <w:vAlign w:val="center"/>
          </w:tcPr>
          <w:p w14:paraId="72D81077">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二次废弃物计量：</w:t>
            </w:r>
            <w:r>
              <w:rPr>
                <w:rFonts w:hint="eastAsia" w:ascii="仿宋_GB2312" w:hAnsi="仿宋_GB2312" w:eastAsia="仿宋_GB2312" w:cs="仿宋_GB2312"/>
                <w:kern w:val="0"/>
                <w:szCs w:val="21"/>
              </w:rPr>
              <w:t>对后处理系统分选出的垃圾渗沥液进行计量。</w:t>
            </w:r>
          </w:p>
        </w:tc>
        <w:tc>
          <w:tcPr>
            <w:tcW w:w="1554" w:type="dxa"/>
            <w:noWrap/>
            <w:vAlign w:val="center"/>
          </w:tcPr>
          <w:p w14:paraId="1A99FAEC">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运营方每日记录备查，每月将数据报送监管主体</w:t>
            </w:r>
          </w:p>
        </w:tc>
        <w:tc>
          <w:tcPr>
            <w:tcW w:w="1994" w:type="dxa"/>
            <w:noWrap/>
            <w:vAlign w:val="center"/>
          </w:tcPr>
          <w:p w14:paraId="6072D64F">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发现缺失计量的情况每次扣2分。</w:t>
            </w:r>
          </w:p>
        </w:tc>
        <w:tc>
          <w:tcPr>
            <w:tcW w:w="886" w:type="dxa"/>
            <w:noWrap/>
            <w:vAlign w:val="center"/>
          </w:tcPr>
          <w:p w14:paraId="0E1A43D4">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217D2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525" w:type="dxa"/>
            <w:vMerge w:val="continue"/>
            <w:noWrap/>
            <w:vAlign w:val="center"/>
          </w:tcPr>
          <w:p w14:paraId="69830763">
            <w:pPr>
              <w:widowControl/>
              <w:jc w:val="left"/>
              <w:rPr>
                <w:rFonts w:hint="eastAsia" w:ascii="仿宋_GB2312" w:hAnsi="仿宋_GB2312" w:eastAsia="仿宋_GB2312" w:cs="仿宋_GB2312"/>
                <w:kern w:val="0"/>
                <w:szCs w:val="21"/>
              </w:rPr>
            </w:pPr>
          </w:p>
        </w:tc>
        <w:tc>
          <w:tcPr>
            <w:tcW w:w="789" w:type="dxa"/>
            <w:vMerge w:val="continue"/>
            <w:noWrap/>
            <w:vAlign w:val="center"/>
          </w:tcPr>
          <w:p w14:paraId="32FF858E">
            <w:pPr>
              <w:widowControl/>
              <w:jc w:val="left"/>
              <w:rPr>
                <w:rFonts w:hint="eastAsia" w:ascii="仿宋_GB2312" w:hAnsi="仿宋_GB2312" w:eastAsia="仿宋_GB2312" w:cs="仿宋_GB2312"/>
                <w:kern w:val="0"/>
                <w:szCs w:val="21"/>
              </w:rPr>
            </w:pPr>
          </w:p>
        </w:tc>
        <w:tc>
          <w:tcPr>
            <w:tcW w:w="504" w:type="dxa"/>
            <w:vMerge w:val="continue"/>
            <w:noWrap/>
            <w:vAlign w:val="center"/>
          </w:tcPr>
          <w:p w14:paraId="01A99458">
            <w:pPr>
              <w:widowControl/>
              <w:jc w:val="left"/>
              <w:rPr>
                <w:rFonts w:hint="eastAsia" w:ascii="仿宋_GB2312" w:hAnsi="仿宋_GB2312" w:eastAsia="仿宋_GB2312" w:cs="仿宋_GB2312"/>
                <w:kern w:val="0"/>
                <w:szCs w:val="21"/>
              </w:rPr>
            </w:pPr>
          </w:p>
        </w:tc>
        <w:tc>
          <w:tcPr>
            <w:tcW w:w="504" w:type="dxa"/>
            <w:vMerge w:val="continue"/>
            <w:noWrap/>
            <w:vAlign w:val="center"/>
          </w:tcPr>
          <w:p w14:paraId="33923C47">
            <w:pPr>
              <w:widowControl/>
              <w:jc w:val="left"/>
              <w:rPr>
                <w:rFonts w:hint="eastAsia" w:ascii="仿宋_GB2312" w:hAnsi="仿宋_GB2312" w:eastAsia="仿宋_GB2312" w:cs="仿宋_GB2312"/>
                <w:kern w:val="0"/>
                <w:szCs w:val="21"/>
              </w:rPr>
            </w:pPr>
          </w:p>
        </w:tc>
        <w:tc>
          <w:tcPr>
            <w:tcW w:w="3511" w:type="dxa"/>
            <w:noWrap/>
            <w:vAlign w:val="center"/>
          </w:tcPr>
          <w:p w14:paraId="099AC329">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生产物料计量：</w:t>
            </w:r>
            <w:r>
              <w:rPr>
                <w:rFonts w:hint="eastAsia" w:ascii="仿宋_GB2312" w:hAnsi="仿宋_GB2312" w:eastAsia="仿宋_GB2312" w:cs="仿宋_GB2312"/>
                <w:kern w:val="0"/>
                <w:szCs w:val="21"/>
              </w:rPr>
              <w:t>所有的生产物料进出厂区需进行称重记录，每月汇总，每月5日前报送监管主体。</w:t>
            </w:r>
          </w:p>
        </w:tc>
        <w:tc>
          <w:tcPr>
            <w:tcW w:w="1554" w:type="dxa"/>
            <w:noWrap/>
            <w:vAlign w:val="center"/>
          </w:tcPr>
          <w:p w14:paraId="7F3A8F62">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运营方每日记录备查，每月将数据报送监管主体</w:t>
            </w:r>
          </w:p>
        </w:tc>
        <w:tc>
          <w:tcPr>
            <w:tcW w:w="1994" w:type="dxa"/>
            <w:noWrap/>
            <w:vAlign w:val="center"/>
          </w:tcPr>
          <w:p w14:paraId="5FD841E9">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生产物料没有称重记录的每车次扣2分。</w:t>
            </w:r>
          </w:p>
        </w:tc>
        <w:tc>
          <w:tcPr>
            <w:tcW w:w="886" w:type="dxa"/>
            <w:noWrap/>
            <w:vAlign w:val="center"/>
          </w:tcPr>
          <w:p w14:paraId="01AFCA85">
            <w:pPr>
              <w:widowControl/>
              <w:jc w:val="center"/>
              <w:rPr>
                <w:rFonts w:hint="eastAsia" w:ascii="仿宋_GB2312" w:hAnsi="仿宋_GB2312" w:eastAsia="仿宋_GB2312" w:cs="仿宋_GB2312"/>
                <w:b/>
                <w:bCs/>
                <w:kern w:val="0"/>
                <w:szCs w:val="21"/>
              </w:rPr>
            </w:pPr>
          </w:p>
        </w:tc>
      </w:tr>
      <w:tr w14:paraId="70FAA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8" w:hRule="atLeast"/>
          <w:jc w:val="center"/>
        </w:trPr>
        <w:tc>
          <w:tcPr>
            <w:tcW w:w="525" w:type="dxa"/>
            <w:vMerge w:val="continue"/>
            <w:noWrap/>
            <w:vAlign w:val="center"/>
          </w:tcPr>
          <w:p w14:paraId="77211CF3">
            <w:pPr>
              <w:widowControl/>
              <w:jc w:val="left"/>
              <w:rPr>
                <w:rFonts w:hint="eastAsia" w:ascii="仿宋_GB2312" w:hAnsi="仿宋_GB2312" w:eastAsia="仿宋_GB2312" w:cs="仿宋_GB2312"/>
                <w:kern w:val="0"/>
                <w:szCs w:val="21"/>
              </w:rPr>
            </w:pPr>
          </w:p>
        </w:tc>
        <w:tc>
          <w:tcPr>
            <w:tcW w:w="789" w:type="dxa"/>
            <w:vMerge w:val="continue"/>
            <w:noWrap/>
            <w:vAlign w:val="center"/>
          </w:tcPr>
          <w:p w14:paraId="2785B1C2">
            <w:pPr>
              <w:widowControl/>
              <w:jc w:val="left"/>
              <w:rPr>
                <w:rFonts w:hint="eastAsia" w:ascii="仿宋_GB2312" w:hAnsi="仿宋_GB2312" w:eastAsia="仿宋_GB2312" w:cs="仿宋_GB2312"/>
                <w:kern w:val="0"/>
                <w:szCs w:val="21"/>
              </w:rPr>
            </w:pPr>
          </w:p>
        </w:tc>
        <w:tc>
          <w:tcPr>
            <w:tcW w:w="504" w:type="dxa"/>
            <w:vMerge w:val="continue"/>
            <w:noWrap/>
            <w:vAlign w:val="center"/>
          </w:tcPr>
          <w:p w14:paraId="2C8BA977">
            <w:pPr>
              <w:widowControl/>
              <w:jc w:val="left"/>
              <w:rPr>
                <w:rFonts w:hint="eastAsia" w:ascii="仿宋_GB2312" w:hAnsi="仿宋_GB2312" w:eastAsia="仿宋_GB2312" w:cs="仿宋_GB2312"/>
                <w:kern w:val="0"/>
                <w:szCs w:val="21"/>
              </w:rPr>
            </w:pPr>
          </w:p>
        </w:tc>
        <w:tc>
          <w:tcPr>
            <w:tcW w:w="504" w:type="dxa"/>
            <w:vMerge w:val="continue"/>
            <w:noWrap/>
            <w:vAlign w:val="center"/>
          </w:tcPr>
          <w:p w14:paraId="6E901BCA">
            <w:pPr>
              <w:widowControl/>
              <w:jc w:val="left"/>
              <w:rPr>
                <w:rFonts w:hint="eastAsia" w:ascii="仿宋_GB2312" w:hAnsi="仿宋_GB2312" w:eastAsia="仿宋_GB2312" w:cs="仿宋_GB2312"/>
                <w:kern w:val="0"/>
                <w:szCs w:val="21"/>
              </w:rPr>
            </w:pPr>
          </w:p>
        </w:tc>
        <w:tc>
          <w:tcPr>
            <w:tcW w:w="3511" w:type="dxa"/>
            <w:noWrap/>
            <w:vAlign w:val="center"/>
          </w:tcPr>
          <w:p w14:paraId="38682040">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计量设备标定：</w:t>
            </w:r>
            <w:r>
              <w:rPr>
                <w:rFonts w:hint="eastAsia" w:ascii="仿宋_GB2312" w:hAnsi="仿宋_GB2312" w:eastAsia="仿宋_GB2312" w:cs="仿宋_GB2312"/>
                <w:kern w:val="0"/>
                <w:szCs w:val="21"/>
              </w:rPr>
              <w:t>运营方每年应至少委托有资质的第三方机构按相关计量规范对地磅、渗滤液流量计等计量设备进行检定、校准和测试。计量设备维护应报监管主体备案。</w:t>
            </w:r>
          </w:p>
        </w:tc>
        <w:tc>
          <w:tcPr>
            <w:tcW w:w="1554" w:type="dxa"/>
            <w:noWrap/>
            <w:vAlign w:val="center"/>
          </w:tcPr>
          <w:p w14:paraId="72FFCDAA">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监管主体根据实施计划检查实施记录</w:t>
            </w:r>
          </w:p>
        </w:tc>
        <w:tc>
          <w:tcPr>
            <w:tcW w:w="1994" w:type="dxa"/>
            <w:noWrap/>
            <w:vAlign w:val="center"/>
          </w:tcPr>
          <w:p w14:paraId="08C25E78">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未对计量设备进行检定、校准和测试的，每次扣3分，超过约定检定、校准和测试时间的，每延迟1天扣1分。</w:t>
            </w:r>
          </w:p>
        </w:tc>
        <w:tc>
          <w:tcPr>
            <w:tcW w:w="886" w:type="dxa"/>
            <w:noWrap/>
            <w:vAlign w:val="center"/>
          </w:tcPr>
          <w:p w14:paraId="30BCBD26">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0782E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5" w:hRule="atLeast"/>
          <w:jc w:val="center"/>
        </w:trPr>
        <w:tc>
          <w:tcPr>
            <w:tcW w:w="525" w:type="dxa"/>
            <w:vMerge w:val="restart"/>
            <w:noWrap/>
            <w:vAlign w:val="center"/>
          </w:tcPr>
          <w:p w14:paraId="15D802F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二</w:t>
            </w:r>
          </w:p>
        </w:tc>
        <w:tc>
          <w:tcPr>
            <w:tcW w:w="789" w:type="dxa"/>
            <w:vMerge w:val="restart"/>
            <w:noWrap/>
            <w:vAlign w:val="center"/>
          </w:tcPr>
          <w:p w14:paraId="5946554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高新区城市管理和综合执法局</w:t>
            </w:r>
          </w:p>
        </w:tc>
        <w:tc>
          <w:tcPr>
            <w:tcW w:w="504" w:type="dxa"/>
            <w:vMerge w:val="restart"/>
            <w:noWrap/>
            <w:vAlign w:val="center"/>
          </w:tcPr>
          <w:p w14:paraId="421B63A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运行监管</w:t>
            </w:r>
          </w:p>
        </w:tc>
        <w:tc>
          <w:tcPr>
            <w:tcW w:w="504" w:type="dxa"/>
            <w:vMerge w:val="restart"/>
            <w:noWrap/>
            <w:vAlign w:val="center"/>
          </w:tcPr>
          <w:p w14:paraId="5E27730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0-20分</w:t>
            </w:r>
          </w:p>
        </w:tc>
        <w:tc>
          <w:tcPr>
            <w:tcW w:w="3511" w:type="dxa"/>
            <w:noWrap/>
            <w:vAlign w:val="center"/>
          </w:tcPr>
          <w:p w14:paraId="69DEA702">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处理能力管理：</w:t>
            </w:r>
            <w:r>
              <w:rPr>
                <w:rFonts w:hint="eastAsia" w:ascii="仿宋_GB2312" w:hAnsi="仿宋_GB2312" w:eastAsia="仿宋_GB2312" w:cs="仿宋_GB2312"/>
                <w:kern w:val="0"/>
                <w:szCs w:val="21"/>
              </w:rPr>
              <w:t>因不可抗力因素需要停止运行部分设备，应提前向监管主体作出书面申请，一年累计停运天数不能超过30天；垃圾处理量应按设备设计能力运行，不宜长期过度超负荷和过度低负荷运行；其他垃圾日进日清，不滞留过夜。</w:t>
            </w:r>
          </w:p>
        </w:tc>
        <w:tc>
          <w:tcPr>
            <w:tcW w:w="1554" w:type="dxa"/>
            <w:noWrap/>
            <w:vAlign w:val="center"/>
          </w:tcPr>
          <w:p w14:paraId="1ED88F45">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监管主体根据运行记录和不定期检查情况进行判定</w:t>
            </w:r>
          </w:p>
        </w:tc>
        <w:tc>
          <w:tcPr>
            <w:tcW w:w="1994" w:type="dxa"/>
            <w:noWrap/>
            <w:vAlign w:val="center"/>
          </w:tcPr>
          <w:p w14:paraId="0D42A60B">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无正当理由不按设计能力处理，每次扣1分；超检修时间，每天扣2分；无正当理由其他垃圾过夜未处理，每次扣2分。</w:t>
            </w:r>
          </w:p>
        </w:tc>
        <w:tc>
          <w:tcPr>
            <w:tcW w:w="886" w:type="dxa"/>
            <w:noWrap/>
            <w:vAlign w:val="center"/>
          </w:tcPr>
          <w:p w14:paraId="437E5FC7">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468BB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25" w:type="dxa"/>
            <w:vMerge w:val="continue"/>
            <w:noWrap/>
            <w:vAlign w:val="center"/>
          </w:tcPr>
          <w:p w14:paraId="6957134D">
            <w:pPr>
              <w:widowControl/>
              <w:jc w:val="left"/>
              <w:rPr>
                <w:rFonts w:hint="eastAsia" w:ascii="仿宋_GB2312" w:hAnsi="仿宋_GB2312" w:eastAsia="仿宋_GB2312" w:cs="仿宋_GB2312"/>
                <w:kern w:val="0"/>
                <w:szCs w:val="21"/>
              </w:rPr>
            </w:pPr>
          </w:p>
        </w:tc>
        <w:tc>
          <w:tcPr>
            <w:tcW w:w="789" w:type="dxa"/>
            <w:vMerge w:val="continue"/>
            <w:noWrap/>
            <w:vAlign w:val="center"/>
          </w:tcPr>
          <w:p w14:paraId="151BC6E0">
            <w:pPr>
              <w:widowControl/>
              <w:jc w:val="left"/>
              <w:rPr>
                <w:rFonts w:hint="eastAsia" w:ascii="仿宋_GB2312" w:hAnsi="仿宋_GB2312" w:eastAsia="仿宋_GB2312" w:cs="仿宋_GB2312"/>
                <w:kern w:val="0"/>
                <w:szCs w:val="21"/>
              </w:rPr>
            </w:pPr>
          </w:p>
        </w:tc>
        <w:tc>
          <w:tcPr>
            <w:tcW w:w="504" w:type="dxa"/>
            <w:vMerge w:val="continue"/>
            <w:noWrap/>
            <w:vAlign w:val="center"/>
          </w:tcPr>
          <w:p w14:paraId="1B302C4F">
            <w:pPr>
              <w:widowControl/>
              <w:jc w:val="left"/>
              <w:rPr>
                <w:rFonts w:hint="eastAsia" w:ascii="仿宋_GB2312" w:hAnsi="仿宋_GB2312" w:eastAsia="仿宋_GB2312" w:cs="仿宋_GB2312"/>
                <w:kern w:val="0"/>
                <w:szCs w:val="21"/>
              </w:rPr>
            </w:pPr>
          </w:p>
        </w:tc>
        <w:tc>
          <w:tcPr>
            <w:tcW w:w="504" w:type="dxa"/>
            <w:vMerge w:val="continue"/>
            <w:noWrap/>
            <w:vAlign w:val="center"/>
          </w:tcPr>
          <w:p w14:paraId="27C722B7">
            <w:pPr>
              <w:widowControl/>
              <w:jc w:val="left"/>
              <w:rPr>
                <w:rFonts w:hint="eastAsia" w:ascii="仿宋_GB2312" w:hAnsi="仿宋_GB2312" w:eastAsia="仿宋_GB2312" w:cs="仿宋_GB2312"/>
                <w:kern w:val="0"/>
                <w:szCs w:val="21"/>
              </w:rPr>
            </w:pPr>
          </w:p>
        </w:tc>
        <w:tc>
          <w:tcPr>
            <w:tcW w:w="3511" w:type="dxa"/>
            <w:noWrap/>
            <w:vAlign w:val="center"/>
          </w:tcPr>
          <w:p w14:paraId="40E29ACF">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压实处理系统：</w:t>
            </w:r>
            <w:r>
              <w:rPr>
                <w:rFonts w:hint="eastAsia" w:ascii="仿宋_GB2312" w:hAnsi="仿宋_GB2312" w:eastAsia="仿宋_GB2312" w:cs="仿宋_GB2312"/>
                <w:kern w:val="0"/>
                <w:szCs w:val="21"/>
              </w:rPr>
              <w:t>压缩过程中箱体不应出现满溢、渗漏现象。</w:t>
            </w:r>
          </w:p>
        </w:tc>
        <w:tc>
          <w:tcPr>
            <w:tcW w:w="1554" w:type="dxa"/>
            <w:noWrap/>
            <w:vAlign w:val="center"/>
          </w:tcPr>
          <w:p w14:paraId="5A5D1713">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监管主体不定期检查</w:t>
            </w:r>
          </w:p>
        </w:tc>
        <w:tc>
          <w:tcPr>
            <w:tcW w:w="1994" w:type="dxa"/>
            <w:noWrap/>
            <w:vAlign w:val="center"/>
          </w:tcPr>
          <w:p w14:paraId="208758C2">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发现不符合要求的，每次扣1分。</w:t>
            </w:r>
          </w:p>
        </w:tc>
        <w:tc>
          <w:tcPr>
            <w:tcW w:w="886" w:type="dxa"/>
            <w:noWrap/>
            <w:vAlign w:val="center"/>
          </w:tcPr>
          <w:p w14:paraId="71D81608">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4A01A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525" w:type="dxa"/>
            <w:vMerge w:val="continue"/>
            <w:noWrap/>
            <w:vAlign w:val="center"/>
          </w:tcPr>
          <w:p w14:paraId="458E29B4">
            <w:pPr>
              <w:widowControl/>
              <w:jc w:val="left"/>
              <w:rPr>
                <w:rFonts w:hint="eastAsia" w:ascii="仿宋_GB2312" w:hAnsi="仿宋_GB2312" w:eastAsia="仿宋_GB2312" w:cs="仿宋_GB2312"/>
                <w:kern w:val="0"/>
                <w:szCs w:val="21"/>
              </w:rPr>
            </w:pPr>
          </w:p>
        </w:tc>
        <w:tc>
          <w:tcPr>
            <w:tcW w:w="789" w:type="dxa"/>
            <w:vMerge w:val="continue"/>
            <w:noWrap/>
            <w:vAlign w:val="center"/>
          </w:tcPr>
          <w:p w14:paraId="1510551D">
            <w:pPr>
              <w:widowControl/>
              <w:jc w:val="left"/>
              <w:rPr>
                <w:rFonts w:hint="eastAsia" w:ascii="仿宋_GB2312" w:hAnsi="仿宋_GB2312" w:eastAsia="仿宋_GB2312" w:cs="仿宋_GB2312"/>
                <w:kern w:val="0"/>
                <w:szCs w:val="21"/>
              </w:rPr>
            </w:pPr>
          </w:p>
        </w:tc>
        <w:tc>
          <w:tcPr>
            <w:tcW w:w="504" w:type="dxa"/>
            <w:vMerge w:val="continue"/>
            <w:noWrap/>
            <w:vAlign w:val="center"/>
          </w:tcPr>
          <w:p w14:paraId="7105CA25">
            <w:pPr>
              <w:widowControl/>
              <w:jc w:val="left"/>
              <w:rPr>
                <w:rFonts w:hint="eastAsia" w:ascii="仿宋_GB2312" w:hAnsi="仿宋_GB2312" w:eastAsia="仿宋_GB2312" w:cs="仿宋_GB2312"/>
                <w:kern w:val="0"/>
                <w:szCs w:val="21"/>
              </w:rPr>
            </w:pPr>
          </w:p>
        </w:tc>
        <w:tc>
          <w:tcPr>
            <w:tcW w:w="504" w:type="dxa"/>
            <w:vMerge w:val="continue"/>
            <w:noWrap/>
            <w:vAlign w:val="center"/>
          </w:tcPr>
          <w:p w14:paraId="3CFEA045">
            <w:pPr>
              <w:widowControl/>
              <w:jc w:val="left"/>
              <w:rPr>
                <w:rFonts w:hint="eastAsia" w:ascii="仿宋_GB2312" w:hAnsi="仿宋_GB2312" w:eastAsia="仿宋_GB2312" w:cs="仿宋_GB2312"/>
                <w:kern w:val="0"/>
                <w:szCs w:val="21"/>
              </w:rPr>
            </w:pPr>
          </w:p>
        </w:tc>
        <w:tc>
          <w:tcPr>
            <w:tcW w:w="3511" w:type="dxa"/>
            <w:noWrap/>
            <w:vAlign w:val="center"/>
          </w:tcPr>
          <w:p w14:paraId="2C111C9F">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渗滤液收集处理系统：</w:t>
            </w:r>
            <w:r>
              <w:rPr>
                <w:rFonts w:hint="eastAsia" w:ascii="仿宋_GB2312" w:hAnsi="仿宋_GB2312" w:eastAsia="仿宋_GB2312" w:cs="仿宋_GB2312"/>
                <w:kern w:val="0"/>
                <w:szCs w:val="21"/>
              </w:rPr>
              <w:t>渗滤液进、出口不得设置旁路阀门、管线；收集的渗滤液应密闭放置，通过渗滤液处理系统或转运至污水处理厂进行处理；污泥应做到脱水后及时清运</w:t>
            </w:r>
          </w:p>
        </w:tc>
        <w:tc>
          <w:tcPr>
            <w:tcW w:w="1554" w:type="dxa"/>
            <w:noWrap/>
            <w:vAlign w:val="center"/>
          </w:tcPr>
          <w:p w14:paraId="7DD29E90">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监管主体不定期检查</w:t>
            </w:r>
          </w:p>
        </w:tc>
        <w:tc>
          <w:tcPr>
            <w:tcW w:w="1994" w:type="dxa"/>
            <w:noWrap/>
            <w:vAlign w:val="center"/>
          </w:tcPr>
          <w:p w14:paraId="4B01DC0E">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发现不符合要求的，每次扣2分。</w:t>
            </w:r>
          </w:p>
        </w:tc>
        <w:tc>
          <w:tcPr>
            <w:tcW w:w="886" w:type="dxa"/>
            <w:noWrap/>
            <w:vAlign w:val="center"/>
          </w:tcPr>
          <w:p w14:paraId="0DEFED9A">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11B8A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525" w:type="dxa"/>
            <w:vMerge w:val="continue"/>
            <w:noWrap/>
            <w:vAlign w:val="center"/>
          </w:tcPr>
          <w:p w14:paraId="1A2E75B8">
            <w:pPr>
              <w:widowControl/>
              <w:jc w:val="left"/>
              <w:rPr>
                <w:rFonts w:hint="eastAsia" w:ascii="仿宋_GB2312" w:hAnsi="仿宋_GB2312" w:eastAsia="仿宋_GB2312" w:cs="仿宋_GB2312"/>
                <w:kern w:val="0"/>
                <w:szCs w:val="21"/>
              </w:rPr>
            </w:pPr>
          </w:p>
        </w:tc>
        <w:tc>
          <w:tcPr>
            <w:tcW w:w="789" w:type="dxa"/>
            <w:vMerge w:val="continue"/>
            <w:noWrap/>
            <w:vAlign w:val="center"/>
          </w:tcPr>
          <w:p w14:paraId="2F7453BE">
            <w:pPr>
              <w:widowControl/>
              <w:jc w:val="left"/>
              <w:rPr>
                <w:rFonts w:hint="eastAsia" w:ascii="仿宋_GB2312" w:hAnsi="仿宋_GB2312" w:eastAsia="仿宋_GB2312" w:cs="仿宋_GB2312"/>
                <w:kern w:val="0"/>
                <w:szCs w:val="21"/>
              </w:rPr>
            </w:pPr>
          </w:p>
        </w:tc>
        <w:tc>
          <w:tcPr>
            <w:tcW w:w="504" w:type="dxa"/>
            <w:vMerge w:val="continue"/>
            <w:noWrap/>
            <w:vAlign w:val="center"/>
          </w:tcPr>
          <w:p w14:paraId="12B45FE6">
            <w:pPr>
              <w:widowControl/>
              <w:jc w:val="left"/>
              <w:rPr>
                <w:rFonts w:hint="eastAsia" w:ascii="仿宋_GB2312" w:hAnsi="仿宋_GB2312" w:eastAsia="仿宋_GB2312" w:cs="仿宋_GB2312"/>
                <w:kern w:val="0"/>
                <w:szCs w:val="21"/>
              </w:rPr>
            </w:pPr>
          </w:p>
        </w:tc>
        <w:tc>
          <w:tcPr>
            <w:tcW w:w="504" w:type="dxa"/>
            <w:vMerge w:val="continue"/>
            <w:noWrap/>
            <w:vAlign w:val="center"/>
          </w:tcPr>
          <w:p w14:paraId="62A2D6CF">
            <w:pPr>
              <w:widowControl/>
              <w:jc w:val="left"/>
              <w:rPr>
                <w:rFonts w:hint="eastAsia" w:ascii="仿宋_GB2312" w:hAnsi="仿宋_GB2312" w:eastAsia="仿宋_GB2312" w:cs="仿宋_GB2312"/>
                <w:kern w:val="0"/>
                <w:szCs w:val="21"/>
              </w:rPr>
            </w:pPr>
          </w:p>
        </w:tc>
        <w:tc>
          <w:tcPr>
            <w:tcW w:w="3511" w:type="dxa"/>
            <w:noWrap/>
            <w:vAlign w:val="center"/>
          </w:tcPr>
          <w:p w14:paraId="35B4E128">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除臭系统：</w:t>
            </w:r>
            <w:r>
              <w:rPr>
                <w:rFonts w:hint="eastAsia" w:ascii="仿宋_GB2312" w:hAnsi="仿宋_GB2312" w:eastAsia="仿宋_GB2312" w:cs="仿宋_GB2312"/>
                <w:kern w:val="0"/>
                <w:szCs w:val="21"/>
              </w:rPr>
              <w:t>卸料大厅除臭装置、废气集中除臭装置运行良好，车间内无臭味；卸料大厅除臭装置用电量、废气集中除臭装置物料用量不得明显偏离正常数值。</w:t>
            </w:r>
          </w:p>
        </w:tc>
        <w:tc>
          <w:tcPr>
            <w:tcW w:w="1554" w:type="dxa"/>
            <w:noWrap/>
            <w:vAlign w:val="center"/>
          </w:tcPr>
          <w:p w14:paraId="1E2B0513">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监管主体不定期检查</w:t>
            </w:r>
          </w:p>
        </w:tc>
        <w:tc>
          <w:tcPr>
            <w:tcW w:w="1994" w:type="dxa"/>
            <w:noWrap/>
            <w:vAlign w:val="center"/>
          </w:tcPr>
          <w:p w14:paraId="7ADDFCDF">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发现除臭设备未开启，一次扣2分；除臭设备用电量、废气集中除臭装置物料用量无正当理由偏离，一次扣2分。</w:t>
            </w:r>
          </w:p>
        </w:tc>
        <w:tc>
          <w:tcPr>
            <w:tcW w:w="886" w:type="dxa"/>
            <w:noWrap/>
            <w:vAlign w:val="center"/>
          </w:tcPr>
          <w:p w14:paraId="61967B74">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687CA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525" w:type="dxa"/>
            <w:vMerge w:val="continue"/>
            <w:noWrap/>
            <w:vAlign w:val="center"/>
          </w:tcPr>
          <w:p w14:paraId="5737DEE9">
            <w:pPr>
              <w:widowControl/>
              <w:jc w:val="left"/>
              <w:rPr>
                <w:rFonts w:hint="eastAsia" w:ascii="仿宋_GB2312" w:hAnsi="仿宋_GB2312" w:eastAsia="仿宋_GB2312" w:cs="仿宋_GB2312"/>
                <w:kern w:val="0"/>
                <w:szCs w:val="21"/>
              </w:rPr>
            </w:pPr>
          </w:p>
        </w:tc>
        <w:tc>
          <w:tcPr>
            <w:tcW w:w="789" w:type="dxa"/>
            <w:vMerge w:val="continue"/>
            <w:noWrap/>
            <w:vAlign w:val="center"/>
          </w:tcPr>
          <w:p w14:paraId="7F29D182">
            <w:pPr>
              <w:widowControl/>
              <w:jc w:val="left"/>
              <w:rPr>
                <w:rFonts w:hint="eastAsia" w:ascii="仿宋_GB2312" w:hAnsi="仿宋_GB2312" w:eastAsia="仿宋_GB2312" w:cs="仿宋_GB2312"/>
                <w:kern w:val="0"/>
                <w:szCs w:val="21"/>
              </w:rPr>
            </w:pPr>
          </w:p>
        </w:tc>
        <w:tc>
          <w:tcPr>
            <w:tcW w:w="504" w:type="dxa"/>
            <w:vMerge w:val="continue"/>
            <w:noWrap/>
            <w:vAlign w:val="center"/>
          </w:tcPr>
          <w:p w14:paraId="01CECEEB">
            <w:pPr>
              <w:widowControl/>
              <w:jc w:val="left"/>
              <w:rPr>
                <w:rFonts w:hint="eastAsia" w:ascii="仿宋_GB2312" w:hAnsi="仿宋_GB2312" w:eastAsia="仿宋_GB2312" w:cs="仿宋_GB2312"/>
                <w:kern w:val="0"/>
                <w:szCs w:val="21"/>
              </w:rPr>
            </w:pPr>
          </w:p>
        </w:tc>
        <w:tc>
          <w:tcPr>
            <w:tcW w:w="504" w:type="dxa"/>
            <w:vMerge w:val="continue"/>
            <w:noWrap/>
            <w:vAlign w:val="center"/>
          </w:tcPr>
          <w:p w14:paraId="62415915">
            <w:pPr>
              <w:widowControl/>
              <w:jc w:val="left"/>
              <w:rPr>
                <w:rFonts w:hint="eastAsia" w:ascii="仿宋_GB2312" w:hAnsi="仿宋_GB2312" w:eastAsia="仿宋_GB2312" w:cs="仿宋_GB2312"/>
                <w:kern w:val="0"/>
                <w:szCs w:val="21"/>
              </w:rPr>
            </w:pPr>
          </w:p>
        </w:tc>
        <w:tc>
          <w:tcPr>
            <w:tcW w:w="3511" w:type="dxa"/>
            <w:noWrap/>
            <w:vAlign w:val="center"/>
          </w:tcPr>
          <w:p w14:paraId="307A7E3E">
            <w:pPr>
              <w:widowControl/>
              <w:jc w:val="left"/>
              <w:rPr>
                <w:rFonts w:hint="eastAsia" w:ascii="仿宋_GB2312" w:hAnsi="仿宋_GB2312" w:eastAsia="仿宋_GB2312" w:cs="仿宋_GB2312"/>
                <w:b/>
                <w:kern w:val="0"/>
                <w:szCs w:val="21"/>
              </w:rPr>
            </w:pPr>
            <w:r>
              <w:rPr>
                <w:rFonts w:hint="eastAsia" w:ascii="仿宋_GB2312" w:hAnsi="仿宋_GB2312" w:eastAsia="仿宋_GB2312" w:cs="仿宋_GB2312"/>
                <w:b/>
                <w:kern w:val="0"/>
                <w:szCs w:val="21"/>
              </w:rPr>
              <w:t>控制室系统：</w:t>
            </w:r>
            <w:r>
              <w:rPr>
                <w:rFonts w:hint="eastAsia" w:ascii="仿宋_GB2312" w:hAnsi="仿宋_GB2312" w:eastAsia="仿宋_GB2312" w:cs="仿宋_GB2312"/>
                <w:kern w:val="0"/>
                <w:szCs w:val="21"/>
              </w:rPr>
              <w:t>厂内视频、生产参数应按要求接入</w:t>
            </w:r>
            <w:r>
              <w:rPr>
                <w:rFonts w:hint="eastAsia" w:ascii="仿宋_GB2312" w:hAnsi="仿宋_GB2312" w:eastAsia="仿宋_GB2312" w:cs="仿宋_GB2312"/>
                <w:szCs w:val="21"/>
              </w:rPr>
              <w:t>监管主体管理平台，并做好日常维护工作</w:t>
            </w:r>
            <w:r>
              <w:rPr>
                <w:rFonts w:hint="eastAsia" w:ascii="仿宋_GB2312" w:hAnsi="仿宋_GB2312" w:eastAsia="仿宋_GB2312" w:cs="仿宋_GB2312"/>
                <w:kern w:val="0"/>
                <w:szCs w:val="21"/>
              </w:rPr>
              <w:t>。</w:t>
            </w:r>
          </w:p>
        </w:tc>
        <w:tc>
          <w:tcPr>
            <w:tcW w:w="1554" w:type="dxa"/>
            <w:noWrap/>
            <w:vAlign w:val="center"/>
          </w:tcPr>
          <w:p w14:paraId="7819BE2B">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监管主体不定期检查</w:t>
            </w:r>
          </w:p>
        </w:tc>
        <w:tc>
          <w:tcPr>
            <w:tcW w:w="1994" w:type="dxa"/>
            <w:noWrap/>
            <w:vAlign w:val="center"/>
          </w:tcPr>
          <w:p w14:paraId="4D97A294">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现场监控及传输设备日常维护不到位，每次扣1分。</w:t>
            </w:r>
          </w:p>
        </w:tc>
        <w:tc>
          <w:tcPr>
            <w:tcW w:w="886" w:type="dxa"/>
            <w:noWrap/>
            <w:vAlign w:val="center"/>
          </w:tcPr>
          <w:p w14:paraId="2730D503">
            <w:pPr>
              <w:widowControl/>
              <w:jc w:val="center"/>
              <w:rPr>
                <w:rFonts w:hint="eastAsia" w:ascii="仿宋_GB2312" w:hAnsi="仿宋_GB2312" w:eastAsia="仿宋_GB2312" w:cs="仿宋_GB2312"/>
                <w:b/>
                <w:bCs/>
                <w:kern w:val="0"/>
                <w:szCs w:val="21"/>
              </w:rPr>
            </w:pPr>
          </w:p>
        </w:tc>
      </w:tr>
      <w:tr w14:paraId="46978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25" w:type="dxa"/>
            <w:vMerge w:val="continue"/>
            <w:noWrap/>
            <w:vAlign w:val="center"/>
          </w:tcPr>
          <w:p w14:paraId="659FDA64">
            <w:pPr>
              <w:widowControl/>
              <w:jc w:val="left"/>
              <w:rPr>
                <w:rFonts w:hint="eastAsia" w:ascii="仿宋_GB2312" w:hAnsi="仿宋_GB2312" w:eastAsia="仿宋_GB2312" w:cs="仿宋_GB2312"/>
                <w:kern w:val="0"/>
                <w:szCs w:val="21"/>
              </w:rPr>
            </w:pPr>
          </w:p>
        </w:tc>
        <w:tc>
          <w:tcPr>
            <w:tcW w:w="789" w:type="dxa"/>
            <w:vMerge w:val="continue"/>
            <w:noWrap/>
            <w:vAlign w:val="center"/>
          </w:tcPr>
          <w:p w14:paraId="678B2558">
            <w:pPr>
              <w:widowControl/>
              <w:jc w:val="left"/>
              <w:rPr>
                <w:rFonts w:hint="eastAsia" w:ascii="仿宋_GB2312" w:hAnsi="仿宋_GB2312" w:eastAsia="仿宋_GB2312" w:cs="仿宋_GB2312"/>
                <w:kern w:val="0"/>
                <w:szCs w:val="21"/>
              </w:rPr>
            </w:pPr>
          </w:p>
        </w:tc>
        <w:tc>
          <w:tcPr>
            <w:tcW w:w="504" w:type="dxa"/>
            <w:vMerge w:val="continue"/>
            <w:noWrap/>
            <w:vAlign w:val="center"/>
          </w:tcPr>
          <w:p w14:paraId="06A5866C">
            <w:pPr>
              <w:widowControl/>
              <w:jc w:val="left"/>
              <w:rPr>
                <w:rFonts w:hint="eastAsia" w:ascii="仿宋_GB2312" w:hAnsi="仿宋_GB2312" w:eastAsia="仿宋_GB2312" w:cs="仿宋_GB2312"/>
                <w:kern w:val="0"/>
                <w:szCs w:val="21"/>
              </w:rPr>
            </w:pPr>
          </w:p>
        </w:tc>
        <w:tc>
          <w:tcPr>
            <w:tcW w:w="504" w:type="dxa"/>
            <w:vMerge w:val="continue"/>
            <w:noWrap/>
            <w:vAlign w:val="center"/>
          </w:tcPr>
          <w:p w14:paraId="1C2F8FD0">
            <w:pPr>
              <w:widowControl/>
              <w:jc w:val="left"/>
              <w:rPr>
                <w:rFonts w:hint="eastAsia" w:ascii="仿宋_GB2312" w:hAnsi="仿宋_GB2312" w:eastAsia="仿宋_GB2312" w:cs="仿宋_GB2312"/>
                <w:kern w:val="0"/>
                <w:szCs w:val="21"/>
              </w:rPr>
            </w:pPr>
          </w:p>
        </w:tc>
        <w:tc>
          <w:tcPr>
            <w:tcW w:w="3511" w:type="dxa"/>
            <w:noWrap/>
            <w:vAlign w:val="center"/>
          </w:tcPr>
          <w:p w14:paraId="42DB827C">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其他运行：</w:t>
            </w:r>
            <w:r>
              <w:rPr>
                <w:rFonts w:hint="eastAsia" w:ascii="仿宋_GB2312" w:hAnsi="仿宋_GB2312" w:eastAsia="仿宋_GB2312" w:cs="仿宋_GB2312"/>
                <w:kern w:val="0"/>
                <w:szCs w:val="21"/>
              </w:rPr>
              <w:t>对于以上运行要求之外的项目，运营方应按照相关规范及要求进行运营。</w:t>
            </w:r>
          </w:p>
        </w:tc>
        <w:tc>
          <w:tcPr>
            <w:tcW w:w="1554" w:type="dxa"/>
            <w:noWrap/>
            <w:vAlign w:val="center"/>
          </w:tcPr>
          <w:p w14:paraId="6591D264">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监管主体不定期检查</w:t>
            </w:r>
          </w:p>
        </w:tc>
        <w:tc>
          <w:tcPr>
            <w:tcW w:w="1994" w:type="dxa"/>
            <w:noWrap/>
            <w:vAlign w:val="center"/>
          </w:tcPr>
          <w:p w14:paraId="1F7677D9">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发现违规情况，每次视严重程度扣1至3分。</w:t>
            </w:r>
          </w:p>
        </w:tc>
        <w:tc>
          <w:tcPr>
            <w:tcW w:w="886" w:type="dxa"/>
            <w:noWrap/>
            <w:vAlign w:val="center"/>
          </w:tcPr>
          <w:p w14:paraId="606C1430">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03B31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525" w:type="dxa"/>
            <w:vMerge w:val="restart"/>
            <w:noWrap/>
            <w:vAlign w:val="center"/>
          </w:tcPr>
          <w:p w14:paraId="724FBA0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三</w:t>
            </w:r>
          </w:p>
        </w:tc>
        <w:tc>
          <w:tcPr>
            <w:tcW w:w="789" w:type="dxa"/>
            <w:vMerge w:val="restart"/>
            <w:noWrap/>
            <w:vAlign w:val="center"/>
          </w:tcPr>
          <w:p w14:paraId="67D7142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高新区城市管理和综合执法局</w:t>
            </w:r>
          </w:p>
        </w:tc>
        <w:tc>
          <w:tcPr>
            <w:tcW w:w="504" w:type="dxa"/>
            <w:vMerge w:val="restart"/>
            <w:noWrap/>
            <w:vAlign w:val="center"/>
          </w:tcPr>
          <w:p w14:paraId="7B24ED3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环保监管</w:t>
            </w:r>
          </w:p>
        </w:tc>
        <w:tc>
          <w:tcPr>
            <w:tcW w:w="504" w:type="dxa"/>
            <w:vMerge w:val="restart"/>
            <w:noWrap/>
            <w:vAlign w:val="center"/>
          </w:tcPr>
          <w:p w14:paraId="2759223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0-20分</w:t>
            </w:r>
          </w:p>
        </w:tc>
        <w:tc>
          <w:tcPr>
            <w:tcW w:w="3511" w:type="dxa"/>
            <w:noWrap/>
            <w:vAlign w:val="center"/>
          </w:tcPr>
          <w:p w14:paraId="61D1EE4C">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环境监测：</w:t>
            </w:r>
            <w:r>
              <w:rPr>
                <w:rFonts w:hint="eastAsia" w:ascii="仿宋_GB2312" w:hAnsi="仿宋_GB2312" w:eastAsia="仿宋_GB2312" w:cs="仿宋_GB2312"/>
                <w:kern w:val="0"/>
                <w:szCs w:val="21"/>
              </w:rPr>
              <w:t>根据国家、省、市现行环保标准和规范、环评批复要求制定环境监测计划，自行或委托有资质第三方实施环境监测，于监测后一个月内提交环境监测报告。环境监测因子和频次应符合国家标准规范。</w:t>
            </w:r>
          </w:p>
        </w:tc>
        <w:tc>
          <w:tcPr>
            <w:tcW w:w="1554" w:type="dxa"/>
            <w:noWrap/>
            <w:vAlign w:val="center"/>
          </w:tcPr>
          <w:p w14:paraId="6F8EE95B">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运营方每年底将次年的监测计划、委托监测单位的资质、采用的标准等实施计划报监管主体。监测结果须及时送达监管主体。</w:t>
            </w:r>
          </w:p>
        </w:tc>
        <w:tc>
          <w:tcPr>
            <w:tcW w:w="1994" w:type="dxa"/>
            <w:noWrap/>
            <w:vAlign w:val="center"/>
          </w:tcPr>
          <w:p w14:paraId="4B0D282B">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未按计划实施监测，每次扣2分，责令补做相关监测；拒不实施，每月每项扣5分；不按时提交监测报告，每次扣1分。</w:t>
            </w:r>
          </w:p>
        </w:tc>
        <w:tc>
          <w:tcPr>
            <w:tcW w:w="886" w:type="dxa"/>
            <w:noWrap/>
            <w:vAlign w:val="center"/>
          </w:tcPr>
          <w:p w14:paraId="6E80A1FD">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3E7C9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5" w:type="dxa"/>
            <w:vMerge w:val="continue"/>
            <w:noWrap/>
            <w:vAlign w:val="center"/>
          </w:tcPr>
          <w:p w14:paraId="4FF55CA5">
            <w:pPr>
              <w:widowControl/>
              <w:jc w:val="left"/>
              <w:rPr>
                <w:rFonts w:hint="eastAsia" w:ascii="仿宋_GB2312" w:hAnsi="仿宋_GB2312" w:eastAsia="仿宋_GB2312" w:cs="仿宋_GB2312"/>
                <w:kern w:val="0"/>
                <w:szCs w:val="21"/>
              </w:rPr>
            </w:pPr>
          </w:p>
        </w:tc>
        <w:tc>
          <w:tcPr>
            <w:tcW w:w="789" w:type="dxa"/>
            <w:vMerge w:val="continue"/>
            <w:noWrap/>
            <w:vAlign w:val="center"/>
          </w:tcPr>
          <w:p w14:paraId="7DE641F8">
            <w:pPr>
              <w:widowControl/>
              <w:jc w:val="left"/>
              <w:rPr>
                <w:rFonts w:hint="eastAsia" w:ascii="仿宋_GB2312" w:hAnsi="仿宋_GB2312" w:eastAsia="仿宋_GB2312" w:cs="仿宋_GB2312"/>
                <w:kern w:val="0"/>
                <w:szCs w:val="21"/>
              </w:rPr>
            </w:pPr>
          </w:p>
        </w:tc>
        <w:tc>
          <w:tcPr>
            <w:tcW w:w="504" w:type="dxa"/>
            <w:vMerge w:val="continue"/>
            <w:noWrap/>
            <w:vAlign w:val="center"/>
          </w:tcPr>
          <w:p w14:paraId="25BCDC65">
            <w:pPr>
              <w:widowControl/>
              <w:jc w:val="left"/>
              <w:rPr>
                <w:rFonts w:hint="eastAsia" w:ascii="仿宋_GB2312" w:hAnsi="仿宋_GB2312" w:eastAsia="仿宋_GB2312" w:cs="仿宋_GB2312"/>
                <w:kern w:val="0"/>
                <w:szCs w:val="21"/>
              </w:rPr>
            </w:pPr>
          </w:p>
        </w:tc>
        <w:tc>
          <w:tcPr>
            <w:tcW w:w="504" w:type="dxa"/>
            <w:vMerge w:val="continue"/>
            <w:noWrap/>
            <w:vAlign w:val="center"/>
          </w:tcPr>
          <w:p w14:paraId="07F92086">
            <w:pPr>
              <w:widowControl/>
              <w:jc w:val="left"/>
              <w:rPr>
                <w:rFonts w:hint="eastAsia" w:ascii="仿宋_GB2312" w:hAnsi="仿宋_GB2312" w:eastAsia="仿宋_GB2312" w:cs="仿宋_GB2312"/>
                <w:kern w:val="0"/>
                <w:szCs w:val="21"/>
              </w:rPr>
            </w:pPr>
          </w:p>
        </w:tc>
        <w:tc>
          <w:tcPr>
            <w:tcW w:w="3511" w:type="dxa"/>
            <w:noWrap/>
            <w:vAlign w:val="center"/>
          </w:tcPr>
          <w:p w14:paraId="6A742121">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环保排放：</w:t>
            </w:r>
            <w:r>
              <w:rPr>
                <w:rFonts w:hint="eastAsia" w:ascii="仿宋_GB2312" w:hAnsi="仿宋_GB2312" w:eastAsia="仿宋_GB2312" w:cs="仿宋_GB2312"/>
                <w:kern w:val="0"/>
                <w:szCs w:val="21"/>
              </w:rPr>
              <w:t>渗滤液、臭气、污泥及噪声应达到环评批复和技术投标文件的要求。</w:t>
            </w:r>
          </w:p>
        </w:tc>
        <w:tc>
          <w:tcPr>
            <w:tcW w:w="1554" w:type="dxa"/>
            <w:noWrap/>
            <w:vAlign w:val="center"/>
          </w:tcPr>
          <w:p w14:paraId="546FB04C">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运营方向监管主体提供监测结果；监管主体监督性监测</w:t>
            </w:r>
          </w:p>
        </w:tc>
        <w:tc>
          <w:tcPr>
            <w:tcW w:w="1994" w:type="dxa"/>
            <w:noWrap/>
            <w:vAlign w:val="center"/>
          </w:tcPr>
          <w:p w14:paraId="1CDF879E">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检测超过标准，每项次扣2分。</w:t>
            </w:r>
          </w:p>
        </w:tc>
        <w:tc>
          <w:tcPr>
            <w:tcW w:w="886" w:type="dxa"/>
            <w:noWrap/>
            <w:vAlign w:val="center"/>
          </w:tcPr>
          <w:p w14:paraId="2C1629FD">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1D65C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jc w:val="center"/>
        </w:trPr>
        <w:tc>
          <w:tcPr>
            <w:tcW w:w="525" w:type="dxa"/>
            <w:vMerge w:val="restart"/>
            <w:noWrap/>
            <w:vAlign w:val="center"/>
          </w:tcPr>
          <w:p w14:paraId="5A0066D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四</w:t>
            </w:r>
          </w:p>
        </w:tc>
        <w:tc>
          <w:tcPr>
            <w:tcW w:w="789" w:type="dxa"/>
            <w:vMerge w:val="restart"/>
            <w:noWrap/>
            <w:vAlign w:val="center"/>
          </w:tcPr>
          <w:p w14:paraId="078C92D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高新区城市管理和综合执法局</w:t>
            </w:r>
          </w:p>
        </w:tc>
        <w:tc>
          <w:tcPr>
            <w:tcW w:w="504" w:type="dxa"/>
            <w:vMerge w:val="restart"/>
            <w:noWrap/>
            <w:vAlign w:val="center"/>
          </w:tcPr>
          <w:p w14:paraId="6837193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安全生产</w:t>
            </w:r>
            <w:r>
              <w:rPr>
                <w:rFonts w:hint="eastAsia" w:ascii="仿宋_GB2312" w:hAnsi="仿宋_GB2312" w:eastAsia="仿宋_GB2312" w:cs="仿宋_GB2312"/>
                <w:kern w:val="0"/>
                <w:szCs w:val="21"/>
              </w:rPr>
              <w:br w:type="textWrapping"/>
            </w:r>
            <w:r>
              <w:rPr>
                <w:rFonts w:hint="eastAsia" w:ascii="仿宋_GB2312" w:hAnsi="仿宋_GB2312" w:eastAsia="仿宋_GB2312" w:cs="仿宋_GB2312"/>
                <w:kern w:val="0"/>
                <w:szCs w:val="21"/>
              </w:rPr>
              <w:t>管理</w:t>
            </w:r>
          </w:p>
        </w:tc>
        <w:tc>
          <w:tcPr>
            <w:tcW w:w="504" w:type="dxa"/>
            <w:vMerge w:val="restart"/>
            <w:noWrap/>
            <w:vAlign w:val="center"/>
          </w:tcPr>
          <w:p w14:paraId="2C7F89F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0-20分</w:t>
            </w:r>
          </w:p>
        </w:tc>
        <w:tc>
          <w:tcPr>
            <w:tcW w:w="3511" w:type="dxa"/>
            <w:noWrap/>
            <w:vAlign w:val="center"/>
          </w:tcPr>
          <w:p w14:paraId="2FA3A3C4">
            <w:pPr>
              <w:widowControl/>
              <w:rPr>
                <w:rFonts w:hint="eastAsia" w:ascii="仿宋_GB2312" w:hAnsi="仿宋_GB2312" w:eastAsia="仿宋_GB2312" w:cs="仿宋_GB2312"/>
                <w:szCs w:val="21"/>
              </w:rPr>
            </w:pPr>
            <w:r>
              <w:rPr>
                <w:rFonts w:hint="eastAsia" w:ascii="仿宋_GB2312" w:hAnsi="仿宋_GB2312" w:eastAsia="仿宋_GB2312" w:cs="仿宋_GB2312"/>
                <w:b/>
                <w:kern w:val="0"/>
                <w:szCs w:val="21"/>
              </w:rPr>
              <w:t>安全管理制度：</w:t>
            </w:r>
            <w:r>
              <w:rPr>
                <w:rFonts w:hint="eastAsia" w:ascii="仿宋_GB2312" w:hAnsi="仿宋_GB2312" w:eastAsia="仿宋_GB2312" w:cs="仿宋_GB2312"/>
                <w:kern w:val="0"/>
                <w:szCs w:val="21"/>
              </w:rPr>
              <w:t>生产过程安全卫生管理应符合现行国家标准《生产过程安全卫生要求总则》（GB12801）的有关规定；应依照法律、法规、规章和国家标准、行业标准，结合工艺流程、技术设备特点制定各岗位安全操作规程；落实安全生产责任制，安全管理制度完善，应当保证具备安全生产条件所必需的资金投入。</w:t>
            </w:r>
          </w:p>
        </w:tc>
        <w:tc>
          <w:tcPr>
            <w:tcW w:w="1554" w:type="dxa"/>
            <w:noWrap/>
            <w:vAlign w:val="center"/>
          </w:tcPr>
          <w:p w14:paraId="17ADAD5E">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运营方需将场内所有的安全管理规定报监管主体备案。监管主体每月组织一次落实安全管理规定的检查。</w:t>
            </w:r>
          </w:p>
        </w:tc>
        <w:tc>
          <w:tcPr>
            <w:tcW w:w="1994" w:type="dxa"/>
            <w:noWrap/>
            <w:vAlign w:val="center"/>
          </w:tcPr>
          <w:p w14:paraId="5602686D">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不及时整改不符合要求的制度和标志的，每次扣1分。</w:t>
            </w:r>
          </w:p>
        </w:tc>
        <w:tc>
          <w:tcPr>
            <w:tcW w:w="886" w:type="dxa"/>
            <w:noWrap/>
            <w:vAlign w:val="center"/>
          </w:tcPr>
          <w:p w14:paraId="20AF17A3">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3D6DE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525" w:type="dxa"/>
            <w:vMerge w:val="continue"/>
            <w:noWrap/>
            <w:vAlign w:val="center"/>
          </w:tcPr>
          <w:p w14:paraId="228BF83A">
            <w:pPr>
              <w:widowControl/>
              <w:jc w:val="left"/>
              <w:rPr>
                <w:rFonts w:hint="eastAsia" w:ascii="仿宋_GB2312" w:hAnsi="仿宋_GB2312" w:eastAsia="仿宋_GB2312" w:cs="仿宋_GB2312"/>
                <w:kern w:val="0"/>
                <w:szCs w:val="21"/>
              </w:rPr>
            </w:pPr>
          </w:p>
        </w:tc>
        <w:tc>
          <w:tcPr>
            <w:tcW w:w="789" w:type="dxa"/>
            <w:vMerge w:val="continue"/>
            <w:noWrap/>
            <w:vAlign w:val="center"/>
          </w:tcPr>
          <w:p w14:paraId="4F876241">
            <w:pPr>
              <w:widowControl/>
              <w:jc w:val="left"/>
              <w:rPr>
                <w:rFonts w:hint="eastAsia" w:ascii="仿宋_GB2312" w:hAnsi="仿宋_GB2312" w:eastAsia="仿宋_GB2312" w:cs="仿宋_GB2312"/>
                <w:kern w:val="0"/>
                <w:szCs w:val="21"/>
              </w:rPr>
            </w:pPr>
          </w:p>
        </w:tc>
        <w:tc>
          <w:tcPr>
            <w:tcW w:w="504" w:type="dxa"/>
            <w:vMerge w:val="continue"/>
            <w:noWrap/>
            <w:vAlign w:val="center"/>
          </w:tcPr>
          <w:p w14:paraId="332A09FA">
            <w:pPr>
              <w:widowControl/>
              <w:jc w:val="left"/>
              <w:rPr>
                <w:rFonts w:hint="eastAsia" w:ascii="仿宋_GB2312" w:hAnsi="仿宋_GB2312" w:eastAsia="仿宋_GB2312" w:cs="仿宋_GB2312"/>
                <w:kern w:val="0"/>
                <w:szCs w:val="21"/>
              </w:rPr>
            </w:pPr>
          </w:p>
        </w:tc>
        <w:tc>
          <w:tcPr>
            <w:tcW w:w="504" w:type="dxa"/>
            <w:vMerge w:val="continue"/>
            <w:noWrap/>
            <w:vAlign w:val="center"/>
          </w:tcPr>
          <w:p w14:paraId="6065E6A8">
            <w:pPr>
              <w:widowControl/>
              <w:jc w:val="left"/>
              <w:rPr>
                <w:rFonts w:hint="eastAsia" w:ascii="仿宋_GB2312" w:hAnsi="仿宋_GB2312" w:eastAsia="仿宋_GB2312" w:cs="仿宋_GB2312"/>
                <w:kern w:val="0"/>
                <w:szCs w:val="21"/>
              </w:rPr>
            </w:pPr>
          </w:p>
        </w:tc>
        <w:tc>
          <w:tcPr>
            <w:tcW w:w="3511" w:type="dxa"/>
            <w:noWrap/>
            <w:vAlign w:val="center"/>
          </w:tcPr>
          <w:p w14:paraId="43B060C1">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安全保障管理：</w:t>
            </w:r>
            <w:r>
              <w:rPr>
                <w:rFonts w:hint="eastAsia" w:ascii="仿宋_GB2312" w:hAnsi="仿宋_GB2312" w:eastAsia="仿宋_GB2312" w:cs="仿宋_GB2312"/>
                <w:kern w:val="0"/>
                <w:szCs w:val="21"/>
              </w:rPr>
              <w:t>保证防火、防爆、防汛、抗震、道路等安全设施完好，并进行定期检查维护。灾害性天气、节假日落实领导值班制度。</w:t>
            </w:r>
          </w:p>
        </w:tc>
        <w:tc>
          <w:tcPr>
            <w:tcW w:w="1554" w:type="dxa"/>
            <w:noWrap/>
            <w:vAlign w:val="center"/>
          </w:tcPr>
          <w:p w14:paraId="61FD2B64">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监管主体定期或不定期检查</w:t>
            </w:r>
          </w:p>
        </w:tc>
        <w:tc>
          <w:tcPr>
            <w:tcW w:w="1994" w:type="dxa"/>
            <w:noWrap/>
            <w:vAlign w:val="center"/>
          </w:tcPr>
          <w:p w14:paraId="5ACD2E47">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发生责任事故，视影响情况扣1-2分；发现安全防范设施、设备损坏等安全隐患未及时整改，每次扣1分；无修复计划扣1分。</w:t>
            </w:r>
          </w:p>
        </w:tc>
        <w:tc>
          <w:tcPr>
            <w:tcW w:w="886" w:type="dxa"/>
            <w:noWrap/>
            <w:vAlign w:val="center"/>
          </w:tcPr>
          <w:p w14:paraId="608BB193">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47ECA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525" w:type="dxa"/>
            <w:vMerge w:val="continue"/>
            <w:noWrap/>
            <w:vAlign w:val="center"/>
          </w:tcPr>
          <w:p w14:paraId="31CAE396">
            <w:pPr>
              <w:widowControl/>
              <w:jc w:val="left"/>
              <w:rPr>
                <w:rFonts w:hint="eastAsia" w:ascii="仿宋_GB2312" w:hAnsi="仿宋_GB2312" w:eastAsia="仿宋_GB2312" w:cs="仿宋_GB2312"/>
                <w:kern w:val="0"/>
                <w:szCs w:val="21"/>
              </w:rPr>
            </w:pPr>
          </w:p>
        </w:tc>
        <w:tc>
          <w:tcPr>
            <w:tcW w:w="789" w:type="dxa"/>
            <w:vMerge w:val="continue"/>
            <w:noWrap/>
            <w:vAlign w:val="center"/>
          </w:tcPr>
          <w:p w14:paraId="7F1A7BEA">
            <w:pPr>
              <w:widowControl/>
              <w:jc w:val="left"/>
              <w:rPr>
                <w:rFonts w:hint="eastAsia" w:ascii="仿宋_GB2312" w:hAnsi="仿宋_GB2312" w:eastAsia="仿宋_GB2312" w:cs="仿宋_GB2312"/>
                <w:kern w:val="0"/>
                <w:szCs w:val="21"/>
              </w:rPr>
            </w:pPr>
          </w:p>
        </w:tc>
        <w:tc>
          <w:tcPr>
            <w:tcW w:w="504" w:type="dxa"/>
            <w:vMerge w:val="continue"/>
            <w:noWrap/>
            <w:vAlign w:val="center"/>
          </w:tcPr>
          <w:p w14:paraId="577A3188">
            <w:pPr>
              <w:widowControl/>
              <w:jc w:val="left"/>
              <w:rPr>
                <w:rFonts w:hint="eastAsia" w:ascii="仿宋_GB2312" w:hAnsi="仿宋_GB2312" w:eastAsia="仿宋_GB2312" w:cs="仿宋_GB2312"/>
                <w:kern w:val="0"/>
                <w:szCs w:val="21"/>
              </w:rPr>
            </w:pPr>
          </w:p>
        </w:tc>
        <w:tc>
          <w:tcPr>
            <w:tcW w:w="504" w:type="dxa"/>
            <w:vMerge w:val="continue"/>
            <w:noWrap/>
            <w:vAlign w:val="center"/>
          </w:tcPr>
          <w:p w14:paraId="7DF09EF3">
            <w:pPr>
              <w:widowControl/>
              <w:jc w:val="left"/>
              <w:rPr>
                <w:rFonts w:hint="eastAsia" w:ascii="仿宋_GB2312" w:hAnsi="仿宋_GB2312" w:eastAsia="仿宋_GB2312" w:cs="仿宋_GB2312"/>
                <w:kern w:val="0"/>
                <w:szCs w:val="21"/>
              </w:rPr>
            </w:pPr>
          </w:p>
        </w:tc>
        <w:tc>
          <w:tcPr>
            <w:tcW w:w="3511" w:type="dxa"/>
            <w:noWrap/>
            <w:vAlign w:val="center"/>
          </w:tcPr>
          <w:p w14:paraId="59EE9383">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安全操作管理：</w:t>
            </w:r>
            <w:r>
              <w:rPr>
                <w:rFonts w:hint="eastAsia" w:ascii="仿宋_GB2312" w:hAnsi="仿宋_GB2312" w:eastAsia="仿宋_GB2312" w:cs="仿宋_GB2312"/>
                <w:kern w:val="0"/>
                <w:szCs w:val="21"/>
              </w:rPr>
              <w:t>按照规范要求进行工人岗位配置，应对员工进行相关法律法规、专业技术、安全防护、环境保护、紧急处理等理论知识和操作技能培训，保证岗位人员应具备相应的从业资质；各岗位工作人员有相应的劳动保护措施。</w:t>
            </w:r>
          </w:p>
        </w:tc>
        <w:tc>
          <w:tcPr>
            <w:tcW w:w="1554" w:type="dxa"/>
            <w:noWrap/>
            <w:vAlign w:val="center"/>
          </w:tcPr>
          <w:p w14:paraId="0AE2A664">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监管主体定期或不定期检查</w:t>
            </w:r>
          </w:p>
        </w:tc>
        <w:tc>
          <w:tcPr>
            <w:tcW w:w="1994" w:type="dxa"/>
            <w:noWrap/>
            <w:vAlign w:val="center"/>
          </w:tcPr>
          <w:p w14:paraId="281A5D7A">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不符合规定的，每项次扣1分。</w:t>
            </w:r>
          </w:p>
        </w:tc>
        <w:tc>
          <w:tcPr>
            <w:tcW w:w="886" w:type="dxa"/>
            <w:noWrap/>
            <w:vAlign w:val="center"/>
          </w:tcPr>
          <w:p w14:paraId="726D99E6">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453FF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jc w:val="center"/>
        </w:trPr>
        <w:tc>
          <w:tcPr>
            <w:tcW w:w="525" w:type="dxa"/>
            <w:vMerge w:val="continue"/>
            <w:noWrap/>
            <w:vAlign w:val="center"/>
          </w:tcPr>
          <w:p w14:paraId="2757F1F7">
            <w:pPr>
              <w:widowControl/>
              <w:jc w:val="left"/>
              <w:rPr>
                <w:rFonts w:hint="eastAsia" w:ascii="仿宋_GB2312" w:hAnsi="仿宋_GB2312" w:eastAsia="仿宋_GB2312" w:cs="仿宋_GB2312"/>
                <w:kern w:val="0"/>
                <w:szCs w:val="21"/>
              </w:rPr>
            </w:pPr>
          </w:p>
        </w:tc>
        <w:tc>
          <w:tcPr>
            <w:tcW w:w="789" w:type="dxa"/>
            <w:vMerge w:val="continue"/>
            <w:noWrap/>
            <w:vAlign w:val="center"/>
          </w:tcPr>
          <w:p w14:paraId="44A87681">
            <w:pPr>
              <w:widowControl/>
              <w:jc w:val="left"/>
              <w:rPr>
                <w:rFonts w:hint="eastAsia" w:ascii="仿宋_GB2312" w:hAnsi="仿宋_GB2312" w:eastAsia="仿宋_GB2312" w:cs="仿宋_GB2312"/>
                <w:kern w:val="0"/>
                <w:szCs w:val="21"/>
              </w:rPr>
            </w:pPr>
          </w:p>
        </w:tc>
        <w:tc>
          <w:tcPr>
            <w:tcW w:w="504" w:type="dxa"/>
            <w:vMerge w:val="continue"/>
            <w:noWrap/>
            <w:vAlign w:val="center"/>
          </w:tcPr>
          <w:p w14:paraId="1E03CEB8">
            <w:pPr>
              <w:widowControl/>
              <w:jc w:val="left"/>
              <w:rPr>
                <w:rFonts w:hint="eastAsia" w:ascii="仿宋_GB2312" w:hAnsi="仿宋_GB2312" w:eastAsia="仿宋_GB2312" w:cs="仿宋_GB2312"/>
                <w:kern w:val="0"/>
                <w:szCs w:val="21"/>
              </w:rPr>
            </w:pPr>
          </w:p>
        </w:tc>
        <w:tc>
          <w:tcPr>
            <w:tcW w:w="504" w:type="dxa"/>
            <w:vMerge w:val="continue"/>
            <w:noWrap/>
            <w:vAlign w:val="center"/>
          </w:tcPr>
          <w:p w14:paraId="1849963F">
            <w:pPr>
              <w:widowControl/>
              <w:jc w:val="left"/>
              <w:rPr>
                <w:rFonts w:hint="eastAsia" w:ascii="仿宋_GB2312" w:hAnsi="仿宋_GB2312" w:eastAsia="仿宋_GB2312" w:cs="仿宋_GB2312"/>
                <w:kern w:val="0"/>
                <w:szCs w:val="21"/>
              </w:rPr>
            </w:pPr>
          </w:p>
        </w:tc>
        <w:tc>
          <w:tcPr>
            <w:tcW w:w="3511" w:type="dxa"/>
            <w:noWrap/>
            <w:vAlign w:val="center"/>
          </w:tcPr>
          <w:p w14:paraId="078A381D">
            <w:pPr>
              <w:widowControl/>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安全生产资金投入：</w:t>
            </w:r>
            <w:r>
              <w:rPr>
                <w:rFonts w:hint="eastAsia" w:ascii="仿宋_GB2312" w:hAnsi="仿宋_GB2312" w:eastAsia="仿宋_GB2312" w:cs="仿宋_GB2312"/>
                <w:kern w:val="0"/>
                <w:szCs w:val="21"/>
              </w:rPr>
              <w:t>应当保证具备安全生产条件所必需的资金投入，安排用于配备劳动防护用品、进行安全生产教育和培训的经费。</w:t>
            </w:r>
          </w:p>
        </w:tc>
        <w:tc>
          <w:tcPr>
            <w:tcW w:w="1554" w:type="dxa"/>
            <w:noWrap/>
            <w:vAlign w:val="center"/>
          </w:tcPr>
          <w:p w14:paraId="38FA1D02">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监管主体定期或不定期检查</w:t>
            </w:r>
          </w:p>
        </w:tc>
        <w:tc>
          <w:tcPr>
            <w:tcW w:w="1994" w:type="dxa"/>
            <w:noWrap/>
            <w:vAlign w:val="center"/>
          </w:tcPr>
          <w:p w14:paraId="0F7FF50A">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发现无安全生产资金投入的扣2分</w:t>
            </w:r>
          </w:p>
        </w:tc>
        <w:tc>
          <w:tcPr>
            <w:tcW w:w="886" w:type="dxa"/>
            <w:noWrap/>
            <w:vAlign w:val="center"/>
          </w:tcPr>
          <w:p w14:paraId="5BCA2CF3">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335C2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9" w:hRule="atLeast"/>
          <w:jc w:val="center"/>
        </w:trPr>
        <w:tc>
          <w:tcPr>
            <w:tcW w:w="525" w:type="dxa"/>
            <w:vMerge w:val="continue"/>
            <w:noWrap/>
            <w:vAlign w:val="center"/>
          </w:tcPr>
          <w:p w14:paraId="265FF493">
            <w:pPr>
              <w:widowControl/>
              <w:jc w:val="center"/>
              <w:rPr>
                <w:rFonts w:hint="eastAsia" w:ascii="仿宋_GB2312" w:hAnsi="仿宋_GB2312" w:eastAsia="仿宋_GB2312" w:cs="仿宋_GB2312"/>
                <w:kern w:val="0"/>
                <w:szCs w:val="21"/>
              </w:rPr>
            </w:pPr>
          </w:p>
        </w:tc>
        <w:tc>
          <w:tcPr>
            <w:tcW w:w="789" w:type="dxa"/>
            <w:vMerge w:val="continue"/>
            <w:noWrap/>
            <w:vAlign w:val="center"/>
          </w:tcPr>
          <w:p w14:paraId="4F458FAB">
            <w:pPr>
              <w:widowControl/>
              <w:jc w:val="center"/>
              <w:rPr>
                <w:rFonts w:hint="eastAsia" w:ascii="仿宋_GB2312" w:hAnsi="仿宋_GB2312" w:eastAsia="仿宋_GB2312" w:cs="仿宋_GB2312"/>
                <w:kern w:val="0"/>
                <w:szCs w:val="21"/>
              </w:rPr>
            </w:pPr>
          </w:p>
        </w:tc>
        <w:tc>
          <w:tcPr>
            <w:tcW w:w="504" w:type="dxa"/>
            <w:vMerge w:val="continue"/>
            <w:noWrap/>
            <w:vAlign w:val="center"/>
          </w:tcPr>
          <w:p w14:paraId="606A1091">
            <w:pPr>
              <w:widowControl/>
              <w:jc w:val="center"/>
              <w:rPr>
                <w:rFonts w:hint="eastAsia" w:ascii="仿宋_GB2312" w:hAnsi="仿宋_GB2312" w:eastAsia="仿宋_GB2312" w:cs="仿宋_GB2312"/>
                <w:kern w:val="0"/>
                <w:szCs w:val="21"/>
              </w:rPr>
            </w:pPr>
          </w:p>
        </w:tc>
        <w:tc>
          <w:tcPr>
            <w:tcW w:w="504" w:type="dxa"/>
            <w:vMerge w:val="continue"/>
            <w:noWrap/>
            <w:vAlign w:val="center"/>
          </w:tcPr>
          <w:p w14:paraId="15E92B0E">
            <w:pPr>
              <w:widowControl/>
              <w:jc w:val="center"/>
              <w:rPr>
                <w:rFonts w:hint="eastAsia" w:ascii="仿宋_GB2312" w:hAnsi="仿宋_GB2312" w:eastAsia="仿宋_GB2312" w:cs="仿宋_GB2312"/>
                <w:kern w:val="0"/>
                <w:szCs w:val="21"/>
              </w:rPr>
            </w:pPr>
          </w:p>
        </w:tc>
        <w:tc>
          <w:tcPr>
            <w:tcW w:w="3511" w:type="dxa"/>
            <w:noWrap/>
            <w:vAlign w:val="center"/>
          </w:tcPr>
          <w:p w14:paraId="435396D7">
            <w:pPr>
              <w:widowControl/>
              <w:jc w:val="left"/>
              <w:rPr>
                <w:rFonts w:hint="eastAsia" w:ascii="仿宋_GB2312" w:hAnsi="仿宋_GB2312" w:eastAsia="仿宋_GB2312" w:cs="仿宋_GB2312"/>
                <w:b/>
                <w:kern w:val="0"/>
                <w:szCs w:val="21"/>
              </w:rPr>
            </w:pPr>
            <w:r>
              <w:rPr>
                <w:rFonts w:hint="eastAsia" w:ascii="仿宋_GB2312" w:hAnsi="仿宋_GB2312" w:eastAsia="仿宋_GB2312" w:cs="仿宋_GB2312"/>
                <w:b/>
                <w:kern w:val="0"/>
                <w:szCs w:val="21"/>
              </w:rPr>
              <w:t>应急管理：</w:t>
            </w:r>
            <w:r>
              <w:rPr>
                <w:rFonts w:hint="eastAsia" w:ascii="仿宋_GB2312" w:hAnsi="仿宋_GB2312" w:eastAsia="仿宋_GB2312" w:cs="仿宋_GB2312"/>
                <w:kern w:val="0"/>
                <w:szCs w:val="21"/>
              </w:rPr>
              <w:t>明确应急管理岗位职责和工作要求；制定事故灾害、公共突发性事件和临时生活垃圾处理等突发事件应急预案，建立应急抢险队伍人员装备物资台账，健全安全应急物资储备保障制度；加强应急知识宣传普及工作，定期开展应急预案演练；遇突发事件时，立即启动相关应急预案，按照有关突发事件和重大事件上报程序及时上报，同时做好先期处理和公共关系应对等。</w:t>
            </w:r>
          </w:p>
        </w:tc>
        <w:tc>
          <w:tcPr>
            <w:tcW w:w="1554" w:type="dxa"/>
            <w:noWrap/>
            <w:vAlign w:val="center"/>
          </w:tcPr>
          <w:p w14:paraId="4532F14C">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运营方要将应急预案和评估结果报送监管主体，监管主体每月组织一次对应急预案要求的设施设备和人员的检查情况。</w:t>
            </w:r>
          </w:p>
        </w:tc>
        <w:tc>
          <w:tcPr>
            <w:tcW w:w="1994" w:type="dxa"/>
            <w:noWrap/>
            <w:vAlign w:val="center"/>
          </w:tcPr>
          <w:p w14:paraId="4694F848">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发现一项未达到应急预案要求的扣1分；未评估的扣1分；未按规定演练的扣2分。</w:t>
            </w:r>
          </w:p>
        </w:tc>
        <w:tc>
          <w:tcPr>
            <w:tcW w:w="886" w:type="dxa"/>
            <w:noWrap/>
            <w:vAlign w:val="center"/>
          </w:tcPr>
          <w:p w14:paraId="7A7C17D3">
            <w:pPr>
              <w:widowControl/>
              <w:jc w:val="center"/>
              <w:rPr>
                <w:rFonts w:hint="eastAsia" w:ascii="仿宋_GB2312" w:hAnsi="仿宋_GB2312" w:eastAsia="仿宋_GB2312" w:cs="仿宋_GB2312"/>
                <w:b/>
                <w:bCs/>
                <w:kern w:val="0"/>
                <w:szCs w:val="21"/>
              </w:rPr>
            </w:pPr>
          </w:p>
        </w:tc>
      </w:tr>
      <w:tr w14:paraId="6F1C2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4" w:hRule="atLeast"/>
          <w:jc w:val="center"/>
        </w:trPr>
        <w:tc>
          <w:tcPr>
            <w:tcW w:w="525" w:type="dxa"/>
            <w:vMerge w:val="restart"/>
            <w:noWrap/>
            <w:vAlign w:val="center"/>
          </w:tcPr>
          <w:p w14:paraId="6109A46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五</w:t>
            </w:r>
          </w:p>
        </w:tc>
        <w:tc>
          <w:tcPr>
            <w:tcW w:w="789" w:type="dxa"/>
            <w:vMerge w:val="restart"/>
            <w:noWrap/>
            <w:vAlign w:val="center"/>
          </w:tcPr>
          <w:p w14:paraId="3D3EF96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高新区城市管理和综合执法局</w:t>
            </w:r>
          </w:p>
        </w:tc>
        <w:tc>
          <w:tcPr>
            <w:tcW w:w="504" w:type="dxa"/>
            <w:vMerge w:val="restart"/>
            <w:noWrap/>
            <w:vAlign w:val="center"/>
          </w:tcPr>
          <w:p w14:paraId="573C66E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日常</w:t>
            </w:r>
            <w:r>
              <w:rPr>
                <w:rFonts w:hint="eastAsia" w:ascii="仿宋_GB2312" w:hAnsi="仿宋_GB2312" w:eastAsia="仿宋_GB2312" w:cs="仿宋_GB2312"/>
                <w:kern w:val="0"/>
                <w:szCs w:val="21"/>
              </w:rPr>
              <w:br w:type="textWrapping"/>
            </w:r>
            <w:r>
              <w:rPr>
                <w:rFonts w:hint="eastAsia" w:ascii="仿宋_GB2312" w:hAnsi="仿宋_GB2312" w:eastAsia="仿宋_GB2312" w:cs="仿宋_GB2312"/>
                <w:kern w:val="0"/>
                <w:szCs w:val="21"/>
              </w:rPr>
              <w:t>管理</w:t>
            </w:r>
          </w:p>
        </w:tc>
        <w:tc>
          <w:tcPr>
            <w:tcW w:w="504" w:type="dxa"/>
            <w:vMerge w:val="restart"/>
            <w:noWrap/>
            <w:vAlign w:val="center"/>
          </w:tcPr>
          <w:p w14:paraId="07B9F10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0-20分</w:t>
            </w:r>
          </w:p>
        </w:tc>
        <w:tc>
          <w:tcPr>
            <w:tcW w:w="3511" w:type="dxa"/>
            <w:noWrap/>
            <w:vAlign w:val="center"/>
          </w:tcPr>
          <w:p w14:paraId="4ECBADC1">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厂容厂貌：</w:t>
            </w:r>
            <w:r>
              <w:rPr>
                <w:rFonts w:hint="eastAsia" w:ascii="仿宋_GB2312" w:hAnsi="仿宋_GB2312" w:eastAsia="仿宋_GB2312" w:cs="仿宋_GB2312"/>
                <w:kern w:val="0"/>
                <w:szCs w:val="21"/>
              </w:rPr>
              <w:t>保责任对厂区环卫保洁和绿化及厂区道路路面、建筑外证厂区厂房、设备干净清洁，无明显污迹，保证整个车间的地面干净、整洁；保证运输生活垃圾的车辆正常、有序、安全地出入卸料区；场内各类标示标牌应保持整洁、醒目，并定期检查更换。</w:t>
            </w:r>
          </w:p>
        </w:tc>
        <w:tc>
          <w:tcPr>
            <w:tcW w:w="1554" w:type="dxa"/>
            <w:noWrap/>
            <w:vAlign w:val="center"/>
          </w:tcPr>
          <w:p w14:paraId="46684C71">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监管主体定期或不定期检查</w:t>
            </w:r>
          </w:p>
        </w:tc>
        <w:tc>
          <w:tcPr>
            <w:tcW w:w="1994" w:type="dxa"/>
            <w:noWrap/>
            <w:vAlign w:val="center"/>
          </w:tcPr>
          <w:p w14:paraId="60364640">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不满足要求的每处扣1分。</w:t>
            </w:r>
          </w:p>
        </w:tc>
        <w:tc>
          <w:tcPr>
            <w:tcW w:w="886" w:type="dxa"/>
            <w:noWrap/>
            <w:vAlign w:val="center"/>
          </w:tcPr>
          <w:p w14:paraId="18B68EED">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4F1EA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1" w:hRule="atLeast"/>
          <w:jc w:val="center"/>
        </w:trPr>
        <w:tc>
          <w:tcPr>
            <w:tcW w:w="525" w:type="dxa"/>
            <w:vMerge w:val="continue"/>
            <w:noWrap/>
            <w:vAlign w:val="center"/>
          </w:tcPr>
          <w:p w14:paraId="41FDF2E3">
            <w:pPr>
              <w:widowControl/>
              <w:jc w:val="left"/>
              <w:rPr>
                <w:rFonts w:hint="eastAsia" w:ascii="仿宋_GB2312" w:hAnsi="仿宋_GB2312" w:eastAsia="仿宋_GB2312" w:cs="仿宋_GB2312"/>
                <w:kern w:val="0"/>
                <w:szCs w:val="21"/>
              </w:rPr>
            </w:pPr>
          </w:p>
        </w:tc>
        <w:tc>
          <w:tcPr>
            <w:tcW w:w="789" w:type="dxa"/>
            <w:vMerge w:val="continue"/>
            <w:noWrap/>
            <w:vAlign w:val="center"/>
          </w:tcPr>
          <w:p w14:paraId="096CAA00">
            <w:pPr>
              <w:widowControl/>
              <w:jc w:val="left"/>
              <w:rPr>
                <w:rFonts w:hint="eastAsia" w:ascii="仿宋_GB2312" w:hAnsi="仿宋_GB2312" w:eastAsia="仿宋_GB2312" w:cs="仿宋_GB2312"/>
                <w:kern w:val="0"/>
                <w:szCs w:val="21"/>
              </w:rPr>
            </w:pPr>
          </w:p>
        </w:tc>
        <w:tc>
          <w:tcPr>
            <w:tcW w:w="504" w:type="dxa"/>
            <w:vMerge w:val="continue"/>
            <w:noWrap/>
            <w:vAlign w:val="center"/>
          </w:tcPr>
          <w:p w14:paraId="0D1A7710">
            <w:pPr>
              <w:widowControl/>
              <w:jc w:val="left"/>
              <w:rPr>
                <w:rFonts w:hint="eastAsia" w:ascii="仿宋_GB2312" w:hAnsi="仿宋_GB2312" w:eastAsia="仿宋_GB2312" w:cs="仿宋_GB2312"/>
                <w:kern w:val="0"/>
                <w:szCs w:val="21"/>
              </w:rPr>
            </w:pPr>
          </w:p>
        </w:tc>
        <w:tc>
          <w:tcPr>
            <w:tcW w:w="504" w:type="dxa"/>
            <w:vMerge w:val="continue"/>
            <w:noWrap/>
            <w:vAlign w:val="center"/>
          </w:tcPr>
          <w:p w14:paraId="61268990">
            <w:pPr>
              <w:widowControl/>
              <w:jc w:val="left"/>
              <w:rPr>
                <w:rFonts w:hint="eastAsia" w:ascii="仿宋_GB2312" w:hAnsi="仿宋_GB2312" w:eastAsia="仿宋_GB2312" w:cs="仿宋_GB2312"/>
                <w:kern w:val="0"/>
                <w:szCs w:val="21"/>
              </w:rPr>
            </w:pPr>
          </w:p>
        </w:tc>
        <w:tc>
          <w:tcPr>
            <w:tcW w:w="3511" w:type="dxa"/>
            <w:noWrap/>
            <w:vAlign w:val="center"/>
          </w:tcPr>
          <w:p w14:paraId="622C9941">
            <w:pPr>
              <w:widowControl/>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维护保养：</w:t>
            </w:r>
            <w:r>
              <w:rPr>
                <w:rFonts w:hint="eastAsia" w:ascii="仿宋_GB2312" w:hAnsi="仿宋_GB2312" w:eastAsia="仿宋_GB2312" w:cs="仿宋_GB2312"/>
                <w:kern w:val="0"/>
                <w:szCs w:val="21"/>
              </w:rPr>
              <w:t>转运站的各种护栏、盖板、爬梯、照明设备等应定期进行检查、维护，并及时处理或更换损坏件；电器控制柜应定期检查、维护；各种闸阀、开关装置应定期检查、调整，并及时更换损坏件；设备的连接件应经常检查和紧固，定期检查，更换联轴器的易损件；各种机械设备除进行必要的日常维护保养外，还应按设计要求进行大、中、小修；维修机械设备时，不得随意搭接临时动力线；建筑物、构筑物等的避雷、防爆装置的测试、检修周期应符合电力和消防部门的规定。其它附属设施应及时维护。</w:t>
            </w:r>
          </w:p>
        </w:tc>
        <w:tc>
          <w:tcPr>
            <w:tcW w:w="1554" w:type="dxa"/>
            <w:noWrap/>
            <w:vAlign w:val="center"/>
          </w:tcPr>
          <w:p w14:paraId="36F93B9B">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监管主体定期或不定期检查</w:t>
            </w:r>
          </w:p>
        </w:tc>
        <w:tc>
          <w:tcPr>
            <w:tcW w:w="1994" w:type="dxa"/>
            <w:noWrap/>
            <w:vAlign w:val="center"/>
          </w:tcPr>
          <w:p w14:paraId="2B3D1FA5">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维护保养不到位的，每次扣1分；拒不实施，扣2分；无实施记录，扣1分；标志牌缺失、污浊，扣1分。</w:t>
            </w:r>
          </w:p>
        </w:tc>
        <w:tc>
          <w:tcPr>
            <w:tcW w:w="886" w:type="dxa"/>
            <w:noWrap/>
            <w:vAlign w:val="center"/>
          </w:tcPr>
          <w:p w14:paraId="6CE5AA80">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41B62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8" w:hRule="atLeast"/>
          <w:jc w:val="center"/>
        </w:trPr>
        <w:tc>
          <w:tcPr>
            <w:tcW w:w="525" w:type="dxa"/>
            <w:vMerge w:val="continue"/>
            <w:noWrap/>
            <w:vAlign w:val="center"/>
          </w:tcPr>
          <w:p w14:paraId="236A448E">
            <w:pPr>
              <w:widowControl/>
              <w:jc w:val="left"/>
              <w:rPr>
                <w:rFonts w:hint="eastAsia" w:ascii="仿宋_GB2312" w:hAnsi="仿宋_GB2312" w:eastAsia="仿宋_GB2312" w:cs="仿宋_GB2312"/>
                <w:kern w:val="0"/>
                <w:szCs w:val="21"/>
              </w:rPr>
            </w:pPr>
          </w:p>
        </w:tc>
        <w:tc>
          <w:tcPr>
            <w:tcW w:w="789" w:type="dxa"/>
            <w:vMerge w:val="continue"/>
            <w:noWrap/>
            <w:vAlign w:val="center"/>
          </w:tcPr>
          <w:p w14:paraId="031E45FE">
            <w:pPr>
              <w:widowControl/>
              <w:jc w:val="left"/>
              <w:rPr>
                <w:rFonts w:hint="eastAsia" w:ascii="仿宋_GB2312" w:hAnsi="仿宋_GB2312" w:eastAsia="仿宋_GB2312" w:cs="仿宋_GB2312"/>
                <w:kern w:val="0"/>
                <w:szCs w:val="21"/>
              </w:rPr>
            </w:pPr>
          </w:p>
        </w:tc>
        <w:tc>
          <w:tcPr>
            <w:tcW w:w="504" w:type="dxa"/>
            <w:vMerge w:val="continue"/>
            <w:noWrap/>
            <w:vAlign w:val="center"/>
          </w:tcPr>
          <w:p w14:paraId="0E4BFB4C">
            <w:pPr>
              <w:widowControl/>
              <w:jc w:val="left"/>
              <w:rPr>
                <w:rFonts w:hint="eastAsia" w:ascii="仿宋_GB2312" w:hAnsi="仿宋_GB2312" w:eastAsia="仿宋_GB2312" w:cs="仿宋_GB2312"/>
                <w:kern w:val="0"/>
                <w:szCs w:val="21"/>
              </w:rPr>
            </w:pPr>
          </w:p>
        </w:tc>
        <w:tc>
          <w:tcPr>
            <w:tcW w:w="504" w:type="dxa"/>
            <w:vMerge w:val="continue"/>
            <w:noWrap/>
            <w:vAlign w:val="center"/>
          </w:tcPr>
          <w:p w14:paraId="7F14B7F4">
            <w:pPr>
              <w:widowControl/>
              <w:jc w:val="left"/>
              <w:rPr>
                <w:rFonts w:hint="eastAsia" w:ascii="仿宋_GB2312" w:hAnsi="仿宋_GB2312" w:eastAsia="仿宋_GB2312" w:cs="仿宋_GB2312"/>
                <w:kern w:val="0"/>
                <w:szCs w:val="21"/>
              </w:rPr>
            </w:pPr>
          </w:p>
        </w:tc>
        <w:tc>
          <w:tcPr>
            <w:tcW w:w="3511" w:type="dxa"/>
            <w:noWrap/>
            <w:vAlign w:val="center"/>
          </w:tcPr>
          <w:p w14:paraId="2129A586">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日常管理：</w:t>
            </w:r>
            <w:r>
              <w:rPr>
                <w:rFonts w:hint="eastAsia" w:ascii="仿宋_GB2312" w:hAnsi="仿宋_GB2312" w:eastAsia="仿宋_GB2312" w:cs="仿宋_GB2312"/>
                <w:kern w:val="0"/>
                <w:szCs w:val="21"/>
              </w:rPr>
              <w:t>如发生地磅故障、主要处理设备重大故障等问题，应在30分钟内通知监管人员，由双方协商处理有关记录数据问题和故障应急处理问题。重大事故按照规定按时上报。</w:t>
            </w:r>
          </w:p>
        </w:tc>
        <w:tc>
          <w:tcPr>
            <w:tcW w:w="1554" w:type="dxa"/>
            <w:noWrap/>
            <w:vAlign w:val="center"/>
          </w:tcPr>
          <w:p w14:paraId="42AF974D">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监管主体定期或不定期检查</w:t>
            </w:r>
          </w:p>
        </w:tc>
        <w:tc>
          <w:tcPr>
            <w:tcW w:w="1994" w:type="dxa"/>
            <w:noWrap/>
            <w:vAlign w:val="center"/>
          </w:tcPr>
          <w:p w14:paraId="06562ECB">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发现未及时通知的情况每次扣1分。</w:t>
            </w:r>
          </w:p>
        </w:tc>
        <w:tc>
          <w:tcPr>
            <w:tcW w:w="886" w:type="dxa"/>
            <w:noWrap/>
            <w:vAlign w:val="center"/>
          </w:tcPr>
          <w:p w14:paraId="712AF473">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14683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525" w:type="dxa"/>
            <w:vMerge w:val="continue"/>
            <w:noWrap/>
            <w:vAlign w:val="center"/>
          </w:tcPr>
          <w:p w14:paraId="0E6671D2">
            <w:pPr>
              <w:widowControl/>
              <w:jc w:val="left"/>
              <w:rPr>
                <w:rFonts w:hint="eastAsia" w:ascii="仿宋_GB2312" w:hAnsi="仿宋_GB2312" w:eastAsia="仿宋_GB2312" w:cs="仿宋_GB2312"/>
                <w:kern w:val="0"/>
                <w:szCs w:val="21"/>
              </w:rPr>
            </w:pPr>
          </w:p>
        </w:tc>
        <w:tc>
          <w:tcPr>
            <w:tcW w:w="789" w:type="dxa"/>
            <w:vMerge w:val="continue"/>
            <w:noWrap/>
            <w:vAlign w:val="center"/>
          </w:tcPr>
          <w:p w14:paraId="1E904B2B">
            <w:pPr>
              <w:widowControl/>
              <w:jc w:val="left"/>
              <w:rPr>
                <w:rFonts w:hint="eastAsia" w:ascii="仿宋_GB2312" w:hAnsi="仿宋_GB2312" w:eastAsia="仿宋_GB2312" w:cs="仿宋_GB2312"/>
                <w:kern w:val="0"/>
                <w:szCs w:val="21"/>
              </w:rPr>
            </w:pPr>
          </w:p>
        </w:tc>
        <w:tc>
          <w:tcPr>
            <w:tcW w:w="504" w:type="dxa"/>
            <w:vMerge w:val="continue"/>
            <w:noWrap/>
            <w:vAlign w:val="center"/>
          </w:tcPr>
          <w:p w14:paraId="12B4FD4E">
            <w:pPr>
              <w:widowControl/>
              <w:jc w:val="left"/>
              <w:rPr>
                <w:rFonts w:hint="eastAsia" w:ascii="仿宋_GB2312" w:hAnsi="仿宋_GB2312" w:eastAsia="仿宋_GB2312" w:cs="仿宋_GB2312"/>
                <w:kern w:val="0"/>
                <w:szCs w:val="21"/>
              </w:rPr>
            </w:pPr>
          </w:p>
        </w:tc>
        <w:tc>
          <w:tcPr>
            <w:tcW w:w="504" w:type="dxa"/>
            <w:vMerge w:val="continue"/>
            <w:noWrap/>
            <w:vAlign w:val="center"/>
          </w:tcPr>
          <w:p w14:paraId="55E4DBC7">
            <w:pPr>
              <w:widowControl/>
              <w:jc w:val="left"/>
              <w:rPr>
                <w:rFonts w:hint="eastAsia" w:ascii="仿宋_GB2312" w:hAnsi="仿宋_GB2312" w:eastAsia="仿宋_GB2312" w:cs="仿宋_GB2312"/>
                <w:kern w:val="0"/>
                <w:szCs w:val="21"/>
              </w:rPr>
            </w:pPr>
          </w:p>
        </w:tc>
        <w:tc>
          <w:tcPr>
            <w:tcW w:w="3511" w:type="dxa"/>
            <w:noWrap/>
            <w:vAlign w:val="center"/>
          </w:tcPr>
          <w:p w14:paraId="2B447DD2">
            <w:pPr>
              <w:widowControl/>
              <w:rPr>
                <w:rFonts w:hint="eastAsia" w:ascii="仿宋_GB2312" w:hAnsi="仿宋_GB2312" w:eastAsia="仿宋_GB2312" w:cs="仿宋_GB2312"/>
                <w:kern w:val="0"/>
                <w:szCs w:val="21"/>
              </w:rPr>
            </w:pPr>
            <w:r>
              <w:rPr>
                <w:rFonts w:hint="eastAsia" w:ascii="仿宋_GB2312" w:hAnsi="仿宋_GB2312" w:eastAsia="仿宋_GB2312" w:cs="仿宋_GB2312"/>
                <w:b/>
                <w:kern w:val="0"/>
                <w:szCs w:val="21"/>
              </w:rPr>
              <w:t>病媒生物防治：</w:t>
            </w:r>
            <w:r>
              <w:rPr>
                <w:rFonts w:hint="eastAsia" w:ascii="仿宋_GB2312" w:hAnsi="仿宋_GB2312" w:eastAsia="仿宋_GB2312" w:cs="仿宋_GB2312"/>
                <w:kern w:val="0"/>
                <w:szCs w:val="21"/>
              </w:rPr>
              <w:t>落实病媒生物预防控制措施，做好相关预防控制工作，制定虫害控制计划，并将虫害控制计划报监管主体；每天保持适当消杀，防止苍蝇滋生。</w:t>
            </w:r>
          </w:p>
        </w:tc>
        <w:tc>
          <w:tcPr>
            <w:tcW w:w="1554" w:type="dxa"/>
            <w:noWrap/>
            <w:vAlign w:val="center"/>
          </w:tcPr>
          <w:p w14:paraId="7ABE3AE8">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监管主体定期或不定期检查</w:t>
            </w:r>
          </w:p>
        </w:tc>
        <w:tc>
          <w:tcPr>
            <w:tcW w:w="1994" w:type="dxa"/>
            <w:noWrap/>
            <w:vAlign w:val="center"/>
          </w:tcPr>
          <w:p w14:paraId="6C83DAAC">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发现无防控计划和实施记录的扣1分；发现车间内苍蝇滋生的扣1分。</w:t>
            </w:r>
          </w:p>
        </w:tc>
        <w:tc>
          <w:tcPr>
            <w:tcW w:w="886" w:type="dxa"/>
            <w:noWrap/>
            <w:vAlign w:val="center"/>
          </w:tcPr>
          <w:p w14:paraId="13043194">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　</w:t>
            </w:r>
          </w:p>
        </w:tc>
      </w:tr>
      <w:tr w14:paraId="44430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525" w:type="dxa"/>
            <w:noWrap/>
            <w:vAlign w:val="center"/>
          </w:tcPr>
          <w:p w14:paraId="668269D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六</w:t>
            </w:r>
          </w:p>
        </w:tc>
        <w:tc>
          <w:tcPr>
            <w:tcW w:w="789" w:type="dxa"/>
            <w:noWrap/>
            <w:vAlign w:val="center"/>
          </w:tcPr>
          <w:p w14:paraId="02D692E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高新区城市管理和综合执法局</w:t>
            </w:r>
          </w:p>
        </w:tc>
        <w:tc>
          <w:tcPr>
            <w:tcW w:w="504" w:type="dxa"/>
            <w:noWrap/>
            <w:vAlign w:val="center"/>
          </w:tcPr>
          <w:p w14:paraId="205F964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奖惩情况</w:t>
            </w:r>
          </w:p>
        </w:tc>
        <w:tc>
          <w:tcPr>
            <w:tcW w:w="504" w:type="dxa"/>
            <w:noWrap/>
            <w:vAlign w:val="center"/>
          </w:tcPr>
          <w:p w14:paraId="179F60C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0-5分</w:t>
            </w:r>
          </w:p>
        </w:tc>
        <w:tc>
          <w:tcPr>
            <w:tcW w:w="3511" w:type="dxa"/>
            <w:noWrap/>
            <w:vAlign w:val="center"/>
          </w:tcPr>
          <w:p w14:paraId="7B70A038">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中、省、市领导点名表扬、批示的；各级媒体正面报道的；相关技术获得市级以上表彰奖励的；</w:t>
            </w:r>
          </w:p>
        </w:tc>
        <w:tc>
          <w:tcPr>
            <w:tcW w:w="1554" w:type="dxa"/>
            <w:noWrap/>
            <w:vAlign w:val="center"/>
          </w:tcPr>
          <w:p w14:paraId="6AECD92E">
            <w:pPr>
              <w:widowControl/>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运营方提供资料，监管主体核实</w:t>
            </w:r>
          </w:p>
        </w:tc>
        <w:tc>
          <w:tcPr>
            <w:tcW w:w="1994" w:type="dxa"/>
            <w:noWrap/>
            <w:vAlign w:val="center"/>
          </w:tcPr>
          <w:p w14:paraId="42B13E7D">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中、省、市领导点名表扬、批示的每次加1分；各级媒体正面报道的每次加0.5分；相关技术获得市级以上表彰奖励的每次加1分；如运营方提供虚假资料，经监管主体核实后，予以顶格扣分处罚。</w:t>
            </w:r>
          </w:p>
        </w:tc>
        <w:tc>
          <w:tcPr>
            <w:tcW w:w="886" w:type="dxa"/>
            <w:noWrap/>
            <w:vAlign w:val="center"/>
          </w:tcPr>
          <w:p w14:paraId="74D11410">
            <w:pPr>
              <w:widowControl/>
              <w:jc w:val="left"/>
              <w:rPr>
                <w:rFonts w:hint="eastAsia" w:ascii="仿宋_GB2312" w:hAnsi="仿宋_GB2312" w:eastAsia="仿宋_GB2312" w:cs="仿宋_GB2312"/>
                <w:b/>
                <w:kern w:val="0"/>
                <w:szCs w:val="21"/>
              </w:rPr>
            </w:pPr>
          </w:p>
        </w:tc>
      </w:tr>
    </w:tbl>
    <w:p w14:paraId="0FB45589">
      <w:pPr>
        <w:adjustRightInd w:val="0"/>
        <w:snapToGrid w:val="0"/>
        <w:spacing w:line="360" w:lineRule="auto"/>
        <w:ind w:left="2650" w:hanging="2650" w:hangingChars="11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br w:type="page"/>
      </w:r>
      <w:r>
        <w:rPr>
          <w:rFonts w:hint="eastAsia" w:ascii="仿宋_GB2312" w:hAnsi="仿宋_GB2312" w:eastAsia="仿宋_GB2312" w:cs="仿宋_GB2312"/>
          <w:b/>
          <w:sz w:val="24"/>
          <w:szCs w:val="24"/>
        </w:rPr>
        <w:t>附件3：</w:t>
      </w:r>
    </w:p>
    <w:p w14:paraId="6E1D987F">
      <w:pPr>
        <w:spacing w:line="560" w:lineRule="exact"/>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8"/>
          <w:szCs w:val="28"/>
        </w:rPr>
        <w:t>西安高新区“厕所革命”检查考核办法</w:t>
      </w:r>
    </w:p>
    <w:p w14:paraId="51146489">
      <w:pPr>
        <w:spacing w:line="5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第一章 总则</w:t>
      </w:r>
    </w:p>
    <w:p w14:paraId="27ACA549">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 xml:space="preserve">第一条 </w:t>
      </w:r>
      <w:r>
        <w:rPr>
          <w:rFonts w:hint="eastAsia" w:ascii="仿宋_GB2312" w:hAnsi="仿宋_GB2312" w:eastAsia="仿宋_GB2312" w:cs="仿宋_GB2312"/>
          <w:sz w:val="24"/>
          <w:szCs w:val="24"/>
        </w:rPr>
        <w:t>为贯彻落实市委、市政府关于“厕所革命”、工作指示精神，充分调动全区公厕管理参与者工作积极性，形成推进高新区“厕所革命”发展的强大合力，进一步提升高新区公厕的管理水平。现依据《西安市“厕所革命”检查考核办法》、《西安市开展“厕所革命”工作实施方案》和《西安市城市市容和环境卫生管理条例》，特制定专项考评奖励办法。</w:t>
      </w:r>
    </w:p>
    <w:p w14:paraId="650EC21E">
      <w:pPr>
        <w:spacing w:line="560" w:lineRule="exact"/>
        <w:ind w:firstLine="480"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第二章 考评原则</w:t>
      </w:r>
    </w:p>
    <w:p w14:paraId="2E297B48">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第二条</w:t>
      </w:r>
      <w:r>
        <w:rPr>
          <w:rFonts w:hint="eastAsia" w:ascii="仿宋_GB2312" w:hAnsi="仿宋_GB2312" w:eastAsia="仿宋_GB2312" w:cs="仿宋_GB2312"/>
          <w:sz w:val="24"/>
          <w:szCs w:val="24"/>
        </w:rPr>
        <w:t xml:space="preserve"> 以奖励先进、激励后进为宗旨，按照“公平、公正、公开”的原则，确保高新区“厕所革命”和工作取得实质成效，促使公厕管理水平迈上新台阶，打造一批符合西安市“国际化大都市”形象的优秀公厕，更好的服务市民群众。</w:t>
      </w:r>
    </w:p>
    <w:p w14:paraId="0C5D4F19">
      <w:pPr>
        <w:spacing w:line="560" w:lineRule="exact"/>
        <w:ind w:firstLine="480"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第三章 考评范围</w:t>
      </w:r>
    </w:p>
    <w:p w14:paraId="7FB77A8C">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第三条</w:t>
      </w:r>
      <w:r>
        <w:rPr>
          <w:rFonts w:hint="eastAsia" w:ascii="仿宋_GB2312" w:hAnsi="仿宋_GB2312" w:eastAsia="仿宋_GB2312" w:cs="仿宋_GB2312"/>
          <w:sz w:val="24"/>
          <w:szCs w:val="24"/>
        </w:rPr>
        <w:t xml:space="preserve"> 本考评范围包含高新区下辖各承包单位管理的公共厕所，重点对公厕日常保洁管理情况进行打分考评。</w:t>
      </w:r>
    </w:p>
    <w:p w14:paraId="68DF82B3">
      <w:pPr>
        <w:spacing w:line="560" w:lineRule="exact"/>
        <w:ind w:firstLine="480"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第四章 检查内容及考核标准</w:t>
      </w:r>
    </w:p>
    <w:p w14:paraId="5E11E083">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第四条</w:t>
      </w:r>
      <w:r>
        <w:rPr>
          <w:rFonts w:hint="eastAsia" w:ascii="仿宋_GB2312" w:hAnsi="仿宋_GB2312" w:eastAsia="仿宋_GB2312" w:cs="仿宋_GB2312"/>
          <w:sz w:val="24"/>
          <w:szCs w:val="24"/>
        </w:rPr>
        <w:t xml:space="preserve"> 考核原则：全区考评一月一评，由高新区城市管理和综合执法局“厕所革命”领导小组办公室统一负责全区“厕所革命”检查考核工作，依据“厕所革命”开展情况，并结合上级领导检查、新闻媒体曝光、群众投诉和检查组每月检查汇总等情况进行综合考评。</w:t>
      </w:r>
    </w:p>
    <w:p w14:paraId="0B016FEA">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第五条</w:t>
      </w:r>
      <w:r>
        <w:rPr>
          <w:rFonts w:hint="eastAsia" w:ascii="仿宋_GB2312" w:hAnsi="仿宋_GB2312" w:eastAsia="仿宋_GB2312" w:cs="仿宋_GB2312"/>
          <w:sz w:val="24"/>
          <w:szCs w:val="24"/>
        </w:rPr>
        <w:t xml:space="preserve"> 检查内容：工作部署、措施推动、日常管理，落实情况。</w:t>
      </w:r>
    </w:p>
    <w:p w14:paraId="5D0C6CCF">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第六条</w:t>
      </w:r>
      <w:r>
        <w:rPr>
          <w:rFonts w:hint="eastAsia" w:ascii="仿宋_GB2312" w:hAnsi="仿宋_GB2312" w:eastAsia="仿宋_GB2312" w:cs="仿宋_GB2312"/>
          <w:sz w:val="24"/>
          <w:szCs w:val="24"/>
        </w:rPr>
        <w:t xml:space="preserve"> 考核方式：全年检查采取日常检查、月考评、定点复查、暗查暗访相结合的检查方式。</w:t>
      </w:r>
    </w:p>
    <w:p w14:paraId="4648A5E7">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第七条</w:t>
      </w:r>
      <w:r>
        <w:rPr>
          <w:rFonts w:hint="eastAsia" w:ascii="仿宋_GB2312" w:hAnsi="仿宋_GB2312" w:eastAsia="仿宋_GB2312" w:cs="仿宋_GB2312"/>
          <w:sz w:val="24"/>
          <w:szCs w:val="24"/>
        </w:rPr>
        <w:t xml:space="preserve"> 考核标准</w:t>
      </w:r>
    </w:p>
    <w:p w14:paraId="54E8BE4C">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（一）公厕设施确保正常使用，能做到随坏随修。</w:t>
      </w:r>
    </w:p>
    <w:p w14:paraId="3E393C48">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日常卫生达到：1.室内卫生做到：“十净、五无、一整洁”。“十净”：地面净、墙壁净、门窗净、蹲位净、隔板净、便池净、洁具净、灯具净、牌匾净、周边环境净。“五无”：墙面无污渍、室内无灰网、便池无尿碱、公厕无剧臭、立面无乱画；“一整洁”：管理间干净整洁无杂物。2.室外周边卫生做到：“三无”。公厕外10米范围内，无烟头、无垃圾杂物，外墙干净、无“野广告”。</w:t>
      </w:r>
    </w:p>
    <w:p w14:paraId="73460FC3">
      <w:pPr>
        <w:spacing w:line="560" w:lineRule="exact"/>
        <w:ind w:firstLine="480"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第五章 评分办法</w:t>
      </w:r>
    </w:p>
    <w:p w14:paraId="204A30C9">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第八条</w:t>
      </w:r>
      <w:r>
        <w:rPr>
          <w:rFonts w:hint="eastAsia" w:ascii="仿宋_GB2312" w:hAnsi="仿宋_GB2312" w:eastAsia="仿宋_GB2312" w:cs="仿宋_GB2312"/>
          <w:sz w:val="24"/>
          <w:szCs w:val="24"/>
        </w:rPr>
        <w:t xml:space="preserve"> 考评基础分为100分，实行累积扣分或加分，全区各承包单位按当月最终实际得分进行排名。</w:t>
      </w:r>
    </w:p>
    <w:p w14:paraId="5B28F3A3">
      <w:pPr>
        <w:spacing w:line="560" w:lineRule="exact"/>
        <w:ind w:firstLine="480"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第六章 追责办法</w:t>
      </w:r>
    </w:p>
    <w:p w14:paraId="7B096460">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第九条</w:t>
      </w:r>
      <w:r>
        <w:rPr>
          <w:rFonts w:hint="eastAsia" w:ascii="仿宋_GB2312" w:hAnsi="仿宋_GB2312" w:eastAsia="仿宋_GB2312" w:cs="仿宋_GB2312"/>
          <w:sz w:val="24"/>
          <w:szCs w:val="24"/>
        </w:rPr>
        <w:t xml:space="preserve"> 处罚标准</w:t>
      </w:r>
    </w:p>
    <w:p w14:paraId="7F0D8A74">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（一）巡查人员日常检查工作中，发现责任区公厕问题严重未处理、影响高新区“厕所革命”工作推进的，经拍照取证核实后，每次给予相关承包单位扣除1分、并处罚1000元。</w:t>
      </w:r>
    </w:p>
    <w:p w14:paraId="2A76DD3A">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（二）月考评由考评小组，对承包单位责任区域内公厕进行全面考核每次抽查两座公厕进行打分考核，考核表取两座公厕平均分，每1分折合月承包费1000元。</w:t>
      </w:r>
    </w:p>
    <w:p w14:paraId="7E2D106A">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（三）按照大数据公厕管理平台，对公厕进行日常管理及监督，对于出现问题未及时整改或整改不到位等问题进行相应处罚。</w:t>
      </w:r>
    </w:p>
    <w:p w14:paraId="42BA7663">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（四）责任区公厕问题严重未处理、被市民投诉反映，影响高新区“厕所革命”工作推进的，经核实后，每次给予相关承包单位扣除1分、并处罚1000元。</w:t>
      </w:r>
    </w:p>
    <w:p w14:paraId="7C84351C">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（五）接待检查、日常工作安排时，不听从上级部门主管调遣、未按要求安排工作或阳奉阴违、不按时整治整改的，每次给予相关承包单位扣除5分、并处罚1000元。</w:t>
      </w:r>
    </w:p>
    <w:p w14:paraId="4B32BE09">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（六）对同一问题反复出现、同一座公厕问题多次整改通报，影响高新区“厕所革命”工作推进的，每次给予相关承包单位扣除5分、并处罚1000元。</w:t>
      </w:r>
    </w:p>
    <w:p w14:paraId="23BA7DED">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（七）“厕所革命”领导小组办公室在全区进行公厕专项检查工作中，发现责任区公厕问题严重未处理、影响高新区“厕所革命”工作推进的，每次给予相关承包单位扣除2分、并处罚2000元。</w:t>
      </w:r>
    </w:p>
    <w:p w14:paraId="26082269">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（八）责任区公厕问题严重未处理、受到区级领导、新闻媒体点名批评或通报的，每次给予相关承包单位扣除5分、并处罚2000元。</w:t>
      </w:r>
    </w:p>
    <w:p w14:paraId="3F63B5B5">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（九）责任区公厕问题严重未处理、受到市级领导、管理部门、新闻媒体点名批评或通报的，每次给予相关承包单位扣除10分、并处罚5000元。</w:t>
      </w:r>
    </w:p>
    <w:p w14:paraId="084422BB">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（十）责任区公厕问题严重未处理、受到省级领导、管理部门、新闻媒体点名批评或通报的，每次给予相关承包单位扣除20分、并处罚5000元。</w:t>
      </w:r>
    </w:p>
    <w:p w14:paraId="6AEE2359">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（十一）责任区公厕问题严重未处理、受到国家级领导、管理部门、新闻媒体点名批评或通报的，给予相关承包单位处罚10000元、并终止合同。</w:t>
      </w:r>
    </w:p>
    <w:p w14:paraId="74DAF462">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（十二）对迎接创卫、创文等重大复审工作中，思想不重视，行动不积极，措施不得力，整改不认真，对复审工作造成恶劣影响的，每次给予相关承包单位10分、并处罚50000元、并终止合同。</w:t>
      </w:r>
    </w:p>
    <w:p w14:paraId="351A394A">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（十三）公厕管理相关人员未经合理流程、请示批准，私自上访，聚众闹事造成恶劣影响的，每次给予相关承包单位扣除20分、并处罚100000元、并终止合同。</w:t>
      </w:r>
    </w:p>
    <w:p w14:paraId="11791EBA">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（十四）如因公厕管理不当，发生重大人身安全、消防安全等事故的，每次给予相关承包单位扣除20分、并处罚100000元、并终止合同。</w:t>
      </w:r>
    </w:p>
    <w:p w14:paraId="14582D9B">
      <w:pPr>
        <w:spacing w:line="560" w:lineRule="exact"/>
        <w:ind w:firstLine="480"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第七章 督办考核</w:t>
      </w:r>
    </w:p>
    <w:p w14:paraId="64892014">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第十条</w:t>
      </w:r>
      <w:r>
        <w:rPr>
          <w:rFonts w:hint="eastAsia" w:ascii="仿宋_GB2312" w:hAnsi="仿宋_GB2312" w:eastAsia="仿宋_GB2312" w:cs="仿宋_GB2312"/>
          <w:sz w:val="24"/>
          <w:szCs w:val="24"/>
        </w:rPr>
        <w:t xml:space="preserve"> 督办考核程序</w:t>
      </w:r>
    </w:p>
    <w:p w14:paraId="69CA507C">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被市级部门通报和区级领导点名批评、以及新闻媒体曝光属实的公厕，由高新区城市管理和综合执法局“厕所革命”领导小组办公室进行督办并全区通报，被通报承包单位当月不得参加全区公厕专项检查评比。</w:t>
      </w:r>
    </w:p>
    <w:p w14:paraId="1870347A">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在日常检查中，“厕所革命”领导小组办公室根据公厕日常管护存在的问题，进行全区通报；对未整改或整改不到位的承包单位，将下达督办单。一次督办仍未整改到位的，将下达二次督办单，并按“处罚标准”相关条例进行处罚，同时抄报区级监察部门和考评部门；二次督办仍未整改到位的，下达三次督办单，并按“处罚标准”相关条例进行处罚，同时抄报区级主要领导，同时该承包单位当月不得参加全区公厕专项检查评比。</w:t>
      </w:r>
    </w:p>
    <w:p w14:paraId="4EDE04F1">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凡在督办问责整改工作过程中存在弄虚作假等严重阻碍“厕所革命”工作推进的单位，“厕所革命”领导小组办公室将报送高新区城市管理和综合执法局，同时向局领导申请由管委会、党工委启动问责追责程序。</w:t>
      </w:r>
    </w:p>
    <w:p w14:paraId="2FD7876C">
      <w:pPr>
        <w:spacing w:line="560" w:lineRule="exact"/>
        <w:ind w:firstLine="480"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第八章 附则</w:t>
      </w:r>
    </w:p>
    <w:p w14:paraId="0B022D73">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 xml:space="preserve">第十一条 </w:t>
      </w:r>
      <w:r>
        <w:rPr>
          <w:rFonts w:hint="eastAsia" w:ascii="仿宋_GB2312" w:hAnsi="仿宋_GB2312" w:eastAsia="仿宋_GB2312" w:cs="仿宋_GB2312"/>
          <w:sz w:val="24"/>
          <w:szCs w:val="24"/>
        </w:rPr>
        <w:t>本检查考核办法由高新区城市管理和综合执法局负责解释，并根据市级管理部门最新相关文件精神给予相应调整。</w:t>
      </w:r>
    </w:p>
    <w:p w14:paraId="12948027">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第十二条</w:t>
      </w:r>
      <w:r>
        <w:rPr>
          <w:rFonts w:hint="eastAsia" w:ascii="仿宋_GB2312" w:hAnsi="仿宋_GB2312" w:eastAsia="仿宋_GB2312" w:cs="仿宋_GB2312"/>
          <w:sz w:val="24"/>
          <w:szCs w:val="24"/>
        </w:rPr>
        <w:t>本检查考核办法附西安市高新区“厕所革命”检查考核打分细则。</w:t>
      </w:r>
    </w:p>
    <w:p w14:paraId="4FC46CA4">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第十三条</w:t>
      </w:r>
      <w:r>
        <w:rPr>
          <w:rFonts w:hint="eastAsia" w:ascii="仿宋_GB2312" w:hAnsi="仿宋_GB2312" w:eastAsia="仿宋_GB2312" w:cs="仿宋_GB2312"/>
          <w:sz w:val="24"/>
          <w:szCs w:val="24"/>
        </w:rPr>
        <w:t>本检查考核办法自公布之日起实施。</w:t>
      </w:r>
    </w:p>
    <w:p w14:paraId="2F3A41EC">
      <w:pPr>
        <w:spacing w:line="560" w:lineRule="exact"/>
        <w:rPr>
          <w:rFonts w:hint="eastAsia" w:ascii="仿宋_GB2312" w:hAnsi="仿宋_GB2312" w:eastAsia="仿宋_GB2312" w:cs="仿宋_GB2312"/>
          <w:sz w:val="24"/>
          <w:szCs w:val="24"/>
        </w:rPr>
        <w:sectPr>
          <w:pgSz w:w="11905" w:h="16838"/>
          <w:pgMar w:top="1440" w:right="1080" w:bottom="1440" w:left="1080" w:header="850" w:footer="975" w:gutter="0"/>
          <w:cols w:space="720" w:num="1"/>
          <w:docGrid w:linePitch="312" w:charSpace="0"/>
        </w:sectPr>
      </w:pPr>
    </w:p>
    <w:p w14:paraId="01E75737">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西安高新区“厕所革命”检查考核细则</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544"/>
        <w:gridCol w:w="544"/>
        <w:gridCol w:w="3886"/>
        <w:gridCol w:w="4526"/>
      </w:tblGrid>
      <w:tr w14:paraId="4ED13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246" w:type="pct"/>
            <w:noWrap w:val="0"/>
            <w:vAlign w:val="center"/>
          </w:tcPr>
          <w:p w14:paraId="3F6B66DC">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363" w:type="pct"/>
            <w:gridSpan w:val="2"/>
            <w:noWrap w:val="0"/>
            <w:vAlign w:val="center"/>
          </w:tcPr>
          <w:p w14:paraId="08FA5855">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考核内容</w:t>
            </w:r>
          </w:p>
        </w:tc>
        <w:tc>
          <w:tcPr>
            <w:tcW w:w="2056" w:type="pct"/>
            <w:noWrap w:val="0"/>
            <w:vAlign w:val="center"/>
          </w:tcPr>
          <w:p w14:paraId="4C2C2098">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具体工作要求</w:t>
            </w:r>
          </w:p>
        </w:tc>
        <w:tc>
          <w:tcPr>
            <w:tcW w:w="2333" w:type="pct"/>
            <w:noWrap w:val="0"/>
            <w:vAlign w:val="center"/>
          </w:tcPr>
          <w:p w14:paraId="10EEC0B7">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扣分标准</w:t>
            </w:r>
          </w:p>
        </w:tc>
      </w:tr>
      <w:tr w14:paraId="4F2FF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246" w:type="pct"/>
            <w:vMerge w:val="restart"/>
            <w:noWrap w:val="0"/>
            <w:vAlign w:val="center"/>
          </w:tcPr>
          <w:p w14:paraId="38A08885">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p>
        </w:tc>
        <w:tc>
          <w:tcPr>
            <w:tcW w:w="363" w:type="pct"/>
            <w:gridSpan w:val="2"/>
            <w:vMerge w:val="restart"/>
            <w:noWrap w:val="0"/>
            <w:textDirection w:val="tbRlV"/>
            <w:vAlign w:val="center"/>
          </w:tcPr>
          <w:p w14:paraId="544464C9">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工作部署</w:t>
            </w:r>
          </w:p>
        </w:tc>
        <w:tc>
          <w:tcPr>
            <w:tcW w:w="2056" w:type="pct"/>
            <w:noWrap w:val="0"/>
            <w:vAlign w:val="center"/>
          </w:tcPr>
          <w:p w14:paraId="6470BBDA">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制定“厕所革命”公厕管理工作方案，成立领导小组。</w:t>
            </w:r>
          </w:p>
        </w:tc>
        <w:tc>
          <w:tcPr>
            <w:tcW w:w="2333" w:type="pct"/>
            <w:noWrap w:val="0"/>
            <w:vAlign w:val="center"/>
          </w:tcPr>
          <w:p w14:paraId="7D665331">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未按照要求制定工作方案，建立领导小组的，“一票否决”，总成绩以0分计算。</w:t>
            </w:r>
          </w:p>
        </w:tc>
      </w:tr>
      <w:tr w14:paraId="7E1BD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246" w:type="pct"/>
            <w:vMerge w:val="continue"/>
            <w:noWrap w:val="0"/>
            <w:vAlign w:val="center"/>
          </w:tcPr>
          <w:p w14:paraId="7BD13E00">
            <w:pPr>
              <w:adjustRightInd w:val="0"/>
              <w:snapToGrid w:val="0"/>
              <w:jc w:val="center"/>
              <w:rPr>
                <w:rFonts w:hint="eastAsia" w:ascii="仿宋_GB2312" w:hAnsi="仿宋_GB2312" w:eastAsia="仿宋_GB2312" w:cs="仿宋_GB2312"/>
                <w:b/>
                <w:bCs/>
                <w:sz w:val="24"/>
                <w:szCs w:val="24"/>
              </w:rPr>
            </w:pPr>
          </w:p>
        </w:tc>
        <w:tc>
          <w:tcPr>
            <w:tcW w:w="363" w:type="pct"/>
            <w:gridSpan w:val="2"/>
            <w:vMerge w:val="continue"/>
            <w:noWrap w:val="0"/>
            <w:vAlign w:val="center"/>
          </w:tcPr>
          <w:p w14:paraId="126A7CCF">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703ADBCB">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按照考核工作要求，制定本单位自检自查办法。</w:t>
            </w:r>
          </w:p>
        </w:tc>
        <w:tc>
          <w:tcPr>
            <w:tcW w:w="2333" w:type="pct"/>
            <w:noWrap w:val="0"/>
            <w:vAlign w:val="center"/>
          </w:tcPr>
          <w:p w14:paraId="11B55EA7">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未按要求制定本单位自检自查办法的，扣10分。</w:t>
            </w:r>
          </w:p>
        </w:tc>
      </w:tr>
      <w:tr w14:paraId="6450E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46" w:type="pct"/>
            <w:vMerge w:val="restart"/>
            <w:noWrap w:val="0"/>
            <w:vAlign w:val="center"/>
          </w:tcPr>
          <w:p w14:paraId="14ACAF47">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2</w:t>
            </w:r>
          </w:p>
        </w:tc>
        <w:tc>
          <w:tcPr>
            <w:tcW w:w="363" w:type="pct"/>
            <w:gridSpan w:val="2"/>
            <w:vMerge w:val="restart"/>
            <w:noWrap w:val="0"/>
            <w:textDirection w:val="tbRlV"/>
            <w:vAlign w:val="center"/>
          </w:tcPr>
          <w:p w14:paraId="7C5F1D07">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措施推动</w:t>
            </w:r>
          </w:p>
        </w:tc>
        <w:tc>
          <w:tcPr>
            <w:tcW w:w="2056" w:type="pct"/>
            <w:noWrap w:val="0"/>
            <w:vAlign w:val="center"/>
          </w:tcPr>
          <w:p w14:paraId="4C76001E">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对本单位管辖公厕的“厕所革命”和公厕管理落实情况开展自查检查工作。</w:t>
            </w:r>
          </w:p>
        </w:tc>
        <w:tc>
          <w:tcPr>
            <w:tcW w:w="2333" w:type="pct"/>
            <w:noWrap w:val="0"/>
            <w:vAlign w:val="center"/>
          </w:tcPr>
          <w:p w14:paraId="04E7BE62">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每月未开展自查检查的，扣3分。</w:t>
            </w:r>
          </w:p>
        </w:tc>
      </w:tr>
      <w:tr w14:paraId="29CF6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246" w:type="pct"/>
            <w:vMerge w:val="continue"/>
            <w:noWrap w:val="0"/>
            <w:vAlign w:val="center"/>
          </w:tcPr>
          <w:p w14:paraId="541F9B5F">
            <w:pPr>
              <w:adjustRightInd w:val="0"/>
              <w:snapToGrid w:val="0"/>
              <w:jc w:val="center"/>
              <w:rPr>
                <w:rFonts w:hint="eastAsia" w:ascii="仿宋_GB2312" w:hAnsi="仿宋_GB2312" w:eastAsia="仿宋_GB2312" w:cs="仿宋_GB2312"/>
                <w:b/>
                <w:bCs/>
                <w:sz w:val="24"/>
                <w:szCs w:val="24"/>
              </w:rPr>
            </w:pPr>
          </w:p>
        </w:tc>
        <w:tc>
          <w:tcPr>
            <w:tcW w:w="363" w:type="pct"/>
            <w:gridSpan w:val="2"/>
            <w:vMerge w:val="continue"/>
            <w:noWrap w:val="0"/>
            <w:vAlign w:val="center"/>
          </w:tcPr>
          <w:p w14:paraId="53882A47">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78E2C9A3">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建立自检自查工作台账。</w:t>
            </w:r>
          </w:p>
        </w:tc>
        <w:tc>
          <w:tcPr>
            <w:tcW w:w="2333" w:type="pct"/>
            <w:noWrap w:val="0"/>
            <w:vAlign w:val="center"/>
          </w:tcPr>
          <w:p w14:paraId="0B7B0BF2">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自检自查工作台账不全的扣3-5分。</w:t>
            </w:r>
          </w:p>
        </w:tc>
      </w:tr>
      <w:tr w14:paraId="07FEE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246" w:type="pct"/>
            <w:vMerge w:val="restart"/>
            <w:noWrap w:val="0"/>
            <w:vAlign w:val="center"/>
          </w:tcPr>
          <w:p w14:paraId="21FEAD3E">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3</w:t>
            </w:r>
          </w:p>
        </w:tc>
        <w:tc>
          <w:tcPr>
            <w:tcW w:w="183" w:type="pct"/>
            <w:vMerge w:val="restart"/>
            <w:noWrap w:val="0"/>
            <w:textDirection w:val="tbRlV"/>
            <w:vAlign w:val="center"/>
          </w:tcPr>
          <w:p w14:paraId="33B6CD56">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日常管理</w:t>
            </w:r>
          </w:p>
        </w:tc>
        <w:tc>
          <w:tcPr>
            <w:tcW w:w="180" w:type="pct"/>
            <w:vMerge w:val="restart"/>
            <w:noWrap w:val="0"/>
            <w:textDirection w:val="tbRlV"/>
            <w:vAlign w:val="center"/>
          </w:tcPr>
          <w:p w14:paraId="49992A65">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规范管理</w:t>
            </w:r>
          </w:p>
        </w:tc>
        <w:tc>
          <w:tcPr>
            <w:tcW w:w="2056" w:type="pct"/>
            <w:noWrap w:val="0"/>
            <w:vAlign w:val="center"/>
          </w:tcPr>
          <w:p w14:paraId="631AD3F5">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公厕管理员着工作服、挂工作牌上岗，做到坚守工作岗位，不脱岗漏岗；未经批准不得随意关停厕所。</w:t>
            </w:r>
          </w:p>
        </w:tc>
        <w:tc>
          <w:tcPr>
            <w:tcW w:w="2333" w:type="pct"/>
            <w:noWrap w:val="0"/>
            <w:vAlign w:val="center"/>
          </w:tcPr>
          <w:p w14:paraId="19B5450E">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公厕管理员未着工服或未挂工牌上岗各扣1分；迟到、早退串岗扣1分，脱岗半小时以内扣2分，半小时以上扣10分。随意关停厕所或关停厕所未告知原因扣10分。</w:t>
            </w:r>
          </w:p>
        </w:tc>
      </w:tr>
      <w:tr w14:paraId="4A43F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46" w:type="pct"/>
            <w:vMerge w:val="continue"/>
            <w:noWrap w:val="0"/>
            <w:vAlign w:val="center"/>
          </w:tcPr>
          <w:p w14:paraId="104545E6">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0B668347">
            <w:pPr>
              <w:adjustRightInd w:val="0"/>
              <w:snapToGrid w:val="0"/>
              <w:jc w:val="center"/>
              <w:rPr>
                <w:rFonts w:hint="eastAsia" w:ascii="仿宋_GB2312" w:hAnsi="仿宋_GB2312" w:eastAsia="仿宋_GB2312" w:cs="仿宋_GB2312"/>
                <w:b/>
                <w:bCs/>
                <w:sz w:val="24"/>
                <w:szCs w:val="24"/>
              </w:rPr>
            </w:pPr>
          </w:p>
        </w:tc>
        <w:tc>
          <w:tcPr>
            <w:tcW w:w="180" w:type="pct"/>
            <w:vMerge w:val="continue"/>
            <w:noWrap w:val="0"/>
            <w:vAlign w:val="center"/>
          </w:tcPr>
          <w:p w14:paraId="5F816CFB">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7E5EC25E">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公厕内外制度牌、标识牌和公示牌完好、悬挂规范，是否明确责任人、职责、监督电话等内容。</w:t>
            </w:r>
          </w:p>
        </w:tc>
        <w:tc>
          <w:tcPr>
            <w:tcW w:w="2333" w:type="pct"/>
            <w:noWrap w:val="0"/>
            <w:vAlign w:val="center"/>
          </w:tcPr>
          <w:p w14:paraId="62DE555C">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制度牌、标示牌、公示牌破损或未规范悬挂或内容不全的，每处扣5分。</w:t>
            </w:r>
          </w:p>
        </w:tc>
      </w:tr>
      <w:tr w14:paraId="5F622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246" w:type="pct"/>
            <w:vMerge w:val="continue"/>
            <w:noWrap w:val="0"/>
            <w:vAlign w:val="center"/>
          </w:tcPr>
          <w:p w14:paraId="57E706BD">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63860505">
            <w:pPr>
              <w:adjustRightInd w:val="0"/>
              <w:snapToGrid w:val="0"/>
              <w:jc w:val="center"/>
              <w:rPr>
                <w:rFonts w:hint="eastAsia" w:ascii="仿宋_GB2312" w:hAnsi="仿宋_GB2312" w:eastAsia="仿宋_GB2312" w:cs="仿宋_GB2312"/>
                <w:b/>
                <w:bCs/>
                <w:sz w:val="24"/>
                <w:szCs w:val="24"/>
              </w:rPr>
            </w:pPr>
          </w:p>
        </w:tc>
        <w:tc>
          <w:tcPr>
            <w:tcW w:w="180" w:type="pct"/>
            <w:vMerge w:val="continue"/>
            <w:noWrap w:val="0"/>
            <w:vAlign w:val="center"/>
          </w:tcPr>
          <w:p w14:paraId="0D32FD63">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32000045">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各公厕“所长”积极落实职责按照检查、反馈、协调、处置、督查“五步工作法”,各项管理记录如实、规范填写。</w:t>
            </w:r>
          </w:p>
        </w:tc>
        <w:tc>
          <w:tcPr>
            <w:tcW w:w="2333" w:type="pct"/>
            <w:noWrap w:val="0"/>
            <w:vAlign w:val="center"/>
          </w:tcPr>
          <w:p w14:paraId="7003E8C0">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《日志本》未按时填写、填写不规范或与实际情况不符的每次扣2分；《检查表》未按时填写、填写不规范或与实际情况不符的每次扣2分。</w:t>
            </w:r>
          </w:p>
        </w:tc>
      </w:tr>
      <w:tr w14:paraId="01F57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246" w:type="pct"/>
            <w:vMerge w:val="continue"/>
            <w:noWrap w:val="0"/>
            <w:vAlign w:val="center"/>
          </w:tcPr>
          <w:p w14:paraId="60366E5A">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6C97EB24">
            <w:pPr>
              <w:adjustRightInd w:val="0"/>
              <w:snapToGrid w:val="0"/>
              <w:jc w:val="center"/>
              <w:rPr>
                <w:rFonts w:hint="eastAsia" w:ascii="仿宋_GB2312" w:hAnsi="仿宋_GB2312" w:eastAsia="仿宋_GB2312" w:cs="仿宋_GB2312"/>
                <w:b/>
                <w:bCs/>
                <w:sz w:val="24"/>
                <w:szCs w:val="24"/>
              </w:rPr>
            </w:pPr>
          </w:p>
        </w:tc>
        <w:tc>
          <w:tcPr>
            <w:tcW w:w="180" w:type="pct"/>
            <w:vMerge w:val="restart"/>
            <w:noWrap w:val="0"/>
            <w:textDirection w:val="tbRlV"/>
            <w:vAlign w:val="center"/>
          </w:tcPr>
          <w:p w14:paraId="63C30505">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卫生质量</w:t>
            </w:r>
          </w:p>
        </w:tc>
        <w:tc>
          <w:tcPr>
            <w:tcW w:w="2056" w:type="pct"/>
            <w:noWrap w:val="0"/>
            <w:vAlign w:val="center"/>
          </w:tcPr>
          <w:p w14:paraId="22A5400A">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厕所内部设施、器具清洁（墙壁、地面、面盆、拖地池、门窗、窗台等）及时清扫保洁，做到厕内无积灰，见脏就扫无污迹、无蛛网、无尘埃、地面无积水、无卫生死角。</w:t>
            </w:r>
          </w:p>
        </w:tc>
        <w:tc>
          <w:tcPr>
            <w:tcW w:w="2333" w:type="pct"/>
            <w:noWrap w:val="0"/>
            <w:vAlign w:val="center"/>
          </w:tcPr>
          <w:p w14:paraId="6BCBFA37">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一处不洁或有积水扣2分。</w:t>
            </w:r>
          </w:p>
        </w:tc>
      </w:tr>
      <w:tr w14:paraId="685D7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246" w:type="pct"/>
            <w:vMerge w:val="continue"/>
            <w:noWrap w:val="0"/>
            <w:vAlign w:val="center"/>
          </w:tcPr>
          <w:p w14:paraId="55FA8399">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7075526D">
            <w:pPr>
              <w:adjustRightInd w:val="0"/>
              <w:snapToGrid w:val="0"/>
              <w:jc w:val="center"/>
              <w:rPr>
                <w:rFonts w:hint="eastAsia" w:ascii="仿宋_GB2312" w:hAnsi="仿宋_GB2312" w:eastAsia="仿宋_GB2312" w:cs="仿宋_GB2312"/>
                <w:b/>
                <w:bCs/>
                <w:sz w:val="24"/>
                <w:szCs w:val="24"/>
              </w:rPr>
            </w:pPr>
          </w:p>
        </w:tc>
        <w:tc>
          <w:tcPr>
            <w:tcW w:w="180" w:type="pct"/>
            <w:vMerge w:val="continue"/>
            <w:noWrap w:val="0"/>
            <w:vAlign w:val="center"/>
          </w:tcPr>
          <w:p w14:paraId="5852DA6B">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0FF39F36">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大小便池畅通；大、小便池无污垢、无尿碱、无污物堵塞，大便池无污垢和排泄物；厕所内无蚊蝇、无异味。</w:t>
            </w:r>
          </w:p>
        </w:tc>
        <w:tc>
          <w:tcPr>
            <w:tcW w:w="2333" w:type="pct"/>
            <w:noWrap w:val="0"/>
            <w:vAlign w:val="center"/>
          </w:tcPr>
          <w:p w14:paraId="0469E960">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大、小便池堵塞或尿碱每处扣2分；大便池有污垢、排泄物扣2分；有蚊蝇扣1分，有异味扣2分。</w:t>
            </w:r>
          </w:p>
        </w:tc>
      </w:tr>
      <w:tr w14:paraId="741F7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46" w:type="pct"/>
            <w:vMerge w:val="continue"/>
            <w:noWrap w:val="0"/>
            <w:vAlign w:val="center"/>
          </w:tcPr>
          <w:p w14:paraId="02693697">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5A712296">
            <w:pPr>
              <w:adjustRightInd w:val="0"/>
              <w:snapToGrid w:val="0"/>
              <w:jc w:val="center"/>
              <w:rPr>
                <w:rFonts w:hint="eastAsia" w:ascii="仿宋_GB2312" w:hAnsi="仿宋_GB2312" w:eastAsia="仿宋_GB2312" w:cs="仿宋_GB2312"/>
                <w:b/>
                <w:bCs/>
                <w:sz w:val="24"/>
                <w:szCs w:val="24"/>
              </w:rPr>
            </w:pPr>
          </w:p>
        </w:tc>
        <w:tc>
          <w:tcPr>
            <w:tcW w:w="180" w:type="pct"/>
            <w:vMerge w:val="continue"/>
            <w:noWrap w:val="0"/>
            <w:vAlign w:val="center"/>
          </w:tcPr>
          <w:p w14:paraId="1528D9A6">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4971ABF4">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休息室、管理间整洁，设施良好、清洁工具定点摆放且放置有序。</w:t>
            </w:r>
          </w:p>
        </w:tc>
        <w:tc>
          <w:tcPr>
            <w:tcW w:w="2333" w:type="pct"/>
            <w:noWrap w:val="0"/>
            <w:vAlign w:val="center"/>
          </w:tcPr>
          <w:p w14:paraId="39CBBB14">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管理间内乱堆乱放，发现一处扣2分；不叠被子或床面、桌面、地面、墙面不整洁，发现一处，扣2分；清洁工具没有固定位置存放或乱摆乱放扣2分。</w:t>
            </w:r>
          </w:p>
        </w:tc>
      </w:tr>
      <w:tr w14:paraId="1CE0B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46" w:type="pct"/>
            <w:vMerge w:val="continue"/>
            <w:noWrap w:val="0"/>
            <w:vAlign w:val="center"/>
          </w:tcPr>
          <w:p w14:paraId="7F0E3752">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7E26E7EF">
            <w:pPr>
              <w:adjustRightInd w:val="0"/>
              <w:snapToGrid w:val="0"/>
              <w:jc w:val="center"/>
              <w:rPr>
                <w:rFonts w:hint="eastAsia" w:ascii="仿宋_GB2312" w:hAnsi="仿宋_GB2312" w:eastAsia="仿宋_GB2312" w:cs="仿宋_GB2312"/>
                <w:b/>
                <w:bCs/>
                <w:sz w:val="24"/>
                <w:szCs w:val="24"/>
              </w:rPr>
            </w:pPr>
          </w:p>
        </w:tc>
        <w:tc>
          <w:tcPr>
            <w:tcW w:w="180" w:type="pct"/>
            <w:vMerge w:val="continue"/>
            <w:noWrap w:val="0"/>
            <w:vAlign w:val="center"/>
          </w:tcPr>
          <w:p w14:paraId="7E4AC3FE">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59A5FB3F">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公厕内外经常保持整洁，无乱刻乱画和“野广告”，厕所周围责任范围内随时保洁。</w:t>
            </w:r>
          </w:p>
        </w:tc>
        <w:tc>
          <w:tcPr>
            <w:tcW w:w="2333" w:type="pct"/>
            <w:noWrap w:val="0"/>
            <w:vAlign w:val="center"/>
          </w:tcPr>
          <w:p w14:paraId="272A975A">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乱刻乱画、“野广告”未及时清理，每处扣2分；公厕有烟头、塑料、纸张、杂物等垃圾或杂物堆放每处扣2分。</w:t>
            </w:r>
          </w:p>
        </w:tc>
      </w:tr>
      <w:tr w14:paraId="4F1CC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246" w:type="pct"/>
            <w:vMerge w:val="continue"/>
            <w:noWrap w:val="0"/>
            <w:vAlign w:val="center"/>
          </w:tcPr>
          <w:p w14:paraId="4D70D1B6">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4845D0EE">
            <w:pPr>
              <w:adjustRightInd w:val="0"/>
              <w:snapToGrid w:val="0"/>
              <w:jc w:val="center"/>
              <w:rPr>
                <w:rFonts w:hint="eastAsia" w:ascii="仿宋_GB2312" w:hAnsi="仿宋_GB2312" w:eastAsia="仿宋_GB2312" w:cs="仿宋_GB2312"/>
                <w:b/>
                <w:bCs/>
                <w:sz w:val="24"/>
                <w:szCs w:val="24"/>
              </w:rPr>
            </w:pPr>
          </w:p>
        </w:tc>
        <w:tc>
          <w:tcPr>
            <w:tcW w:w="180" w:type="pct"/>
            <w:vMerge w:val="continue"/>
            <w:noWrap w:val="0"/>
            <w:vAlign w:val="center"/>
          </w:tcPr>
          <w:p w14:paraId="5B5FB5FA">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612D1D04">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厕内定期更换灭鼠药，蚊蝇孳生期要定时进行消杀。</w:t>
            </w:r>
          </w:p>
        </w:tc>
        <w:tc>
          <w:tcPr>
            <w:tcW w:w="2333" w:type="pct"/>
            <w:noWrap w:val="0"/>
            <w:vAlign w:val="center"/>
          </w:tcPr>
          <w:p w14:paraId="5F2E1B73">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无灭鼠设施，扣5分；灭鼠药未定时更换，每次扣2分；未做到定时消杀蚊蝇，每次扣2分。</w:t>
            </w:r>
          </w:p>
        </w:tc>
      </w:tr>
      <w:tr w14:paraId="5CFF1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46" w:type="pct"/>
            <w:vMerge w:val="continue"/>
            <w:noWrap w:val="0"/>
            <w:vAlign w:val="center"/>
          </w:tcPr>
          <w:p w14:paraId="34F5FC9E">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02AAB630">
            <w:pPr>
              <w:adjustRightInd w:val="0"/>
              <w:snapToGrid w:val="0"/>
              <w:jc w:val="center"/>
              <w:rPr>
                <w:rFonts w:hint="eastAsia" w:ascii="仿宋_GB2312" w:hAnsi="仿宋_GB2312" w:eastAsia="仿宋_GB2312" w:cs="仿宋_GB2312"/>
                <w:b/>
                <w:bCs/>
                <w:sz w:val="24"/>
                <w:szCs w:val="24"/>
              </w:rPr>
            </w:pPr>
          </w:p>
        </w:tc>
        <w:tc>
          <w:tcPr>
            <w:tcW w:w="180" w:type="pct"/>
            <w:noWrap w:val="0"/>
            <w:textDirection w:val="tbRlV"/>
            <w:vAlign w:val="center"/>
          </w:tcPr>
          <w:p w14:paraId="10F7C3C7">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设施管理</w:t>
            </w:r>
          </w:p>
        </w:tc>
        <w:tc>
          <w:tcPr>
            <w:tcW w:w="2056" w:type="pct"/>
            <w:noWrap w:val="0"/>
            <w:vAlign w:val="center"/>
          </w:tcPr>
          <w:p w14:paraId="01467892">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厕所设施完好无损（门、窗、洁具、面盆、灯、排风扇、烘手器、防蚊蝇、防风帘等设施器具）。</w:t>
            </w:r>
          </w:p>
        </w:tc>
        <w:tc>
          <w:tcPr>
            <w:tcW w:w="2333" w:type="pct"/>
            <w:noWrap w:val="0"/>
            <w:vAlign w:val="center"/>
          </w:tcPr>
          <w:p w14:paraId="61179FCB">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每缺少一处扣2分，每损坏一处扣2分。</w:t>
            </w:r>
          </w:p>
        </w:tc>
      </w:tr>
      <w:tr w14:paraId="7DCA7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46" w:type="pct"/>
            <w:vMerge w:val="continue"/>
            <w:noWrap w:val="0"/>
            <w:vAlign w:val="center"/>
          </w:tcPr>
          <w:p w14:paraId="45AD2A4E">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15BEBAFE">
            <w:pPr>
              <w:adjustRightInd w:val="0"/>
              <w:snapToGrid w:val="0"/>
              <w:jc w:val="center"/>
              <w:rPr>
                <w:rFonts w:hint="eastAsia" w:ascii="仿宋_GB2312" w:hAnsi="仿宋_GB2312" w:eastAsia="仿宋_GB2312" w:cs="仿宋_GB2312"/>
                <w:b/>
                <w:bCs/>
                <w:sz w:val="24"/>
                <w:szCs w:val="24"/>
              </w:rPr>
            </w:pPr>
          </w:p>
        </w:tc>
        <w:tc>
          <w:tcPr>
            <w:tcW w:w="180" w:type="pct"/>
            <w:vMerge w:val="restart"/>
            <w:noWrap w:val="0"/>
            <w:textDirection w:val="tbRlV"/>
            <w:vAlign w:val="center"/>
          </w:tcPr>
          <w:p w14:paraId="26107961">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文明服务</w:t>
            </w:r>
          </w:p>
        </w:tc>
        <w:tc>
          <w:tcPr>
            <w:tcW w:w="2056" w:type="pct"/>
            <w:noWrap w:val="0"/>
            <w:vAlign w:val="center"/>
          </w:tcPr>
          <w:p w14:paraId="6C743EC3">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保洁员或卫生管理人员工作热情周到，优质服务，无市民投诉。</w:t>
            </w:r>
          </w:p>
        </w:tc>
        <w:tc>
          <w:tcPr>
            <w:tcW w:w="2333" w:type="pct"/>
            <w:noWrap w:val="0"/>
            <w:vAlign w:val="center"/>
          </w:tcPr>
          <w:p w14:paraId="38763B5C">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发生一般投诉，每次扣3分。</w:t>
            </w:r>
          </w:p>
        </w:tc>
      </w:tr>
      <w:tr w14:paraId="7B21D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246" w:type="pct"/>
            <w:vMerge w:val="continue"/>
            <w:noWrap w:val="0"/>
            <w:vAlign w:val="center"/>
          </w:tcPr>
          <w:p w14:paraId="0DF57F63">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1ADF6090">
            <w:pPr>
              <w:adjustRightInd w:val="0"/>
              <w:snapToGrid w:val="0"/>
              <w:jc w:val="center"/>
              <w:rPr>
                <w:rFonts w:hint="eastAsia" w:ascii="仿宋_GB2312" w:hAnsi="仿宋_GB2312" w:eastAsia="仿宋_GB2312" w:cs="仿宋_GB2312"/>
                <w:b/>
                <w:bCs/>
                <w:sz w:val="24"/>
                <w:szCs w:val="24"/>
              </w:rPr>
            </w:pPr>
          </w:p>
        </w:tc>
        <w:tc>
          <w:tcPr>
            <w:tcW w:w="180" w:type="pct"/>
            <w:vMerge w:val="continue"/>
            <w:noWrap w:val="0"/>
            <w:vAlign w:val="center"/>
          </w:tcPr>
          <w:p w14:paraId="56957145">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115D8C1B">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厕所内有文明用语宣传和文化氛围，卫生承诺和保洁制度公示。</w:t>
            </w:r>
          </w:p>
        </w:tc>
        <w:tc>
          <w:tcPr>
            <w:tcW w:w="2333" w:type="pct"/>
            <w:noWrap w:val="0"/>
            <w:vAlign w:val="center"/>
          </w:tcPr>
          <w:p w14:paraId="16521C65">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无文明用语或文化氛围扣2分；承诺和卫生保洁制度未公示扣2分。</w:t>
            </w:r>
          </w:p>
        </w:tc>
      </w:tr>
      <w:tr w14:paraId="6F14B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246" w:type="pct"/>
            <w:vMerge w:val="restart"/>
            <w:noWrap w:val="0"/>
            <w:vAlign w:val="center"/>
          </w:tcPr>
          <w:p w14:paraId="39744384">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4</w:t>
            </w:r>
          </w:p>
        </w:tc>
        <w:tc>
          <w:tcPr>
            <w:tcW w:w="363" w:type="pct"/>
            <w:gridSpan w:val="2"/>
            <w:vMerge w:val="restart"/>
            <w:noWrap w:val="0"/>
            <w:textDirection w:val="tbRlV"/>
            <w:vAlign w:val="center"/>
          </w:tcPr>
          <w:p w14:paraId="17BAB985">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其  他</w:t>
            </w:r>
          </w:p>
        </w:tc>
        <w:tc>
          <w:tcPr>
            <w:tcW w:w="2056" w:type="pct"/>
            <w:noWrap w:val="0"/>
            <w:vAlign w:val="center"/>
          </w:tcPr>
          <w:p w14:paraId="194C0B6E">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及时对检查发现的公厕日常问题进行整改，并回复整改情况。</w:t>
            </w:r>
          </w:p>
        </w:tc>
        <w:tc>
          <w:tcPr>
            <w:tcW w:w="2333" w:type="pct"/>
            <w:noWrap w:val="0"/>
            <w:vAlign w:val="center"/>
          </w:tcPr>
          <w:p w14:paraId="320A2D66">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未及时整改的每次扣2分；未按时回复整改情况的，每次扣1分。</w:t>
            </w:r>
          </w:p>
        </w:tc>
      </w:tr>
      <w:tr w14:paraId="706DC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46" w:type="pct"/>
            <w:vMerge w:val="continue"/>
            <w:noWrap w:val="0"/>
            <w:vAlign w:val="center"/>
          </w:tcPr>
          <w:p w14:paraId="4F04D95E">
            <w:pPr>
              <w:adjustRightInd w:val="0"/>
              <w:snapToGrid w:val="0"/>
              <w:jc w:val="center"/>
              <w:rPr>
                <w:rFonts w:hint="eastAsia" w:ascii="仿宋_GB2312" w:hAnsi="仿宋_GB2312" w:eastAsia="仿宋_GB2312" w:cs="仿宋_GB2312"/>
                <w:b/>
                <w:bCs/>
                <w:sz w:val="24"/>
                <w:szCs w:val="24"/>
              </w:rPr>
            </w:pPr>
          </w:p>
        </w:tc>
        <w:tc>
          <w:tcPr>
            <w:tcW w:w="363" w:type="pct"/>
            <w:gridSpan w:val="2"/>
            <w:vMerge w:val="continue"/>
            <w:noWrap w:val="0"/>
            <w:vAlign w:val="center"/>
          </w:tcPr>
          <w:p w14:paraId="5A345988">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665846F5">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按规定上报信息、工作资料等。</w:t>
            </w:r>
          </w:p>
        </w:tc>
        <w:tc>
          <w:tcPr>
            <w:tcW w:w="2333" w:type="pct"/>
            <w:noWrap w:val="0"/>
            <w:vAlign w:val="center"/>
          </w:tcPr>
          <w:p w14:paraId="45D62BC5">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未按规定上报信息、工作资料的，每次扣3分。</w:t>
            </w:r>
          </w:p>
        </w:tc>
      </w:tr>
      <w:tr w14:paraId="073C5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46" w:type="pct"/>
            <w:vMerge w:val="continue"/>
            <w:noWrap w:val="0"/>
            <w:vAlign w:val="center"/>
          </w:tcPr>
          <w:p w14:paraId="5F8FC9ED">
            <w:pPr>
              <w:adjustRightInd w:val="0"/>
              <w:snapToGrid w:val="0"/>
              <w:jc w:val="center"/>
              <w:rPr>
                <w:rFonts w:hint="eastAsia" w:ascii="仿宋_GB2312" w:hAnsi="仿宋_GB2312" w:eastAsia="仿宋_GB2312" w:cs="仿宋_GB2312"/>
                <w:b/>
                <w:bCs/>
                <w:sz w:val="24"/>
                <w:szCs w:val="24"/>
              </w:rPr>
            </w:pPr>
          </w:p>
        </w:tc>
        <w:tc>
          <w:tcPr>
            <w:tcW w:w="363" w:type="pct"/>
            <w:gridSpan w:val="2"/>
            <w:vMerge w:val="continue"/>
            <w:noWrap w:val="0"/>
            <w:vAlign w:val="center"/>
          </w:tcPr>
          <w:p w14:paraId="24A297D6">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05B708F5">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按规定参加区级会议及落实会议相关内容。</w:t>
            </w:r>
          </w:p>
        </w:tc>
        <w:tc>
          <w:tcPr>
            <w:tcW w:w="2333" w:type="pct"/>
            <w:noWrap w:val="0"/>
            <w:vAlign w:val="center"/>
          </w:tcPr>
          <w:p w14:paraId="7ACF7454">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未按规定参加会议，每次扣5分；未及时落实会议相关内容，每次扣5分。</w:t>
            </w:r>
          </w:p>
        </w:tc>
      </w:tr>
      <w:tr w14:paraId="53404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46" w:type="pct"/>
            <w:vMerge w:val="continue"/>
            <w:noWrap w:val="0"/>
            <w:vAlign w:val="center"/>
          </w:tcPr>
          <w:p w14:paraId="62B95DCB">
            <w:pPr>
              <w:adjustRightInd w:val="0"/>
              <w:snapToGrid w:val="0"/>
              <w:jc w:val="center"/>
              <w:rPr>
                <w:rFonts w:hint="eastAsia" w:ascii="仿宋_GB2312" w:hAnsi="仿宋_GB2312" w:eastAsia="仿宋_GB2312" w:cs="仿宋_GB2312"/>
                <w:b/>
                <w:bCs/>
                <w:sz w:val="24"/>
                <w:szCs w:val="24"/>
              </w:rPr>
            </w:pPr>
          </w:p>
        </w:tc>
        <w:tc>
          <w:tcPr>
            <w:tcW w:w="363" w:type="pct"/>
            <w:gridSpan w:val="2"/>
            <w:vMerge w:val="continue"/>
            <w:noWrap w:val="0"/>
            <w:vAlign w:val="center"/>
          </w:tcPr>
          <w:p w14:paraId="0AD91ECA">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53E27512">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及时查实、处理群众投诉问题。</w:t>
            </w:r>
          </w:p>
        </w:tc>
        <w:tc>
          <w:tcPr>
            <w:tcW w:w="2333" w:type="pct"/>
            <w:noWrap w:val="0"/>
            <w:vAlign w:val="center"/>
          </w:tcPr>
          <w:p w14:paraId="4BF2FC44">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及时进行整改的扣1分；未按时限对群众投诉问题进行整改的，每次扣5分。</w:t>
            </w:r>
          </w:p>
        </w:tc>
      </w:tr>
      <w:tr w14:paraId="12DC3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246" w:type="pct"/>
            <w:vMerge w:val="continue"/>
            <w:noWrap w:val="0"/>
            <w:vAlign w:val="center"/>
          </w:tcPr>
          <w:p w14:paraId="6A622506">
            <w:pPr>
              <w:adjustRightInd w:val="0"/>
              <w:snapToGrid w:val="0"/>
              <w:jc w:val="center"/>
              <w:rPr>
                <w:rFonts w:hint="eastAsia" w:ascii="仿宋_GB2312" w:hAnsi="仿宋_GB2312" w:eastAsia="仿宋_GB2312" w:cs="仿宋_GB2312"/>
                <w:b/>
                <w:bCs/>
                <w:sz w:val="24"/>
                <w:szCs w:val="24"/>
              </w:rPr>
            </w:pPr>
          </w:p>
        </w:tc>
        <w:tc>
          <w:tcPr>
            <w:tcW w:w="363" w:type="pct"/>
            <w:gridSpan w:val="2"/>
            <w:vMerge w:val="continue"/>
            <w:noWrap w:val="0"/>
            <w:vAlign w:val="center"/>
          </w:tcPr>
          <w:p w14:paraId="6608BF27">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671D7906">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及时对上级通报、媒体曝光的问题进行整改。</w:t>
            </w:r>
          </w:p>
        </w:tc>
        <w:tc>
          <w:tcPr>
            <w:tcW w:w="2333" w:type="pct"/>
            <w:noWrap w:val="0"/>
            <w:vAlign w:val="center"/>
          </w:tcPr>
          <w:p w14:paraId="2112C4BE">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及时整改问题的扣1分；未及时整改的每次扣5分；未按时回复整改情况的，每次扣5分。</w:t>
            </w:r>
          </w:p>
        </w:tc>
      </w:tr>
      <w:tr w14:paraId="183ED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46" w:type="pct"/>
            <w:vMerge w:val="restart"/>
            <w:noWrap w:val="0"/>
            <w:vAlign w:val="center"/>
          </w:tcPr>
          <w:p w14:paraId="705894FF">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5</w:t>
            </w:r>
          </w:p>
        </w:tc>
        <w:tc>
          <w:tcPr>
            <w:tcW w:w="363" w:type="pct"/>
            <w:gridSpan w:val="2"/>
            <w:vMerge w:val="restart"/>
            <w:noWrap w:val="0"/>
            <w:textDirection w:val="tbRlV"/>
            <w:vAlign w:val="center"/>
          </w:tcPr>
          <w:p w14:paraId="01E98EB0">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加分项</w:t>
            </w:r>
          </w:p>
        </w:tc>
        <w:tc>
          <w:tcPr>
            <w:tcW w:w="2056" w:type="pct"/>
            <w:noWrap w:val="0"/>
            <w:vAlign w:val="center"/>
          </w:tcPr>
          <w:p w14:paraId="68836795">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在“厕所革命”工作中创新亮点。</w:t>
            </w:r>
          </w:p>
        </w:tc>
        <w:tc>
          <w:tcPr>
            <w:tcW w:w="2333" w:type="pct"/>
            <w:noWrap w:val="0"/>
            <w:vAlign w:val="center"/>
          </w:tcPr>
          <w:p w14:paraId="796DB6D4">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工作中有创新亮点的，视情况加1-5分。</w:t>
            </w:r>
          </w:p>
        </w:tc>
      </w:tr>
      <w:tr w14:paraId="0781A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46" w:type="pct"/>
            <w:vMerge w:val="continue"/>
            <w:noWrap w:val="0"/>
            <w:vAlign w:val="center"/>
          </w:tcPr>
          <w:p w14:paraId="3563F74F">
            <w:pPr>
              <w:adjustRightInd w:val="0"/>
              <w:snapToGrid w:val="0"/>
              <w:jc w:val="center"/>
              <w:rPr>
                <w:rFonts w:hint="eastAsia" w:ascii="仿宋_GB2312" w:hAnsi="仿宋_GB2312" w:eastAsia="仿宋_GB2312" w:cs="仿宋_GB2312"/>
                <w:b/>
                <w:bCs/>
                <w:sz w:val="24"/>
                <w:szCs w:val="24"/>
              </w:rPr>
            </w:pPr>
          </w:p>
        </w:tc>
        <w:tc>
          <w:tcPr>
            <w:tcW w:w="363" w:type="pct"/>
            <w:gridSpan w:val="2"/>
            <w:vMerge w:val="continue"/>
            <w:noWrap w:val="0"/>
            <w:vAlign w:val="center"/>
          </w:tcPr>
          <w:p w14:paraId="7F05520C">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23C1EBCC">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市级以上媒体进行正面宣传报道。</w:t>
            </w:r>
          </w:p>
        </w:tc>
        <w:tc>
          <w:tcPr>
            <w:tcW w:w="2333" w:type="pct"/>
            <w:noWrap w:val="0"/>
            <w:vAlign w:val="center"/>
          </w:tcPr>
          <w:p w14:paraId="546F32F0">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市级以上媒体进行正面宣传报道的，每次加3分。</w:t>
            </w:r>
          </w:p>
        </w:tc>
      </w:tr>
    </w:tbl>
    <w:p w14:paraId="3235B48D">
      <w:pPr>
        <w:rPr>
          <w:rFonts w:hint="eastAsia"/>
          <w:lang w:val="zh-CN"/>
        </w:rPr>
        <w:sectPr>
          <w:pgSz w:w="11905" w:h="16838"/>
          <w:pgMar w:top="1440" w:right="1080" w:bottom="1440" w:left="1080" w:header="850" w:footer="975" w:gutter="0"/>
          <w:cols w:space="720" w:num="1"/>
          <w:docGrid w:linePitch="312" w:charSpace="0"/>
        </w:sectPr>
      </w:pPr>
    </w:p>
    <w:p w14:paraId="7829A0E7">
      <w:pPr>
        <w:pStyle w:val="8"/>
        <w:tabs>
          <w:tab w:val="left" w:pos="266"/>
        </w:tabs>
        <w:spacing w:line="520" w:lineRule="exact"/>
        <w:outlineLvl w:val="0"/>
        <w:rPr>
          <w:rFonts w:hint="eastAsia" w:ascii="仿宋_GB2312" w:hAnsi="仿宋_GB2312" w:eastAsia="仿宋_GB2312" w:cs="仿宋_GB2312"/>
          <w:b/>
          <w:sz w:val="24"/>
          <w:szCs w:val="24"/>
        </w:rPr>
      </w:pPr>
      <w:bookmarkStart w:id="7" w:name="_Toc83"/>
      <w:r>
        <w:rPr>
          <w:rFonts w:hint="eastAsia" w:ascii="仿宋_GB2312" w:hAnsi="仿宋_GB2312" w:eastAsia="仿宋_GB2312" w:cs="仿宋_GB2312"/>
          <w:b/>
          <w:sz w:val="24"/>
          <w:szCs w:val="24"/>
        </w:rPr>
        <w:t>附件4：</w:t>
      </w:r>
      <w:bookmarkEnd w:id="7"/>
    </w:p>
    <w:p w14:paraId="42D56ABB">
      <w:pPr>
        <w:pStyle w:val="8"/>
        <w:tabs>
          <w:tab w:val="left" w:pos="266"/>
        </w:tabs>
        <w:spacing w:line="520" w:lineRule="exact"/>
        <w:jc w:val="center"/>
        <w:outlineLvl w:val="0"/>
        <w:rPr>
          <w:rFonts w:hint="eastAsia" w:ascii="仿宋_GB2312" w:hAnsi="仿宋_GB2312" w:eastAsia="仿宋_GB2312" w:cs="仿宋_GB2312"/>
          <w:b/>
          <w:sz w:val="28"/>
          <w:szCs w:val="28"/>
        </w:rPr>
      </w:pPr>
      <w:bookmarkStart w:id="8" w:name="_Toc8686"/>
      <w:r>
        <w:rPr>
          <w:rFonts w:hint="eastAsia" w:ascii="仿宋_GB2312" w:hAnsi="仿宋_GB2312" w:eastAsia="仿宋_GB2312" w:cs="仿宋_GB2312"/>
          <w:b/>
          <w:sz w:val="28"/>
          <w:szCs w:val="28"/>
        </w:rPr>
        <w:t>西安高新</w:t>
      </w:r>
      <w:bookmarkStart w:id="9" w:name="_Toc531634271"/>
      <w:bookmarkStart w:id="10" w:name="_Toc531634430"/>
      <w:r>
        <w:rPr>
          <w:rFonts w:hint="eastAsia" w:ascii="仿宋_GB2312" w:hAnsi="仿宋_GB2312" w:eastAsia="仿宋_GB2312" w:cs="仿宋_GB2312"/>
          <w:b/>
          <w:sz w:val="28"/>
          <w:szCs w:val="28"/>
        </w:rPr>
        <w:t>区城市绿地管理养护考核办法</w:t>
      </w:r>
      <w:bookmarkEnd w:id="9"/>
      <w:bookmarkEnd w:id="10"/>
      <w:bookmarkStart w:id="11" w:name="_Toc23536"/>
      <w:r>
        <w:rPr>
          <w:rFonts w:hint="eastAsia" w:ascii="仿宋_GB2312" w:hAnsi="仿宋_GB2312" w:eastAsia="仿宋_GB2312" w:cs="仿宋_GB2312"/>
          <w:b/>
          <w:sz w:val="28"/>
          <w:szCs w:val="28"/>
        </w:rPr>
        <w:t>（2025版）</w:t>
      </w:r>
      <w:bookmarkEnd w:id="8"/>
      <w:bookmarkEnd w:id="11"/>
    </w:p>
    <w:p w14:paraId="407635A5">
      <w:pPr>
        <w:pStyle w:val="8"/>
        <w:tabs>
          <w:tab w:val="left" w:pos="266"/>
        </w:tabs>
        <w:spacing w:line="520" w:lineRule="exact"/>
        <w:ind w:left="2650" w:hanging="2650" w:hangingChars="1100"/>
        <w:rPr>
          <w:rFonts w:hint="eastAsia" w:ascii="仿宋_GB2312" w:hAnsi="仿宋_GB2312" w:eastAsia="仿宋_GB2312" w:cs="仿宋_GB2312"/>
          <w:b/>
          <w:sz w:val="24"/>
          <w:szCs w:val="24"/>
        </w:rPr>
      </w:pPr>
    </w:p>
    <w:p w14:paraId="077426E3">
      <w:pPr>
        <w:pStyle w:val="2"/>
        <w:keepLines/>
        <w:widowControl/>
        <w:numPr>
          <w:ilvl w:val="0"/>
          <w:numId w:val="4"/>
        </w:numPr>
        <w:tabs>
          <w:tab w:val="left" w:pos="266"/>
        </w:tabs>
        <w:kinsoku w:val="0"/>
        <w:autoSpaceDE w:val="0"/>
        <w:autoSpaceDN w:val="0"/>
        <w:adjustRightInd w:val="0"/>
        <w:snapToGrid w:val="0"/>
        <w:spacing w:line="520" w:lineRule="exact"/>
        <w:textAlignment w:val="baseline"/>
        <w:rPr>
          <w:rFonts w:hint="eastAsia" w:ascii="仿宋_GB2312" w:hAnsi="仿宋_GB2312" w:eastAsia="仿宋_GB2312" w:cs="仿宋_GB2312"/>
          <w:sz w:val="24"/>
          <w:szCs w:val="24"/>
        </w:rPr>
      </w:pPr>
      <w:bookmarkStart w:id="12" w:name="_Toc27576"/>
      <w:bookmarkStart w:id="13" w:name="_Toc5933"/>
      <w:r>
        <w:rPr>
          <w:rFonts w:hint="eastAsia" w:ascii="仿宋_GB2312" w:hAnsi="仿宋_GB2312" w:eastAsia="仿宋_GB2312" w:cs="仿宋_GB2312"/>
          <w:sz w:val="24"/>
          <w:szCs w:val="24"/>
        </w:rPr>
        <w:t>总 则</w:t>
      </w:r>
      <w:bookmarkEnd w:id="12"/>
      <w:bookmarkEnd w:id="13"/>
    </w:p>
    <w:p w14:paraId="306B2871">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第一条办法目的</w:t>
      </w:r>
    </w:p>
    <w:p w14:paraId="0B018120">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为了进一步健全绿化养护管理体系，提升绿化养护管理水平，巩固绿化建设成果，更加科学合理评价绿化养护工作质量，形成常态化、长效化、精细化绿化养护管理机制，持续推动西安高新区（以下简称“高新区”）城市绿化工作高质量发展，根据《西安市城市绿化条例》、《园林绿化养护标准》及《西安高新区城市精细化管理标准(试行)》。结合实际，制定本办法。</w:t>
      </w:r>
    </w:p>
    <w:p w14:paraId="2571DA22">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第二条  考核范围</w:t>
      </w:r>
    </w:p>
    <w:p w14:paraId="6A41FF30">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本办法适用于高新区道路（广场）绿化、公园绿地等已移交养护的公共绿地，建设项目养护期可参照本办法执行。</w:t>
      </w:r>
    </w:p>
    <w:p w14:paraId="7D305EFA">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第三条  考核对象</w:t>
      </w:r>
    </w:p>
    <w:p w14:paraId="2828D525">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高新区城市管理和综合执法局（以下简称“城管局”）负责城市绿地管理养护考核工作的组织实施，考核对象为在高新区范围内承揽城管局发包的园林绿化养护服务项目的企业单位（以下简称“养护单位”）。</w:t>
      </w:r>
    </w:p>
    <w:p w14:paraId="5F57E538">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第四条  考核原则</w:t>
      </w:r>
    </w:p>
    <w:p w14:paraId="14AE536D">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（一）严格标准，客观公正。坚持“一把尺子量到底”，统一养护质量标准，严格考核标准，统一考核内容，客观、公平、公正地实施考核。</w:t>
      </w:r>
    </w:p>
    <w:p w14:paraId="3340BD53">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（二）量效同考、综合评价。坚持统筹兼顾，注重质与量相统一，综合运用计量考核和成效考核方式，全面评价绿化养护工作，并严格按考核结果结算付款。</w:t>
      </w:r>
    </w:p>
    <w:p w14:paraId="0888CBF2">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（三）精准考核、奖优罚劣。坚持指标量化、流程细化，确保考核可操作、易执行、能落地，同时明确考核责任、考核周期和奖罚措施，确保任务明确、责任清晰、奖罚分明。</w:t>
      </w:r>
    </w:p>
    <w:p w14:paraId="6CE503BA">
      <w:pPr>
        <w:pStyle w:val="2"/>
        <w:keepLines/>
        <w:widowControl/>
        <w:numPr>
          <w:ilvl w:val="0"/>
          <w:numId w:val="4"/>
        </w:numPr>
        <w:tabs>
          <w:tab w:val="left" w:pos="266"/>
        </w:tabs>
        <w:kinsoku w:val="0"/>
        <w:autoSpaceDE w:val="0"/>
        <w:autoSpaceDN w:val="0"/>
        <w:adjustRightInd w:val="0"/>
        <w:snapToGrid w:val="0"/>
        <w:spacing w:line="520" w:lineRule="exact"/>
        <w:ind w:left="420" w:leftChars="200"/>
        <w:textAlignment w:val="baseline"/>
        <w:rPr>
          <w:rFonts w:hint="eastAsia" w:ascii="仿宋_GB2312" w:hAnsi="仿宋_GB2312" w:eastAsia="仿宋_GB2312" w:cs="仿宋_GB2312"/>
          <w:sz w:val="24"/>
          <w:szCs w:val="24"/>
        </w:rPr>
      </w:pPr>
      <w:bookmarkStart w:id="14" w:name="_Toc29948"/>
      <w:bookmarkStart w:id="15" w:name="_Toc30959"/>
      <w:r>
        <w:rPr>
          <w:rFonts w:hint="eastAsia" w:ascii="仿宋_GB2312" w:hAnsi="仿宋_GB2312" w:eastAsia="仿宋_GB2312" w:cs="仿宋_GB2312"/>
          <w:sz w:val="24"/>
          <w:szCs w:val="24"/>
        </w:rPr>
        <w:t>考核标准与内容</w:t>
      </w:r>
      <w:bookmarkEnd w:id="14"/>
      <w:bookmarkEnd w:id="15"/>
    </w:p>
    <w:p w14:paraId="7F2FA0EE">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第五条  考核标准</w:t>
      </w:r>
    </w:p>
    <w:p w14:paraId="7B0CBF96">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高新区城市绿地养护管理考核按照有关标准执行：</w:t>
      </w:r>
    </w:p>
    <w:p w14:paraId="07793FCD">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（一）《西安市城市绿化条例》；</w:t>
      </w:r>
    </w:p>
    <w:p w14:paraId="179098C1">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（二）《园林绿化养护标准》CJJT287-2018；</w:t>
      </w:r>
    </w:p>
    <w:p w14:paraId="0BCF8618">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（三）《西安高新区绿化养护管理标准(2025版)》；</w:t>
      </w:r>
    </w:p>
    <w:p w14:paraId="03947403">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（四）其他。《农药管理条例》（2022年修订版）《西安市公园条例》《城市公园管理办法》《西安城市绿化行业植保药品安全管理和使用规定》等。</w:t>
      </w:r>
    </w:p>
    <w:p w14:paraId="4BEE1C26">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第六条  考核内容</w:t>
      </w:r>
    </w:p>
    <w:p w14:paraId="1DBF0893">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高新区城市绿地管理养护考核以城市主次干道、重点区域、关键节点和主要场所为核心，对道路绿化管理养护、公园（广场）管理养护、街景布置、安全管理、舆情管控以及执行落实有关制度要求情况进行考核。</w:t>
      </w:r>
    </w:p>
    <w:p w14:paraId="19DBF0DE">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（一）道路绿化管理养护。主要考核整形修剪、乔灌木和花卉养护、病虫害防治、浇水施肥、绿化带高台土清掏、苗木补栽、设施维护等工作情况。</w:t>
      </w:r>
    </w:p>
    <w:p w14:paraId="37EB2CB2">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（二）公园（广场）管理养护。主要考核绿化养护、园容园貌、水域管理、游园秩序和安全、设施维护管理等工作情况。</w:t>
      </w:r>
    </w:p>
    <w:p w14:paraId="51D2BF8B">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（三）安全生产管理。主要考核安全生产制度的制定落实、安全生产保障措施的健全完善，以及安全生产问题的处理处置情况。</w:t>
      </w:r>
    </w:p>
    <w:p w14:paraId="11D7FA10">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（四）舆情管控。主要考核上级下发问题通报、舆情信息、群众投诉、媒体披露问题、城市服务热线转办线索等情况的接收、处置及整改情况。</w:t>
      </w:r>
    </w:p>
    <w:p w14:paraId="61DFBFCC">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（五）有关政府法令、政策文件执行落实情况。严格落实省市区城市绿地管理养护相关的政府法令、政策或文件。</w:t>
      </w:r>
    </w:p>
    <w:p w14:paraId="2930F614">
      <w:pPr>
        <w:pStyle w:val="2"/>
        <w:keepLines/>
        <w:widowControl/>
        <w:numPr>
          <w:ilvl w:val="0"/>
          <w:numId w:val="4"/>
        </w:numPr>
        <w:tabs>
          <w:tab w:val="left" w:pos="266"/>
        </w:tabs>
        <w:kinsoku w:val="0"/>
        <w:autoSpaceDE w:val="0"/>
        <w:autoSpaceDN w:val="0"/>
        <w:adjustRightInd w:val="0"/>
        <w:snapToGrid w:val="0"/>
        <w:spacing w:line="520" w:lineRule="exact"/>
        <w:ind w:left="420" w:leftChars="200"/>
        <w:textAlignment w:val="baseline"/>
        <w:rPr>
          <w:rFonts w:hint="eastAsia" w:ascii="仿宋_GB2312" w:hAnsi="仿宋_GB2312" w:eastAsia="仿宋_GB2312" w:cs="仿宋_GB2312"/>
          <w:sz w:val="24"/>
          <w:szCs w:val="24"/>
        </w:rPr>
      </w:pPr>
      <w:bookmarkStart w:id="16" w:name="_Toc24601"/>
      <w:bookmarkStart w:id="17" w:name="_Toc31434"/>
      <w:r>
        <w:rPr>
          <w:rFonts w:hint="eastAsia" w:ascii="仿宋_GB2312" w:hAnsi="仿宋_GB2312" w:eastAsia="仿宋_GB2312" w:cs="仿宋_GB2312"/>
          <w:sz w:val="24"/>
          <w:szCs w:val="24"/>
        </w:rPr>
        <w:t>考核方式</w:t>
      </w:r>
      <w:bookmarkEnd w:id="16"/>
      <w:bookmarkEnd w:id="17"/>
    </w:p>
    <w:p w14:paraId="75FF40C7">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考核方法</w:t>
      </w:r>
    </w:p>
    <w:p w14:paraId="2A5EE781">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高新区城市绿地管理养护考核通过以定期考核为主，并辅以不定期考核的方式开展。</w:t>
      </w:r>
    </w:p>
    <w:p w14:paraId="0E053B1A">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定期考核以周、月为周期进行考核，由计量考核和成效考核两部分组成；不定期考核指重大节假日、重大活动期间组织的随机考核和专项检查。</w:t>
      </w:r>
    </w:p>
    <w:p w14:paraId="1ADCC48F">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考核标准及方式</w:t>
      </w:r>
    </w:p>
    <w:p w14:paraId="46BB44D8">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考核分为计量考核和成效考核。计量考核以养护单位为主体按照日、周、月形式开展，成效考核以城管局为主体以周检、月检等形式开展。</w:t>
      </w:r>
    </w:p>
    <w:p w14:paraId="7337569F">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（一）计量考核</w:t>
      </w:r>
    </w:p>
    <w:p w14:paraId="5027F404">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养护单位负责依据《西安高新区园林绿化养护分级管理、考核工作任务清单》编制养护计划，养护计划应包括以日为单位的养护工作内容、工作重点、工作频次等计量考核内容。养护单位需于每月底（25日前）将次月养护计划报城管执法局园林绿化部审定，并建立自查机制，落实周计划和月计划计量考核工作并做好养护服务资料备查。周计划在月计划基础上，结合实际天气变化及上周工作落实情况进行调整。《西安高新区园林绿化养护分级管理、考核工作任务清单》详见附件1.</w:t>
      </w:r>
    </w:p>
    <w:p w14:paraId="345F6D75">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（二）成效考核</w:t>
      </w:r>
    </w:p>
    <w:p w14:paraId="67A41476">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1、考核形式</w:t>
      </w:r>
    </w:p>
    <w:p w14:paraId="000E3963">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城管局绿化部负责月考核工作，月考核为每月最后一周，检查时间由考核小组确定并通知养护单位，检查内容针对当月养护作业重点、下发整改问题整改结果、投诉问题处理结果等随机确定，以抽检代全检，考核养护工作质量、成效及养护管理水平，发现问题及扣分情况以整改通知单形式下发，养护单位在接到整改通知单当日内完成整改（特殊情况可延长整改时限）。如遇考核养护服务水平差（扣分10分及以上）、下发整改通知单拒不整改等严重服务问题，可增加不定期考核频次。</w:t>
      </w:r>
    </w:p>
    <w:p w14:paraId="25F26C0A">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2、考核范围</w:t>
      </w:r>
    </w:p>
    <w:p w14:paraId="2DA88DCD">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前1-2日确定抽检养护区域及事项，考核形式随机采取明查、暗访或不定期考核等方式进行。公园物业管理方面，月考核以绿化养护情况为主，单次周考核随机选定绿化、设施设备、保洁、安全安保、制度管理、公厕六个方面中的1-3项，进行现场、资料检查。道路养护方面每周开展至少1次绿化养护情况考核。</w:t>
      </w:r>
    </w:p>
    <w:p w14:paraId="11DA2399">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3、考核小组成员</w:t>
      </w:r>
    </w:p>
    <w:p w14:paraId="48335E65">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由城管局负责组建两人以上考核小组。定期整理绩效考核中的典型问题、优秀做法等，对阶段性养护工作要点及时发布指导性工作通知，促进养护服务良性发展。</w:t>
      </w:r>
    </w:p>
    <w:p w14:paraId="18972FE6">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4、考核结果呈现</w:t>
      </w:r>
    </w:p>
    <w:p w14:paraId="199E67F6">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周考核围绕发现养护服务中的问题、下发整改通知单、回访往期整改通知单问题整改情况三方面内容开展，以加、减分形式体现周考核成效，并计入月考总分。</w:t>
      </w:r>
    </w:p>
    <w:p w14:paraId="5FFFB0BB">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月考核最终得分在完成月考核基础上，结合周考核结果，填写月考核得分汇总表，考核得分为百分制，最终得分作为当月养护费用计算基数，按照合同约定计算最终养护费用。</w:t>
      </w:r>
    </w:p>
    <w:p w14:paraId="3ACC949B">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考核打分表详见附件2（道路、公园绿化）、附件3（公厕管理）、附件4（整改通知单）。</w:t>
      </w:r>
    </w:p>
    <w:p w14:paraId="3EB6A79D">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月度养护费用计算</w:t>
      </w:r>
    </w:p>
    <w:p w14:paraId="5779149F">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分值90分以上为合格，拨付全额管理服务费用（管理服务费用=养护单价*养护面积）。每降低合格线1分，扣除当月全额承包费的1%，扣减至月全额管理费用60%时停止扣除计算，计算所得金额为当月管理服务费用。</w:t>
      </w:r>
    </w:p>
    <w:p w14:paraId="5C168822">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月度养护费用=管理服务费用+奖罚费用。</w:t>
      </w:r>
    </w:p>
    <w:p w14:paraId="40CB3CD1">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第九条  养护单位对考核中下达的限期整改问题，整改不力或拒不整改的，经催告仍不履行整改义务的，城管局有权安排其他队伍代为完成，费用由责任单位全部承担。</w:t>
      </w:r>
    </w:p>
    <w:p w14:paraId="52F0C1B7">
      <w:pPr>
        <w:pStyle w:val="2"/>
        <w:keepLines/>
        <w:widowControl/>
        <w:numPr>
          <w:ilvl w:val="0"/>
          <w:numId w:val="4"/>
        </w:numPr>
        <w:tabs>
          <w:tab w:val="left" w:pos="266"/>
        </w:tabs>
        <w:kinsoku w:val="0"/>
        <w:autoSpaceDE w:val="0"/>
        <w:autoSpaceDN w:val="0"/>
        <w:adjustRightInd w:val="0"/>
        <w:snapToGrid w:val="0"/>
        <w:spacing w:line="520" w:lineRule="exact"/>
        <w:ind w:left="420" w:leftChars="200"/>
        <w:textAlignment w:val="baseline"/>
        <w:rPr>
          <w:rFonts w:hint="eastAsia" w:ascii="仿宋_GB2312" w:hAnsi="仿宋_GB2312" w:eastAsia="仿宋_GB2312" w:cs="仿宋_GB2312"/>
          <w:sz w:val="24"/>
          <w:szCs w:val="24"/>
        </w:rPr>
      </w:pPr>
      <w:bookmarkStart w:id="18" w:name="_Toc21110"/>
      <w:bookmarkStart w:id="19" w:name="_Toc25149"/>
      <w:r>
        <w:rPr>
          <w:rFonts w:hint="eastAsia" w:ascii="仿宋_GB2312" w:hAnsi="仿宋_GB2312" w:eastAsia="仿宋_GB2312" w:cs="仿宋_GB2312"/>
          <w:sz w:val="24"/>
          <w:szCs w:val="24"/>
        </w:rPr>
        <w:t>奖惩措施</w:t>
      </w:r>
      <w:bookmarkEnd w:id="18"/>
      <w:bookmarkEnd w:id="19"/>
    </w:p>
    <w:p w14:paraId="73EF423F">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第十条 考核成绩低于75分（不含）的给予黄牌警告。连续两个月被黄牌警告的养护单位，终止当前合同。</w:t>
      </w:r>
    </w:p>
    <w:p w14:paraId="5C43B7C8">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第十一条  受到省、市、区级主管部门表扬或同级媒体正面宣传报道的、受到市级以上荣誉称号并保持一年的，根据影响程度，酌情给予奖励。</w:t>
      </w:r>
    </w:p>
    <w:p w14:paraId="7B6C548B">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（一）受到省、市级主管部门督导检查通报表扬，受到市级以上荣誉称号并保持一年的，给予1-3万元奖励。</w:t>
      </w:r>
    </w:p>
    <w:p w14:paraId="735BB973">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（二）被省、市主流媒体正面报道的，根据问题影响程度，给予1-2万元奖励。</w:t>
      </w:r>
    </w:p>
    <w:p w14:paraId="4B966774">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（三）其他。</w:t>
      </w:r>
    </w:p>
    <w:p w14:paraId="6D95D028">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第十二条 有下列情形之一的，经城管局核查后给予相应处罚。</w:t>
      </w:r>
    </w:p>
    <w:p w14:paraId="31274261">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（一）受到省、市主管部门督导检查通报批评，根据问题影响程度，处以1-3万元处罚。</w:t>
      </w:r>
    </w:p>
    <w:p w14:paraId="1DE1AF4D">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（二）被省、市主流媒体负面报道的，根据问题影响程度，处以1-2万元处罚。</w:t>
      </w:r>
    </w:p>
    <w:p w14:paraId="4187117D">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（三）由于工作不力，导致市级以上荣誉称号被撤销的，处以5000元-10000元罚款。</w:t>
      </w:r>
    </w:p>
    <w:p w14:paraId="027E1F27">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（四）其他。</w:t>
      </w:r>
    </w:p>
    <w:p w14:paraId="3904B4E5">
      <w:pPr>
        <w:pStyle w:val="2"/>
        <w:keepLines/>
        <w:widowControl/>
        <w:numPr>
          <w:ilvl w:val="0"/>
          <w:numId w:val="4"/>
        </w:numPr>
        <w:tabs>
          <w:tab w:val="left" w:pos="266"/>
        </w:tabs>
        <w:kinsoku w:val="0"/>
        <w:autoSpaceDE w:val="0"/>
        <w:autoSpaceDN w:val="0"/>
        <w:adjustRightInd w:val="0"/>
        <w:snapToGrid w:val="0"/>
        <w:spacing w:line="520" w:lineRule="exact"/>
        <w:ind w:left="420" w:leftChars="200"/>
        <w:textAlignment w:val="baseline"/>
        <w:rPr>
          <w:rFonts w:hint="eastAsia" w:ascii="仿宋_GB2312" w:hAnsi="仿宋_GB2312" w:eastAsia="仿宋_GB2312" w:cs="仿宋_GB2312"/>
          <w:sz w:val="24"/>
          <w:szCs w:val="24"/>
        </w:rPr>
      </w:pPr>
      <w:bookmarkStart w:id="20" w:name="_Toc26687"/>
      <w:bookmarkStart w:id="21" w:name="_Toc23613"/>
      <w:r>
        <w:rPr>
          <w:rFonts w:hint="eastAsia" w:ascii="仿宋_GB2312" w:hAnsi="仿宋_GB2312" w:eastAsia="仿宋_GB2312" w:cs="仿宋_GB2312"/>
          <w:sz w:val="24"/>
          <w:szCs w:val="24"/>
        </w:rPr>
        <w:t>附  则</w:t>
      </w:r>
      <w:bookmarkEnd w:id="20"/>
      <w:bookmarkEnd w:id="21"/>
    </w:p>
    <w:p w14:paraId="496553C9">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第十三条 各街办、各单位、各物业服务企业、各经营单位及其他城市绿地管理主体可参照本办法，结合各自实际情况，制定本辖区城市绿地管理养护考核办法。</w:t>
      </w:r>
    </w:p>
    <w:p w14:paraId="697D2014">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第十四条 住建局、各园区中心可参照本考核办法，督促项目建设单位建立各自的城市绿地管理养护考核办法并严格执行。</w:t>
      </w:r>
    </w:p>
    <w:p w14:paraId="058B4DC2">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第十八条 本办法由高新区城市管理和综合执法局负责解释，自印发之日起施行。</w:t>
      </w:r>
    </w:p>
    <w:p w14:paraId="5099096B">
      <w:pPr>
        <w:tabs>
          <w:tab w:val="left" w:pos="266"/>
        </w:tabs>
        <w:spacing w:line="520" w:lineRule="exact"/>
        <w:ind w:firstLine="720" w:firstLineChars="300"/>
        <w:rPr>
          <w:rFonts w:hint="eastAsia" w:ascii="仿宋_GB2312" w:hAnsi="仿宋_GB2312" w:eastAsia="仿宋_GB2312" w:cs="仿宋_GB2312"/>
          <w:kern w:val="0"/>
          <w:sz w:val="24"/>
          <w:szCs w:val="24"/>
        </w:rPr>
      </w:pPr>
    </w:p>
    <w:p w14:paraId="485EBD30">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附件：1.西安高新区园林绿化养护分级管理、考核工作任务清单</w:t>
      </w:r>
    </w:p>
    <w:p w14:paraId="409AB4D1">
      <w:pPr>
        <w:tabs>
          <w:tab w:val="left" w:pos="266"/>
        </w:tabs>
        <w:spacing w:line="520" w:lineRule="exact"/>
        <w:ind w:firstLine="1200" w:firstLineChars="5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2.西安高新区道路绿化养护管理项目考评标准及得分统计表</w:t>
      </w:r>
    </w:p>
    <w:p w14:paraId="17596F5C">
      <w:pPr>
        <w:tabs>
          <w:tab w:val="left" w:pos="266"/>
        </w:tabs>
        <w:spacing w:line="520" w:lineRule="exact"/>
        <w:ind w:firstLine="1200" w:firstLineChars="500"/>
        <w:rPr>
          <w:rFonts w:hint="eastAsia" w:ascii="仿宋_GB2312" w:hAnsi="仿宋_GB2312" w:eastAsia="仿宋_GB2312" w:cs="仿宋_GB2312"/>
          <w:kern w:val="0"/>
          <w:sz w:val="24"/>
          <w:szCs w:val="24"/>
        </w:rPr>
        <w:sectPr>
          <w:footnotePr>
            <w:numFmt w:val="decimalEnclosedCircleChinese"/>
          </w:footnotePr>
          <w:pgSz w:w="11905" w:h="16838"/>
          <w:pgMar w:top="1440" w:right="1080" w:bottom="1440" w:left="1080" w:header="850" w:footer="975" w:gutter="0"/>
          <w:cols w:space="720" w:num="1"/>
          <w:docGrid w:linePitch="312" w:charSpace="0"/>
        </w:sectPr>
      </w:pPr>
      <w:r>
        <w:rPr>
          <w:rFonts w:hint="eastAsia" w:ascii="仿宋_GB2312" w:hAnsi="仿宋_GB2312" w:eastAsia="仿宋_GB2312" w:cs="仿宋_GB2312"/>
          <w:kern w:val="0"/>
          <w:sz w:val="24"/>
          <w:szCs w:val="24"/>
        </w:rPr>
        <w:t>3. 整改通知单</w:t>
      </w:r>
    </w:p>
    <w:p w14:paraId="2520714C">
      <w:pPr>
        <w:tabs>
          <w:tab w:val="left" w:pos="266"/>
        </w:tabs>
        <w:spacing w:line="520" w:lineRule="exact"/>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1、《西安高新区园林绿化养护分级管理、考核工作任务清单》</w:t>
      </w:r>
    </w:p>
    <w:tbl>
      <w:tblPr>
        <w:tblStyle w:val="10"/>
        <w:tblW w:w="5095" w:type="pct"/>
        <w:jc w:val="center"/>
        <w:tblLayout w:type="fixed"/>
        <w:tblCellMar>
          <w:top w:w="0" w:type="dxa"/>
          <w:left w:w="108" w:type="dxa"/>
          <w:bottom w:w="0" w:type="dxa"/>
          <w:right w:w="108" w:type="dxa"/>
        </w:tblCellMar>
      </w:tblPr>
      <w:tblGrid>
        <w:gridCol w:w="480"/>
        <w:gridCol w:w="795"/>
        <w:gridCol w:w="1505"/>
        <w:gridCol w:w="642"/>
        <w:gridCol w:w="596"/>
        <w:gridCol w:w="581"/>
        <w:gridCol w:w="619"/>
        <w:gridCol w:w="560"/>
        <w:gridCol w:w="564"/>
        <w:gridCol w:w="581"/>
        <w:gridCol w:w="658"/>
        <w:gridCol w:w="684"/>
        <w:gridCol w:w="668"/>
        <w:gridCol w:w="235"/>
        <w:gridCol w:w="369"/>
        <w:gridCol w:w="233"/>
        <w:gridCol w:w="380"/>
      </w:tblGrid>
      <w:tr w14:paraId="187114F6">
        <w:tblPrEx>
          <w:tblCellMar>
            <w:top w:w="0" w:type="dxa"/>
            <w:left w:w="108" w:type="dxa"/>
            <w:bottom w:w="0" w:type="dxa"/>
            <w:right w:w="108" w:type="dxa"/>
          </w:tblCellMar>
        </w:tblPrEx>
        <w:trPr>
          <w:trHeight w:val="23" w:hRule="atLeast"/>
          <w:jc w:val="center"/>
        </w:trPr>
        <w:tc>
          <w:tcPr>
            <w:tcW w:w="236" w:type="pct"/>
            <w:vMerge w:val="restart"/>
            <w:tcBorders>
              <w:top w:val="single" w:color="000000" w:sz="4" w:space="0"/>
              <w:left w:val="single" w:color="000000" w:sz="4" w:space="0"/>
              <w:bottom w:val="single" w:color="000000" w:sz="4" w:space="0"/>
              <w:right w:val="single" w:color="000000" w:sz="4" w:space="0"/>
            </w:tcBorders>
            <w:noWrap/>
            <w:vAlign w:val="center"/>
          </w:tcPr>
          <w:p w14:paraId="71605894">
            <w:pPr>
              <w:tabs>
                <w:tab w:val="left" w:pos="266"/>
              </w:tabs>
              <w:jc w:val="center"/>
              <w:rPr>
                <w:rFonts w:hint="eastAsia" w:ascii="仿宋_GB2312" w:hAnsi="仿宋_GB2312" w:eastAsia="仿宋_GB2312" w:cs="仿宋_GB2312"/>
                <w:kern w:val="0"/>
                <w:szCs w:val="21"/>
              </w:rPr>
            </w:pPr>
          </w:p>
        </w:tc>
        <w:tc>
          <w:tcPr>
            <w:tcW w:w="1132" w:type="pct"/>
            <w:gridSpan w:val="2"/>
            <w:vMerge w:val="restart"/>
            <w:tcBorders>
              <w:top w:val="single" w:color="000000" w:sz="4" w:space="0"/>
              <w:left w:val="single" w:color="000000" w:sz="4" w:space="0"/>
              <w:bottom w:val="single" w:color="000000" w:sz="4" w:space="0"/>
              <w:right w:val="single" w:color="000000" w:sz="4" w:space="0"/>
            </w:tcBorders>
            <w:noWrap/>
            <w:vAlign w:val="center"/>
          </w:tcPr>
          <w:p w14:paraId="5A1AEC66">
            <w:pPr>
              <w:tabs>
                <w:tab w:val="left" w:pos="266"/>
              </w:tabs>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季节/月份</w:t>
            </w:r>
          </w:p>
        </w:tc>
        <w:tc>
          <w:tcPr>
            <w:tcW w:w="895" w:type="pct"/>
            <w:gridSpan w:val="3"/>
            <w:tcBorders>
              <w:top w:val="single" w:color="000000" w:sz="4" w:space="0"/>
              <w:left w:val="single" w:color="000000" w:sz="4" w:space="0"/>
              <w:bottom w:val="single" w:color="000000" w:sz="4" w:space="0"/>
              <w:right w:val="single" w:color="000000" w:sz="4" w:space="0"/>
            </w:tcBorders>
            <w:noWrap/>
            <w:vAlign w:val="center"/>
          </w:tcPr>
          <w:p w14:paraId="7FBF7D08">
            <w:pPr>
              <w:tabs>
                <w:tab w:val="left" w:pos="266"/>
              </w:tabs>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春</w:t>
            </w:r>
          </w:p>
        </w:tc>
        <w:tc>
          <w:tcPr>
            <w:tcW w:w="859" w:type="pct"/>
            <w:gridSpan w:val="3"/>
            <w:tcBorders>
              <w:top w:val="single" w:color="000000" w:sz="4" w:space="0"/>
              <w:left w:val="single" w:color="000000" w:sz="4" w:space="0"/>
              <w:bottom w:val="single" w:color="000000" w:sz="4" w:space="0"/>
              <w:right w:val="single" w:color="000000" w:sz="4" w:space="0"/>
            </w:tcBorders>
            <w:noWrap/>
            <w:vAlign w:val="center"/>
          </w:tcPr>
          <w:p w14:paraId="627712D3">
            <w:pPr>
              <w:tabs>
                <w:tab w:val="left" w:pos="266"/>
              </w:tabs>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夏</w:t>
            </w:r>
          </w:p>
        </w:tc>
        <w:tc>
          <w:tcPr>
            <w:tcW w:w="946" w:type="pct"/>
            <w:gridSpan w:val="3"/>
            <w:tcBorders>
              <w:top w:val="single" w:color="000000" w:sz="4" w:space="0"/>
              <w:left w:val="single" w:color="000000" w:sz="4" w:space="0"/>
              <w:bottom w:val="single" w:color="000000" w:sz="4" w:space="0"/>
              <w:right w:val="single" w:color="000000" w:sz="4" w:space="0"/>
            </w:tcBorders>
            <w:noWrap/>
            <w:vAlign w:val="center"/>
          </w:tcPr>
          <w:p w14:paraId="5966039E">
            <w:pPr>
              <w:tabs>
                <w:tab w:val="left" w:pos="266"/>
              </w:tabs>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秋</w:t>
            </w:r>
          </w:p>
        </w:tc>
        <w:tc>
          <w:tcPr>
            <w:tcW w:w="928" w:type="pct"/>
            <w:gridSpan w:val="5"/>
            <w:tcBorders>
              <w:top w:val="single" w:color="000000" w:sz="4" w:space="0"/>
              <w:left w:val="single" w:color="000000" w:sz="4" w:space="0"/>
              <w:bottom w:val="single" w:color="000000" w:sz="4" w:space="0"/>
              <w:right w:val="single" w:color="000000" w:sz="4" w:space="0"/>
            </w:tcBorders>
            <w:noWrap/>
            <w:vAlign w:val="center"/>
          </w:tcPr>
          <w:p w14:paraId="6168524C">
            <w:pPr>
              <w:tabs>
                <w:tab w:val="left" w:pos="266"/>
              </w:tabs>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冬</w:t>
            </w:r>
          </w:p>
        </w:tc>
      </w:tr>
      <w:tr w14:paraId="75FBC4F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543A321">
            <w:pPr>
              <w:tabs>
                <w:tab w:val="left" w:pos="266"/>
              </w:tabs>
              <w:jc w:val="center"/>
              <w:rPr>
                <w:rFonts w:hint="eastAsia" w:ascii="仿宋_GB2312" w:hAnsi="仿宋_GB2312" w:eastAsia="仿宋_GB2312" w:cs="仿宋_GB2312"/>
                <w:kern w:val="0"/>
                <w:szCs w:val="21"/>
              </w:rPr>
            </w:pPr>
          </w:p>
        </w:tc>
        <w:tc>
          <w:tcPr>
            <w:tcW w:w="1132"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14:paraId="50AA1514">
            <w:pPr>
              <w:tabs>
                <w:tab w:val="left" w:pos="266"/>
              </w:tabs>
              <w:jc w:val="center"/>
              <w:rPr>
                <w:rFonts w:hint="eastAsia" w:ascii="仿宋_GB2312" w:hAnsi="仿宋_GB2312" w:eastAsia="仿宋_GB2312" w:cs="仿宋_GB2312"/>
                <w:kern w:val="0"/>
                <w:szCs w:val="21"/>
              </w:rPr>
            </w:pP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CDA312D">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3DA9F92">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0989895">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2700BF4">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76ED1FA">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BFD5063">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AB01713">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9</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285B3BB">
            <w:pPr>
              <w:tabs>
                <w:tab w:val="left" w:pos="266"/>
              </w:tabs>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7B35DDC">
            <w:pPr>
              <w:tabs>
                <w:tab w:val="left" w:pos="266"/>
              </w:tabs>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11</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408AE2D">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8D98924">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19ECAF1">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r>
      <w:tr w14:paraId="3609FCF7">
        <w:tblPrEx>
          <w:tblCellMar>
            <w:top w:w="0" w:type="dxa"/>
            <w:left w:w="108" w:type="dxa"/>
            <w:bottom w:w="0" w:type="dxa"/>
            <w:right w:w="108" w:type="dxa"/>
          </w:tblCellMar>
        </w:tblPrEx>
        <w:trPr>
          <w:trHeight w:val="23" w:hRule="atLeast"/>
          <w:jc w:val="center"/>
        </w:trPr>
        <w:tc>
          <w:tcPr>
            <w:tcW w:w="236" w:type="pct"/>
            <w:vMerge w:val="restart"/>
            <w:tcBorders>
              <w:top w:val="single" w:color="000000" w:sz="4" w:space="0"/>
              <w:left w:val="single" w:color="000000" w:sz="4" w:space="0"/>
              <w:bottom w:val="single" w:color="000000" w:sz="4" w:space="0"/>
              <w:right w:val="single" w:color="000000" w:sz="4" w:space="0"/>
            </w:tcBorders>
            <w:noWrap/>
            <w:vAlign w:val="center"/>
          </w:tcPr>
          <w:p w14:paraId="4759C05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A档</w:t>
            </w: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2C83911E">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浇水</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27E28D2">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4D840F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03F1D422">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CD621FF">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53C14A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ACF6BE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A635BC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34A7885">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EA1F58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E8C2A72">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F647A34">
            <w:pPr>
              <w:tabs>
                <w:tab w:val="left" w:pos="266"/>
              </w:tabs>
              <w:ind w:firstLine="210" w:firstLineChars="100"/>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1F3E47E">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2AEE394">
            <w:pPr>
              <w:tabs>
                <w:tab w:val="left" w:pos="266"/>
              </w:tabs>
              <w:jc w:val="center"/>
              <w:rPr>
                <w:rFonts w:hint="eastAsia" w:ascii="仿宋_GB2312" w:hAnsi="仿宋_GB2312" w:eastAsia="仿宋_GB2312" w:cs="仿宋_GB2312"/>
                <w:kern w:val="0"/>
                <w:szCs w:val="21"/>
              </w:rPr>
            </w:pPr>
          </w:p>
        </w:tc>
      </w:tr>
      <w:tr w14:paraId="615ADD08">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AD223A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4AE6125">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8437734">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82FB0C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EB8F7E5">
            <w:pPr>
              <w:tabs>
                <w:tab w:val="left" w:pos="266"/>
              </w:tabs>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9E0EC8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FE9250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0E2FB70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9623C4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583451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367234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154B94A">
            <w:pPr>
              <w:tabs>
                <w:tab w:val="left" w:pos="266"/>
              </w:tabs>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4C1954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FF04180">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C6339E6">
            <w:pPr>
              <w:tabs>
                <w:tab w:val="left" w:pos="266"/>
              </w:tabs>
              <w:rPr>
                <w:rFonts w:hint="eastAsia" w:ascii="仿宋_GB2312" w:hAnsi="仿宋_GB2312" w:eastAsia="仿宋_GB2312" w:cs="仿宋_GB2312"/>
                <w:kern w:val="0"/>
                <w:szCs w:val="21"/>
              </w:rPr>
            </w:pPr>
          </w:p>
        </w:tc>
      </w:tr>
      <w:tr w14:paraId="310B3184">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4D50E70">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C3C68A7">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464D4A4">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2F29E9F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6F5003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A1B5D5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A1E6DC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000CCE9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485BA0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7C0B37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364C40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4ACE4B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50FB72D">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409112D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0CA0F6B7">
            <w:pPr>
              <w:tabs>
                <w:tab w:val="left" w:pos="266"/>
              </w:tabs>
              <w:rPr>
                <w:rFonts w:hint="eastAsia" w:ascii="仿宋_GB2312" w:hAnsi="仿宋_GB2312" w:eastAsia="仿宋_GB2312" w:cs="仿宋_GB2312"/>
                <w:kern w:val="0"/>
                <w:szCs w:val="21"/>
              </w:rPr>
            </w:pPr>
          </w:p>
        </w:tc>
      </w:tr>
      <w:tr w14:paraId="467F7938">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B3C454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054511E">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DE5BBF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63DED3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6D1D84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186190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ED5544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1F70FD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259ABD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15FD0B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EABDC1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4C8ACD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6B34B48B">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39A829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B357E89">
            <w:pPr>
              <w:tabs>
                <w:tab w:val="left" w:pos="266"/>
              </w:tabs>
              <w:rPr>
                <w:rFonts w:hint="eastAsia" w:ascii="仿宋_GB2312" w:hAnsi="仿宋_GB2312" w:eastAsia="仿宋_GB2312" w:cs="仿宋_GB2312"/>
                <w:kern w:val="0"/>
                <w:szCs w:val="21"/>
              </w:rPr>
            </w:pPr>
          </w:p>
        </w:tc>
      </w:tr>
      <w:tr w14:paraId="09B3401A">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151C7AE">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9401AB7">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A602B2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8ADAE5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0CB53C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20B670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E7D78E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3E04B9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D6900C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3FA0C5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5E1120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DF6A33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0F070DEC">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C51FC1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6D49546">
            <w:pPr>
              <w:tabs>
                <w:tab w:val="left" w:pos="266"/>
              </w:tabs>
              <w:rPr>
                <w:rFonts w:hint="eastAsia" w:ascii="仿宋_GB2312" w:hAnsi="仿宋_GB2312" w:eastAsia="仿宋_GB2312" w:cs="仿宋_GB2312"/>
                <w:kern w:val="0"/>
                <w:szCs w:val="21"/>
              </w:rPr>
            </w:pPr>
          </w:p>
        </w:tc>
      </w:tr>
      <w:tr w14:paraId="15DD1148">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67E35A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87AFF1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5C872B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C5FABE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B90FD6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CD0EC4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C39692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02C5AF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AD9ED9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86E512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7A4306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943DCA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E68F97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686033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4313D9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232913FB">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4983FB8">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FC4DECB">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3BD0B5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1A594D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5BF966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8F17EF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E2DAB1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79F5FA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5080E1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A6402B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0FDD83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669C0A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15D424B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87AE182">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62918E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40252E9C">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EC8D6E7">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0D61284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病虫害防治</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B64B2E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630" w:type="pct"/>
            <w:gridSpan w:val="14"/>
            <w:vMerge w:val="restart"/>
            <w:tcBorders>
              <w:top w:val="single" w:color="000000" w:sz="4" w:space="0"/>
              <w:left w:val="single" w:color="000000" w:sz="4" w:space="0"/>
              <w:bottom w:val="single" w:color="000000" w:sz="4" w:space="0"/>
              <w:right w:val="single" w:color="000000" w:sz="4" w:space="0"/>
            </w:tcBorders>
            <w:noWrap/>
            <w:vAlign w:val="center"/>
          </w:tcPr>
          <w:p w14:paraId="66268562">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乔木3次，冷季型草坪5次/年，暖季型草坪2次/年，其他植物全年2-3次，具体防治时间、频次因植物种类、天气等因素确定，病害重点参照全市病虫害防治月历及当年测报讯息实施，虫害根据监测结果及时防治</w:t>
            </w:r>
          </w:p>
        </w:tc>
      </w:tr>
      <w:tr w14:paraId="6735B1BB">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E98505F">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B8B169B">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22E765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45455B11">
            <w:pPr>
              <w:tabs>
                <w:tab w:val="left" w:pos="266"/>
              </w:tabs>
              <w:jc w:val="center"/>
              <w:rPr>
                <w:rFonts w:hint="eastAsia" w:ascii="仿宋_GB2312" w:hAnsi="仿宋_GB2312" w:eastAsia="仿宋_GB2312" w:cs="仿宋_GB2312"/>
                <w:kern w:val="0"/>
                <w:szCs w:val="21"/>
              </w:rPr>
            </w:pPr>
          </w:p>
        </w:tc>
      </w:tr>
      <w:tr w14:paraId="2128C7FC">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BFE3FCF">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897B734">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689ACBF">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4206555D">
            <w:pPr>
              <w:tabs>
                <w:tab w:val="left" w:pos="266"/>
              </w:tabs>
              <w:jc w:val="center"/>
              <w:rPr>
                <w:rFonts w:hint="eastAsia" w:ascii="仿宋_GB2312" w:hAnsi="仿宋_GB2312" w:eastAsia="仿宋_GB2312" w:cs="仿宋_GB2312"/>
                <w:kern w:val="0"/>
                <w:szCs w:val="21"/>
              </w:rPr>
            </w:pPr>
          </w:p>
        </w:tc>
      </w:tr>
      <w:tr w14:paraId="10EAFA41">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AD9A73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C504415">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0361599">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0E5442A4">
            <w:pPr>
              <w:tabs>
                <w:tab w:val="left" w:pos="266"/>
              </w:tabs>
              <w:jc w:val="center"/>
              <w:rPr>
                <w:rFonts w:hint="eastAsia" w:ascii="仿宋_GB2312" w:hAnsi="仿宋_GB2312" w:eastAsia="仿宋_GB2312" w:cs="仿宋_GB2312"/>
                <w:kern w:val="0"/>
                <w:szCs w:val="21"/>
              </w:rPr>
            </w:pPr>
          </w:p>
        </w:tc>
      </w:tr>
      <w:tr w14:paraId="5D10D0EA">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B43C805">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82E4A83">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FA1FD4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6B751184">
            <w:pPr>
              <w:tabs>
                <w:tab w:val="left" w:pos="266"/>
              </w:tabs>
              <w:jc w:val="center"/>
              <w:rPr>
                <w:rFonts w:hint="eastAsia" w:ascii="仿宋_GB2312" w:hAnsi="仿宋_GB2312" w:eastAsia="仿宋_GB2312" w:cs="仿宋_GB2312"/>
                <w:kern w:val="0"/>
                <w:szCs w:val="21"/>
              </w:rPr>
            </w:pPr>
          </w:p>
        </w:tc>
      </w:tr>
      <w:tr w14:paraId="3F3C181F">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79D92DA">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922ADD4">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503808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76DBA8D3">
            <w:pPr>
              <w:tabs>
                <w:tab w:val="left" w:pos="266"/>
              </w:tabs>
              <w:jc w:val="center"/>
              <w:rPr>
                <w:rFonts w:hint="eastAsia" w:ascii="仿宋_GB2312" w:hAnsi="仿宋_GB2312" w:eastAsia="仿宋_GB2312" w:cs="仿宋_GB2312"/>
                <w:kern w:val="0"/>
                <w:szCs w:val="21"/>
              </w:rPr>
            </w:pPr>
          </w:p>
        </w:tc>
      </w:tr>
      <w:tr w14:paraId="7DEF0C7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EDA6F95">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CE1B94B">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D4AD44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71E8630E">
            <w:pPr>
              <w:tabs>
                <w:tab w:val="left" w:pos="266"/>
              </w:tabs>
              <w:jc w:val="center"/>
              <w:rPr>
                <w:rFonts w:hint="eastAsia" w:ascii="仿宋_GB2312" w:hAnsi="仿宋_GB2312" w:eastAsia="仿宋_GB2312" w:cs="仿宋_GB2312"/>
                <w:kern w:val="0"/>
                <w:szCs w:val="21"/>
              </w:rPr>
            </w:pPr>
          </w:p>
        </w:tc>
      </w:tr>
      <w:tr w14:paraId="7C84254D">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3C0BB78">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3F9D7466">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修剪</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177D382">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26E3F09A">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5BA1638">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30E70D1">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02FA3DC">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4323E0B">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FE4A832">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170CE62">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A52F586">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2EAC959">
            <w:pPr>
              <w:tabs>
                <w:tab w:val="left" w:pos="266"/>
              </w:tabs>
              <w:jc w:val="center"/>
              <w:rPr>
                <w:rFonts w:hint="eastAsia" w:ascii="仿宋_GB2312" w:hAnsi="仿宋_GB2312" w:eastAsia="仿宋_GB2312" w:cs="仿宋_GB2312"/>
                <w:kern w:val="0"/>
                <w:szCs w:val="21"/>
              </w:rPr>
            </w:pPr>
          </w:p>
        </w:tc>
        <w:tc>
          <w:tcPr>
            <w:tcW w:w="928" w:type="pct"/>
            <w:gridSpan w:val="5"/>
            <w:tcBorders>
              <w:top w:val="single" w:color="000000" w:sz="4" w:space="0"/>
              <w:left w:val="single" w:color="000000" w:sz="4" w:space="0"/>
              <w:bottom w:val="single" w:color="000000" w:sz="4" w:space="0"/>
              <w:right w:val="single" w:color="000000" w:sz="4" w:space="0"/>
            </w:tcBorders>
            <w:noWrap/>
            <w:vAlign w:val="center"/>
          </w:tcPr>
          <w:p w14:paraId="607E73E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12-2月份全面1次，每月考核当月进度1/3即为合格</w:t>
            </w:r>
          </w:p>
        </w:tc>
      </w:tr>
      <w:tr w14:paraId="4EB97D61">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C7C28C7">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CB81D68">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5563AE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630" w:type="pct"/>
            <w:gridSpan w:val="14"/>
            <w:tcBorders>
              <w:top w:val="single" w:color="000000" w:sz="4" w:space="0"/>
              <w:left w:val="single" w:color="000000" w:sz="4" w:space="0"/>
              <w:bottom w:val="single" w:color="000000" w:sz="4" w:space="0"/>
              <w:right w:val="single" w:color="000000" w:sz="4" w:space="0"/>
            </w:tcBorders>
            <w:noWrap/>
            <w:vAlign w:val="center"/>
          </w:tcPr>
          <w:p w14:paraId="11919118">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全年2次，花灌木须保证花后修剪1次；月季例外，</w:t>
            </w:r>
          </w:p>
          <w:p w14:paraId="6F4612B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全年8次（4,5,6，7,8，9,10，11）</w:t>
            </w:r>
          </w:p>
        </w:tc>
      </w:tr>
      <w:tr w14:paraId="315CE7D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434D098">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7743E61">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168354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611A086">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C680A2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7E51603">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0C4CCB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 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2E1919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BD390A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CA8363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A102E6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FF9F5B0">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262D863F">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0F51C710">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3CD36EB">
            <w:pPr>
              <w:tabs>
                <w:tab w:val="left" w:pos="266"/>
              </w:tabs>
              <w:jc w:val="center"/>
              <w:rPr>
                <w:rFonts w:hint="eastAsia" w:ascii="仿宋_GB2312" w:hAnsi="仿宋_GB2312" w:eastAsia="仿宋_GB2312" w:cs="仿宋_GB2312"/>
                <w:kern w:val="0"/>
                <w:szCs w:val="21"/>
              </w:rPr>
            </w:pPr>
          </w:p>
        </w:tc>
      </w:tr>
      <w:tr w14:paraId="5CE30802">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6647C8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40D688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3715506">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670B69C">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F3A3D93">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3EFBDAD">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501FC68">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EB3F226">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40309A3">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D3EBC50">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D9DDAE9">
            <w:pPr>
              <w:tabs>
                <w:tab w:val="left" w:pos="266"/>
              </w:tabs>
              <w:jc w:val="center"/>
              <w:rPr>
                <w:rFonts w:hint="eastAsia" w:ascii="仿宋_GB2312" w:hAnsi="仿宋_GB2312" w:eastAsia="仿宋_GB2312" w:cs="仿宋_GB2312"/>
                <w:kern w:val="0"/>
                <w:szCs w:val="21"/>
              </w:rPr>
            </w:pPr>
          </w:p>
        </w:tc>
        <w:tc>
          <w:tcPr>
            <w:tcW w:w="666" w:type="pct"/>
            <w:gridSpan w:val="2"/>
            <w:tcBorders>
              <w:top w:val="single" w:color="000000" w:sz="4" w:space="0"/>
              <w:left w:val="single" w:color="000000" w:sz="4" w:space="0"/>
              <w:bottom w:val="single" w:color="000000" w:sz="4" w:space="0"/>
              <w:right w:val="single" w:color="000000" w:sz="4" w:space="0"/>
            </w:tcBorders>
            <w:noWrap/>
            <w:vAlign w:val="center"/>
          </w:tcPr>
          <w:p w14:paraId="285B5836">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4F22899D">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ABD0B37">
            <w:pPr>
              <w:tabs>
                <w:tab w:val="left" w:pos="266"/>
              </w:tabs>
              <w:jc w:val="center"/>
              <w:rPr>
                <w:rFonts w:hint="eastAsia" w:ascii="仿宋_GB2312" w:hAnsi="仿宋_GB2312" w:eastAsia="仿宋_GB2312" w:cs="仿宋_GB2312"/>
                <w:kern w:val="0"/>
                <w:szCs w:val="21"/>
              </w:rPr>
            </w:pPr>
          </w:p>
        </w:tc>
      </w:tr>
      <w:tr w14:paraId="0808446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96E33CA">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4348E5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F16ADC9">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142D33F">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5AE0E04">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1BBFF86">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3E8F668">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FFE26B0">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8C2986D">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3B4CFEC">
            <w:pPr>
              <w:tabs>
                <w:tab w:val="left" w:pos="266"/>
              </w:tabs>
              <w:jc w:val="center"/>
              <w:rPr>
                <w:rFonts w:hint="eastAsia" w:ascii="仿宋_GB2312" w:hAnsi="仿宋_GB2312" w:eastAsia="仿宋_GB2312" w:cs="仿宋_GB2312"/>
                <w:kern w:val="0"/>
                <w:szCs w:val="21"/>
              </w:rPr>
            </w:pPr>
          </w:p>
        </w:tc>
        <w:tc>
          <w:tcPr>
            <w:tcW w:w="990" w:type="pct"/>
            <w:gridSpan w:val="3"/>
            <w:tcBorders>
              <w:top w:val="single" w:color="000000" w:sz="4" w:space="0"/>
              <w:left w:val="single" w:color="000000" w:sz="4" w:space="0"/>
              <w:bottom w:val="single" w:color="000000" w:sz="4" w:space="0"/>
              <w:right w:val="single" w:color="000000" w:sz="4" w:space="0"/>
            </w:tcBorders>
            <w:noWrap/>
            <w:vAlign w:val="center"/>
          </w:tcPr>
          <w:p w14:paraId="5F25367E">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0CE29B3">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E477D1B">
            <w:pPr>
              <w:tabs>
                <w:tab w:val="left" w:pos="266"/>
              </w:tabs>
              <w:jc w:val="center"/>
              <w:rPr>
                <w:rFonts w:hint="eastAsia" w:ascii="仿宋_GB2312" w:hAnsi="仿宋_GB2312" w:eastAsia="仿宋_GB2312" w:cs="仿宋_GB2312"/>
                <w:kern w:val="0"/>
                <w:szCs w:val="21"/>
              </w:rPr>
            </w:pPr>
          </w:p>
        </w:tc>
      </w:tr>
      <w:tr w14:paraId="43F7189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3DDDBD4">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94D7D51">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6B8867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9673FA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74EB054">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B43C3D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C14D0A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BA56DA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C0B911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DF054D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33983A2">
            <w:pPr>
              <w:tabs>
                <w:tab w:val="left" w:pos="266"/>
              </w:tabs>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A68D6F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1204118">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BBC8020">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93CE7DD">
            <w:pPr>
              <w:tabs>
                <w:tab w:val="left" w:pos="266"/>
              </w:tabs>
              <w:rPr>
                <w:rFonts w:hint="eastAsia" w:ascii="仿宋_GB2312" w:hAnsi="仿宋_GB2312" w:eastAsia="仿宋_GB2312" w:cs="仿宋_GB2312"/>
                <w:kern w:val="0"/>
                <w:szCs w:val="21"/>
              </w:rPr>
            </w:pPr>
          </w:p>
        </w:tc>
      </w:tr>
      <w:tr w14:paraId="47DFD8A6">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CC76B37">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993F392">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1E557E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D7E435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579" w:type="pct"/>
            <w:gridSpan w:val="2"/>
            <w:tcBorders>
              <w:top w:val="single" w:color="000000" w:sz="4" w:space="0"/>
              <w:left w:val="single" w:color="000000" w:sz="4" w:space="0"/>
              <w:bottom w:val="single" w:color="000000" w:sz="4" w:space="0"/>
              <w:right w:val="single" w:color="000000" w:sz="4" w:space="0"/>
            </w:tcBorders>
            <w:noWrap/>
            <w:vAlign w:val="center"/>
          </w:tcPr>
          <w:p w14:paraId="312ED5D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65EEF8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5C888E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7DFA175">
            <w:pPr>
              <w:tabs>
                <w:tab w:val="left" w:pos="266"/>
              </w:tabs>
              <w:rPr>
                <w:rFonts w:hint="eastAsia" w:ascii="仿宋_GB2312" w:hAnsi="仿宋_GB2312" w:eastAsia="仿宋_GB2312" w:cs="仿宋_GB2312"/>
                <w:kern w:val="0"/>
                <w:szCs w:val="21"/>
              </w:rPr>
            </w:pPr>
          </w:p>
        </w:tc>
        <w:tc>
          <w:tcPr>
            <w:tcW w:w="609" w:type="pct"/>
            <w:gridSpan w:val="2"/>
            <w:tcBorders>
              <w:top w:val="single" w:color="000000" w:sz="4" w:space="0"/>
              <w:left w:val="single" w:color="000000" w:sz="4" w:space="0"/>
              <w:bottom w:val="single" w:color="000000" w:sz="4" w:space="0"/>
              <w:right w:val="single" w:color="000000" w:sz="4" w:space="0"/>
            </w:tcBorders>
            <w:noWrap/>
            <w:vAlign w:val="center"/>
          </w:tcPr>
          <w:p w14:paraId="2DA3560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00748A7">
            <w:pPr>
              <w:tabs>
                <w:tab w:val="left" w:pos="266"/>
              </w:tabs>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2377E86">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6E7C89D">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0D6494A7">
            <w:pPr>
              <w:tabs>
                <w:tab w:val="left" w:pos="266"/>
              </w:tabs>
              <w:rPr>
                <w:rFonts w:hint="eastAsia" w:ascii="仿宋_GB2312" w:hAnsi="仿宋_GB2312" w:eastAsia="仿宋_GB2312" w:cs="仿宋_GB2312"/>
                <w:kern w:val="0"/>
                <w:szCs w:val="21"/>
              </w:rPr>
            </w:pPr>
          </w:p>
        </w:tc>
      </w:tr>
      <w:tr w14:paraId="262B684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6526663">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717F835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施肥（结合降雨或灌水实施）</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47433A8">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FA43A2F">
            <w:pPr>
              <w:tabs>
                <w:tab w:val="left" w:pos="266"/>
              </w:tabs>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5EB1A30">
            <w:pPr>
              <w:tabs>
                <w:tab w:val="left" w:pos="266"/>
              </w:tabs>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5419867">
            <w:pPr>
              <w:tabs>
                <w:tab w:val="left" w:pos="266"/>
              </w:tabs>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96DBBF9">
            <w:pPr>
              <w:tabs>
                <w:tab w:val="left" w:pos="266"/>
              </w:tabs>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3994086">
            <w:pPr>
              <w:tabs>
                <w:tab w:val="left" w:pos="266"/>
              </w:tabs>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auto" w:sz="4" w:space="0"/>
              <w:right w:val="single" w:color="000000" w:sz="4" w:space="0"/>
            </w:tcBorders>
            <w:noWrap/>
            <w:vAlign w:val="center"/>
          </w:tcPr>
          <w:p w14:paraId="2ABEFC3D">
            <w:pPr>
              <w:tabs>
                <w:tab w:val="left" w:pos="266"/>
              </w:tabs>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auto" w:sz="4" w:space="0"/>
              <w:right w:val="single" w:color="000000" w:sz="4" w:space="0"/>
            </w:tcBorders>
            <w:noWrap/>
            <w:vAlign w:val="center"/>
          </w:tcPr>
          <w:p w14:paraId="094D3F1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auto" w:sz="4" w:space="0"/>
              <w:right w:val="single" w:color="000000" w:sz="4" w:space="0"/>
            </w:tcBorders>
            <w:noWrap/>
            <w:vAlign w:val="center"/>
          </w:tcPr>
          <w:p w14:paraId="0EA18ECE">
            <w:pPr>
              <w:tabs>
                <w:tab w:val="left" w:pos="266"/>
              </w:tabs>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ADA98B5">
            <w:pPr>
              <w:tabs>
                <w:tab w:val="left" w:pos="266"/>
              </w:tabs>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1723A954">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82B78F8">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0A1CBF07">
            <w:pPr>
              <w:tabs>
                <w:tab w:val="left" w:pos="266"/>
              </w:tabs>
              <w:rPr>
                <w:rFonts w:hint="eastAsia" w:ascii="仿宋_GB2312" w:hAnsi="仿宋_GB2312" w:eastAsia="仿宋_GB2312" w:cs="仿宋_GB2312"/>
                <w:kern w:val="0"/>
                <w:szCs w:val="21"/>
              </w:rPr>
            </w:pPr>
          </w:p>
        </w:tc>
      </w:tr>
      <w:tr w14:paraId="57163CCC">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20D6E5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36F3367">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82C7496">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972BD15">
            <w:pPr>
              <w:tabs>
                <w:tab w:val="left" w:pos="266"/>
              </w:tabs>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5DA7E39">
            <w:pPr>
              <w:tabs>
                <w:tab w:val="left" w:pos="266"/>
              </w:tabs>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A6375A1">
            <w:pPr>
              <w:tabs>
                <w:tab w:val="left" w:pos="266"/>
              </w:tabs>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90BA62C">
            <w:pPr>
              <w:tabs>
                <w:tab w:val="left" w:pos="266"/>
              </w:tabs>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auto" w:sz="4" w:space="0"/>
            </w:tcBorders>
            <w:noWrap/>
            <w:vAlign w:val="center"/>
          </w:tcPr>
          <w:p w14:paraId="18C6BB59">
            <w:pPr>
              <w:tabs>
                <w:tab w:val="left" w:pos="266"/>
              </w:tabs>
              <w:rPr>
                <w:rFonts w:hint="eastAsia" w:ascii="仿宋_GB2312" w:hAnsi="仿宋_GB2312" w:eastAsia="仿宋_GB2312" w:cs="仿宋_GB2312"/>
                <w:kern w:val="0"/>
                <w:szCs w:val="21"/>
              </w:rPr>
            </w:pPr>
          </w:p>
        </w:tc>
        <w:tc>
          <w:tcPr>
            <w:tcW w:w="277" w:type="pct"/>
            <w:tcBorders>
              <w:top w:val="single" w:color="auto" w:sz="4" w:space="0"/>
              <w:left w:val="single" w:color="auto" w:sz="4" w:space="0"/>
              <w:bottom w:val="single" w:color="auto" w:sz="4" w:space="0"/>
              <w:right w:val="single" w:color="auto" w:sz="4" w:space="0"/>
            </w:tcBorders>
            <w:noWrap/>
            <w:vAlign w:val="center"/>
          </w:tcPr>
          <w:p w14:paraId="601C4BAB">
            <w:pPr>
              <w:tabs>
                <w:tab w:val="left" w:pos="266"/>
              </w:tabs>
              <w:rPr>
                <w:rFonts w:hint="eastAsia" w:ascii="仿宋_GB2312" w:hAnsi="仿宋_GB2312" w:eastAsia="仿宋_GB2312" w:cs="仿宋_GB2312"/>
                <w:kern w:val="0"/>
                <w:szCs w:val="21"/>
              </w:rPr>
            </w:pPr>
          </w:p>
        </w:tc>
        <w:tc>
          <w:tcPr>
            <w:tcW w:w="286" w:type="pct"/>
            <w:tcBorders>
              <w:top w:val="single" w:color="auto" w:sz="4" w:space="0"/>
              <w:left w:val="single" w:color="auto" w:sz="4" w:space="0"/>
              <w:bottom w:val="single" w:color="auto" w:sz="4" w:space="0"/>
              <w:right w:val="single" w:color="auto" w:sz="4" w:space="0"/>
            </w:tcBorders>
            <w:noWrap/>
            <w:vAlign w:val="center"/>
          </w:tcPr>
          <w:p w14:paraId="7E73C5D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auto" w:sz="4" w:space="0"/>
              <w:left w:val="single" w:color="auto" w:sz="4" w:space="0"/>
              <w:bottom w:val="single" w:color="auto" w:sz="4" w:space="0"/>
              <w:right w:val="single" w:color="auto" w:sz="4" w:space="0"/>
            </w:tcBorders>
            <w:noWrap/>
            <w:vAlign w:val="center"/>
          </w:tcPr>
          <w:p w14:paraId="55045D37">
            <w:pPr>
              <w:tabs>
                <w:tab w:val="left" w:pos="266"/>
              </w:tabs>
              <w:rPr>
                <w:rFonts w:hint="eastAsia" w:ascii="仿宋_GB2312" w:hAnsi="仿宋_GB2312" w:eastAsia="仿宋_GB2312" w:cs="仿宋_GB2312"/>
                <w:kern w:val="0"/>
                <w:szCs w:val="21"/>
              </w:rPr>
            </w:pPr>
          </w:p>
        </w:tc>
        <w:tc>
          <w:tcPr>
            <w:tcW w:w="337" w:type="pct"/>
            <w:tcBorders>
              <w:top w:val="single" w:color="000000" w:sz="4" w:space="0"/>
              <w:left w:val="single" w:color="auto" w:sz="4" w:space="0"/>
              <w:bottom w:val="single" w:color="000000" w:sz="4" w:space="0"/>
              <w:right w:val="single" w:color="000000" w:sz="4" w:space="0"/>
            </w:tcBorders>
            <w:noWrap/>
            <w:vAlign w:val="center"/>
          </w:tcPr>
          <w:p w14:paraId="45DE1638">
            <w:pPr>
              <w:tabs>
                <w:tab w:val="left" w:pos="266"/>
              </w:tabs>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8474B63">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91D4E6E">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760B541">
            <w:pPr>
              <w:tabs>
                <w:tab w:val="left" w:pos="266"/>
              </w:tabs>
              <w:rPr>
                <w:rFonts w:hint="eastAsia" w:ascii="仿宋_GB2312" w:hAnsi="仿宋_GB2312" w:eastAsia="仿宋_GB2312" w:cs="仿宋_GB2312"/>
                <w:kern w:val="0"/>
                <w:szCs w:val="21"/>
              </w:rPr>
            </w:pPr>
          </w:p>
        </w:tc>
      </w:tr>
      <w:tr w14:paraId="7C83646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8F69E65">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D39D21C">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B137662">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103CF17">
            <w:pPr>
              <w:tabs>
                <w:tab w:val="left" w:pos="266"/>
              </w:tabs>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32408AE">
            <w:pPr>
              <w:tabs>
                <w:tab w:val="left" w:pos="266"/>
              </w:tabs>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90B2101">
            <w:pPr>
              <w:tabs>
                <w:tab w:val="left" w:pos="266"/>
              </w:tabs>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BCA6D74">
            <w:pPr>
              <w:tabs>
                <w:tab w:val="left" w:pos="266"/>
              </w:tabs>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5280318">
            <w:pPr>
              <w:tabs>
                <w:tab w:val="left" w:pos="266"/>
              </w:tabs>
              <w:rPr>
                <w:rFonts w:hint="eastAsia" w:ascii="仿宋_GB2312" w:hAnsi="仿宋_GB2312" w:eastAsia="仿宋_GB2312" w:cs="仿宋_GB2312"/>
                <w:kern w:val="0"/>
                <w:szCs w:val="21"/>
              </w:rPr>
            </w:pPr>
          </w:p>
        </w:tc>
        <w:tc>
          <w:tcPr>
            <w:tcW w:w="277" w:type="pct"/>
            <w:tcBorders>
              <w:top w:val="single" w:color="auto" w:sz="4" w:space="0"/>
              <w:left w:val="single" w:color="000000" w:sz="4" w:space="0"/>
              <w:bottom w:val="single" w:color="000000" w:sz="4" w:space="0"/>
              <w:right w:val="single" w:color="000000" w:sz="4" w:space="0"/>
            </w:tcBorders>
            <w:noWrap/>
            <w:vAlign w:val="center"/>
          </w:tcPr>
          <w:p w14:paraId="31D3806F">
            <w:pPr>
              <w:tabs>
                <w:tab w:val="left" w:pos="266"/>
              </w:tabs>
              <w:rPr>
                <w:rFonts w:hint="eastAsia" w:ascii="仿宋_GB2312" w:hAnsi="仿宋_GB2312" w:eastAsia="仿宋_GB2312" w:cs="仿宋_GB2312"/>
                <w:kern w:val="0"/>
                <w:szCs w:val="21"/>
              </w:rPr>
            </w:pPr>
          </w:p>
        </w:tc>
        <w:tc>
          <w:tcPr>
            <w:tcW w:w="286" w:type="pct"/>
            <w:tcBorders>
              <w:top w:val="single" w:color="auto" w:sz="4" w:space="0"/>
              <w:left w:val="single" w:color="000000" w:sz="4" w:space="0"/>
              <w:bottom w:val="single" w:color="000000" w:sz="4" w:space="0"/>
              <w:right w:val="single" w:color="000000" w:sz="4" w:space="0"/>
            </w:tcBorders>
            <w:noWrap/>
            <w:vAlign w:val="center"/>
          </w:tcPr>
          <w:p w14:paraId="750D333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auto" w:sz="4" w:space="0"/>
              <w:left w:val="single" w:color="000000" w:sz="4" w:space="0"/>
              <w:bottom w:val="single" w:color="000000" w:sz="4" w:space="0"/>
              <w:right w:val="single" w:color="000000" w:sz="4" w:space="0"/>
            </w:tcBorders>
            <w:noWrap/>
            <w:vAlign w:val="center"/>
          </w:tcPr>
          <w:p w14:paraId="751923E0">
            <w:pPr>
              <w:tabs>
                <w:tab w:val="left" w:pos="266"/>
              </w:tabs>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F42CCE0">
            <w:pPr>
              <w:tabs>
                <w:tab w:val="left" w:pos="266"/>
              </w:tabs>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A1429D4">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0D32183">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FF5DB49">
            <w:pPr>
              <w:tabs>
                <w:tab w:val="left" w:pos="266"/>
              </w:tabs>
              <w:rPr>
                <w:rFonts w:hint="eastAsia" w:ascii="仿宋_GB2312" w:hAnsi="仿宋_GB2312" w:eastAsia="仿宋_GB2312" w:cs="仿宋_GB2312"/>
                <w:kern w:val="0"/>
                <w:szCs w:val="21"/>
              </w:rPr>
            </w:pPr>
          </w:p>
        </w:tc>
      </w:tr>
      <w:tr w14:paraId="5D0493E1">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E3D9999">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B6F988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072197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nil"/>
              <w:right w:val="single" w:color="000000" w:sz="4" w:space="0"/>
            </w:tcBorders>
            <w:noWrap/>
            <w:vAlign w:val="center"/>
          </w:tcPr>
          <w:p w14:paraId="404A5D5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912958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nil"/>
              <w:right w:val="single" w:color="000000" w:sz="4" w:space="0"/>
            </w:tcBorders>
            <w:noWrap/>
            <w:vAlign w:val="center"/>
          </w:tcPr>
          <w:p w14:paraId="450CDCDD">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13B84A1">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030793F">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C175544">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nil"/>
              <w:right w:val="single" w:color="000000" w:sz="4" w:space="0"/>
            </w:tcBorders>
            <w:noWrap/>
            <w:vAlign w:val="center"/>
          </w:tcPr>
          <w:p w14:paraId="3609265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nil"/>
              <w:right w:val="single" w:color="000000" w:sz="4" w:space="0"/>
            </w:tcBorders>
            <w:noWrap/>
            <w:vAlign w:val="center"/>
          </w:tcPr>
          <w:p w14:paraId="7A343C02">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D7727C6">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2DFF53DB">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A973AB2">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A31CA3F">
            <w:pPr>
              <w:tabs>
                <w:tab w:val="left" w:pos="266"/>
              </w:tabs>
              <w:jc w:val="center"/>
              <w:rPr>
                <w:rFonts w:hint="eastAsia" w:ascii="仿宋_GB2312" w:hAnsi="仿宋_GB2312" w:eastAsia="仿宋_GB2312" w:cs="仿宋_GB2312"/>
                <w:kern w:val="0"/>
                <w:szCs w:val="21"/>
              </w:rPr>
            </w:pPr>
          </w:p>
        </w:tc>
      </w:tr>
      <w:tr w14:paraId="54529952">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FECB78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5DEC40F">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95D538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nil"/>
              <w:right w:val="single" w:color="000000" w:sz="4" w:space="0"/>
            </w:tcBorders>
            <w:noWrap/>
            <w:vAlign w:val="center"/>
          </w:tcPr>
          <w:p w14:paraId="272254A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E181D35">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nil"/>
              <w:right w:val="single" w:color="000000" w:sz="4" w:space="0"/>
            </w:tcBorders>
            <w:noWrap/>
            <w:vAlign w:val="center"/>
          </w:tcPr>
          <w:p w14:paraId="4D0162CA">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B285888">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02A07491">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32CD889">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nil"/>
              <w:right w:val="single" w:color="000000" w:sz="4" w:space="0"/>
            </w:tcBorders>
            <w:noWrap/>
            <w:vAlign w:val="center"/>
          </w:tcPr>
          <w:p w14:paraId="0B0C044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nil"/>
              <w:right w:val="single" w:color="000000" w:sz="4" w:space="0"/>
            </w:tcBorders>
            <w:noWrap/>
            <w:vAlign w:val="center"/>
          </w:tcPr>
          <w:p w14:paraId="375E9013">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8903853">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6846962">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04DB2885">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0C3E4FAD">
            <w:pPr>
              <w:tabs>
                <w:tab w:val="left" w:pos="266"/>
              </w:tabs>
              <w:jc w:val="center"/>
              <w:rPr>
                <w:rFonts w:hint="eastAsia" w:ascii="仿宋_GB2312" w:hAnsi="仿宋_GB2312" w:eastAsia="仿宋_GB2312" w:cs="仿宋_GB2312"/>
                <w:kern w:val="0"/>
                <w:szCs w:val="21"/>
              </w:rPr>
            </w:pPr>
          </w:p>
        </w:tc>
      </w:tr>
      <w:tr w14:paraId="4AB228F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658362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76F2376">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CC90F8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6B1F6A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DB587B6">
            <w:pPr>
              <w:tabs>
                <w:tab w:val="left" w:pos="266"/>
              </w:tabs>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BFDA10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CFF03EF">
            <w:pPr>
              <w:tabs>
                <w:tab w:val="left" w:pos="266"/>
              </w:tabs>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06920718">
            <w:pPr>
              <w:tabs>
                <w:tab w:val="left" w:pos="266"/>
              </w:tabs>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D2C0E71">
            <w:pPr>
              <w:tabs>
                <w:tab w:val="left" w:pos="266"/>
              </w:tabs>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FBFCF7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11A1EC3E">
            <w:pPr>
              <w:tabs>
                <w:tab w:val="left" w:pos="266"/>
              </w:tabs>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4D2BD5D">
            <w:pPr>
              <w:tabs>
                <w:tab w:val="left" w:pos="266"/>
              </w:tabs>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6EF0174">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A7FC5A0">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F1935D5">
            <w:pPr>
              <w:tabs>
                <w:tab w:val="left" w:pos="266"/>
              </w:tabs>
              <w:rPr>
                <w:rFonts w:hint="eastAsia" w:ascii="仿宋_GB2312" w:hAnsi="仿宋_GB2312" w:eastAsia="仿宋_GB2312" w:cs="仿宋_GB2312"/>
                <w:kern w:val="0"/>
                <w:szCs w:val="21"/>
              </w:rPr>
            </w:pPr>
          </w:p>
        </w:tc>
      </w:tr>
      <w:tr w14:paraId="0B593AD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26A823A">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C7D16FB">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759D4D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nil"/>
              <w:right w:val="single" w:color="000000" w:sz="4" w:space="0"/>
            </w:tcBorders>
            <w:noWrap/>
            <w:vAlign w:val="center"/>
          </w:tcPr>
          <w:p w14:paraId="352CC9C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B201F6B">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0E63145">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EF042F3">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C95BEBB">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72BA1A6">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405A22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962ACD9">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2FBFEE5">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9FC5DCF">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7A2B55E">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A9163EB">
            <w:pPr>
              <w:tabs>
                <w:tab w:val="left" w:pos="266"/>
              </w:tabs>
              <w:jc w:val="center"/>
              <w:rPr>
                <w:rFonts w:hint="eastAsia" w:ascii="仿宋_GB2312" w:hAnsi="仿宋_GB2312" w:eastAsia="仿宋_GB2312" w:cs="仿宋_GB2312"/>
                <w:kern w:val="0"/>
                <w:szCs w:val="21"/>
              </w:rPr>
            </w:pPr>
          </w:p>
        </w:tc>
      </w:tr>
      <w:tr w14:paraId="622B921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B7CC099">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56E77AB4">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清掏</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16BB89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E92FA5B">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E8FCEC4">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C9B0103">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13EE37D">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39DD4A7">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1C1B22E">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DE21BC5">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1DA02FE">
            <w:pPr>
              <w:tabs>
                <w:tab w:val="left" w:pos="266"/>
              </w:tabs>
              <w:jc w:val="center"/>
              <w:rPr>
                <w:rFonts w:hint="eastAsia" w:ascii="仿宋_GB2312" w:hAnsi="仿宋_GB2312" w:eastAsia="仿宋_GB2312" w:cs="仿宋_GB2312"/>
                <w:kern w:val="0"/>
                <w:szCs w:val="21"/>
              </w:rPr>
            </w:pPr>
          </w:p>
        </w:tc>
        <w:tc>
          <w:tcPr>
            <w:tcW w:w="337" w:type="pct"/>
            <w:vMerge w:val="restart"/>
            <w:tcBorders>
              <w:top w:val="single" w:color="000000" w:sz="4" w:space="0"/>
              <w:left w:val="single" w:color="000000" w:sz="4" w:space="0"/>
              <w:right w:val="single" w:color="000000" w:sz="4" w:space="0"/>
            </w:tcBorders>
            <w:noWrap/>
            <w:vAlign w:val="center"/>
          </w:tcPr>
          <w:p w14:paraId="5C548AB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vMerge w:val="restart"/>
            <w:tcBorders>
              <w:top w:val="single" w:color="000000" w:sz="4" w:space="0"/>
              <w:left w:val="single" w:color="000000" w:sz="4" w:space="0"/>
              <w:bottom w:val="single" w:color="000000" w:sz="4" w:space="0"/>
              <w:right w:val="single" w:color="000000" w:sz="4" w:space="0"/>
            </w:tcBorders>
            <w:noWrap/>
            <w:vAlign w:val="center"/>
          </w:tcPr>
          <w:p w14:paraId="41D0D45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0E80776A">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5F2C7B9C">
            <w:pPr>
              <w:tabs>
                <w:tab w:val="left" w:pos="266"/>
              </w:tabs>
              <w:jc w:val="center"/>
              <w:rPr>
                <w:rFonts w:hint="eastAsia" w:ascii="仿宋_GB2312" w:hAnsi="仿宋_GB2312" w:eastAsia="仿宋_GB2312" w:cs="仿宋_GB2312"/>
                <w:kern w:val="0"/>
                <w:szCs w:val="21"/>
              </w:rPr>
            </w:pPr>
          </w:p>
        </w:tc>
      </w:tr>
      <w:tr w14:paraId="0098EE6A">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3CC89E7">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1D197F3">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0CA2F1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B32A2BA">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DD4F169">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020FE68">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5EB8743">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680BA3C">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8B3A1A0">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C67D814">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211FBDA">
            <w:pPr>
              <w:tabs>
                <w:tab w:val="left" w:pos="266"/>
              </w:tabs>
              <w:jc w:val="center"/>
              <w:rPr>
                <w:rFonts w:hint="eastAsia" w:ascii="仿宋_GB2312" w:hAnsi="仿宋_GB2312" w:eastAsia="仿宋_GB2312" w:cs="仿宋_GB2312"/>
                <w:kern w:val="0"/>
                <w:szCs w:val="21"/>
              </w:rPr>
            </w:pPr>
          </w:p>
        </w:tc>
        <w:tc>
          <w:tcPr>
            <w:tcW w:w="337" w:type="pct"/>
            <w:vMerge w:val="continue"/>
            <w:tcBorders>
              <w:left w:val="single" w:color="000000" w:sz="4" w:space="0"/>
              <w:bottom w:val="single" w:color="000000" w:sz="4" w:space="0"/>
              <w:right w:val="single" w:color="000000" w:sz="4" w:space="0"/>
            </w:tcBorders>
            <w:noWrap/>
            <w:vAlign w:val="center"/>
          </w:tcPr>
          <w:p w14:paraId="3A4A398D">
            <w:pPr>
              <w:tabs>
                <w:tab w:val="left" w:pos="266"/>
              </w:tabs>
              <w:jc w:val="center"/>
              <w:rPr>
                <w:rFonts w:hint="eastAsia" w:ascii="仿宋_GB2312" w:hAnsi="仿宋_GB2312" w:eastAsia="仿宋_GB2312" w:cs="仿宋_GB2312"/>
                <w:kern w:val="0"/>
                <w:szCs w:val="21"/>
              </w:rPr>
            </w:pPr>
          </w:p>
        </w:tc>
        <w:tc>
          <w:tcPr>
            <w:tcW w:w="329" w:type="pct"/>
            <w:vMerge w:val="continue"/>
            <w:tcBorders>
              <w:top w:val="single" w:color="000000" w:sz="4" w:space="0"/>
              <w:left w:val="single" w:color="000000" w:sz="4" w:space="0"/>
              <w:bottom w:val="single" w:color="000000" w:sz="4" w:space="0"/>
              <w:right w:val="single" w:color="000000" w:sz="4" w:space="0"/>
            </w:tcBorders>
            <w:noWrap/>
            <w:vAlign w:val="center"/>
          </w:tcPr>
          <w:p w14:paraId="3A2DD333">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0191AC2">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9E8790B">
            <w:pPr>
              <w:tabs>
                <w:tab w:val="left" w:pos="266"/>
              </w:tabs>
              <w:jc w:val="center"/>
              <w:rPr>
                <w:rFonts w:hint="eastAsia" w:ascii="仿宋_GB2312" w:hAnsi="仿宋_GB2312" w:eastAsia="仿宋_GB2312" w:cs="仿宋_GB2312"/>
                <w:kern w:val="0"/>
                <w:szCs w:val="21"/>
              </w:rPr>
            </w:pPr>
          </w:p>
        </w:tc>
      </w:tr>
      <w:tr w14:paraId="0DEF6A6D">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FE44EB6">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7882C54">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7B1E8F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630" w:type="pct"/>
            <w:gridSpan w:val="14"/>
            <w:vMerge w:val="restart"/>
            <w:tcBorders>
              <w:top w:val="single" w:color="000000" w:sz="4" w:space="0"/>
              <w:left w:val="single" w:color="000000" w:sz="4" w:space="0"/>
              <w:bottom w:val="single" w:color="000000" w:sz="4" w:space="0"/>
              <w:right w:val="single" w:color="000000" w:sz="4" w:space="0"/>
            </w:tcBorders>
            <w:noWrap/>
            <w:vAlign w:val="center"/>
          </w:tcPr>
          <w:p w14:paraId="0CC68436">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一般情况下，5-7月份1次，11-12月份1次。按栽植区域具体分为：落叶树种落叶期每年1次，常绿树种落叶期1次，具体以落叶起止时间为准；栽植法桐区域或邻近法桐栽植区域全年6次，其中法桐落叶季（12-3月）每月1次，兼有以上2-3种情况的路段可结合进行。合计全年共2-6次。</w:t>
            </w:r>
          </w:p>
        </w:tc>
      </w:tr>
      <w:tr w14:paraId="2B83F126">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5D76DB0">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F7F1EC1">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91BEAC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30AE86FC">
            <w:pPr>
              <w:tabs>
                <w:tab w:val="left" w:pos="266"/>
              </w:tabs>
              <w:jc w:val="center"/>
              <w:rPr>
                <w:rFonts w:hint="eastAsia" w:ascii="仿宋_GB2312" w:hAnsi="仿宋_GB2312" w:eastAsia="仿宋_GB2312" w:cs="仿宋_GB2312"/>
                <w:kern w:val="0"/>
                <w:szCs w:val="21"/>
              </w:rPr>
            </w:pPr>
          </w:p>
        </w:tc>
      </w:tr>
      <w:tr w14:paraId="490BD056">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92EFBB6">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BD8AE5D">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61F023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42A3B5A3">
            <w:pPr>
              <w:tabs>
                <w:tab w:val="left" w:pos="266"/>
              </w:tabs>
              <w:jc w:val="center"/>
              <w:rPr>
                <w:rFonts w:hint="eastAsia" w:ascii="仿宋_GB2312" w:hAnsi="仿宋_GB2312" w:eastAsia="仿宋_GB2312" w:cs="仿宋_GB2312"/>
                <w:kern w:val="0"/>
                <w:szCs w:val="21"/>
              </w:rPr>
            </w:pPr>
          </w:p>
        </w:tc>
      </w:tr>
      <w:tr w14:paraId="068366AC">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DA20BE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1660E1C">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21E7B7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2F01AA6F">
            <w:pPr>
              <w:tabs>
                <w:tab w:val="left" w:pos="266"/>
              </w:tabs>
              <w:jc w:val="center"/>
              <w:rPr>
                <w:rFonts w:hint="eastAsia" w:ascii="仿宋_GB2312" w:hAnsi="仿宋_GB2312" w:eastAsia="仿宋_GB2312" w:cs="仿宋_GB2312"/>
                <w:kern w:val="0"/>
                <w:szCs w:val="21"/>
              </w:rPr>
            </w:pPr>
          </w:p>
        </w:tc>
      </w:tr>
      <w:tr w14:paraId="7658D45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F4EFF7C">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1B61567">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9636CB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5309A774">
            <w:pPr>
              <w:tabs>
                <w:tab w:val="left" w:pos="266"/>
              </w:tabs>
              <w:jc w:val="center"/>
              <w:rPr>
                <w:rFonts w:hint="eastAsia" w:ascii="仿宋_GB2312" w:hAnsi="仿宋_GB2312" w:eastAsia="仿宋_GB2312" w:cs="仿宋_GB2312"/>
                <w:kern w:val="0"/>
                <w:szCs w:val="21"/>
              </w:rPr>
            </w:pPr>
          </w:p>
        </w:tc>
      </w:tr>
      <w:tr w14:paraId="7D030CB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A257248">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74B86398">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除草</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92B952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174E566">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D688508">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7F7C7D9">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8C3BC64">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E23D161">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D288D0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8B9CA3A">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6A4452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7B399B0">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1EE1FF5">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0A4B4B9">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9CE0C27">
            <w:pPr>
              <w:tabs>
                <w:tab w:val="left" w:pos="266"/>
              </w:tabs>
              <w:jc w:val="center"/>
              <w:rPr>
                <w:rFonts w:hint="eastAsia" w:ascii="仿宋_GB2312" w:hAnsi="仿宋_GB2312" w:eastAsia="仿宋_GB2312" w:cs="仿宋_GB2312"/>
                <w:kern w:val="0"/>
                <w:szCs w:val="21"/>
              </w:rPr>
            </w:pPr>
          </w:p>
        </w:tc>
      </w:tr>
      <w:tr w14:paraId="0227ECE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70FF61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72CD8D9">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AA6BB2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488BA40">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97A082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CD51F4F">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C00103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51C81B50">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13D38F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9B45CC5">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8C4AD4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2172C90">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186348D0">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022A144">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E2A301C">
            <w:pPr>
              <w:tabs>
                <w:tab w:val="left" w:pos="266"/>
              </w:tabs>
              <w:jc w:val="center"/>
              <w:rPr>
                <w:rFonts w:hint="eastAsia" w:ascii="仿宋_GB2312" w:hAnsi="仿宋_GB2312" w:eastAsia="仿宋_GB2312" w:cs="仿宋_GB2312"/>
                <w:kern w:val="0"/>
                <w:szCs w:val="21"/>
              </w:rPr>
            </w:pPr>
          </w:p>
        </w:tc>
      </w:tr>
      <w:tr w14:paraId="440DF18C">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E602FA2">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0BF7BB8">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27F06E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82F3CA6">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5D55A77">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67E2B26">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7AC2EC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F0956E4">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BB5FB5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7902106">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D30FAB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B5A1CE3">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273DCEE">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03290877">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9401A23">
            <w:pPr>
              <w:tabs>
                <w:tab w:val="left" w:pos="266"/>
              </w:tabs>
              <w:jc w:val="center"/>
              <w:rPr>
                <w:rFonts w:hint="eastAsia" w:ascii="仿宋_GB2312" w:hAnsi="仿宋_GB2312" w:eastAsia="仿宋_GB2312" w:cs="仿宋_GB2312"/>
                <w:kern w:val="0"/>
                <w:szCs w:val="21"/>
              </w:rPr>
            </w:pPr>
          </w:p>
        </w:tc>
      </w:tr>
      <w:tr w14:paraId="1549346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753B426">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DF14B77">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7324AD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2A12C728">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CF7D75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DF9C2A7">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50493F0">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5E4B5B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B92517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F44BF8C">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A79425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2D02CD4">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1C05C31">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4E56F614">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7AD10C0">
            <w:pPr>
              <w:tabs>
                <w:tab w:val="left" w:pos="266"/>
              </w:tabs>
              <w:jc w:val="center"/>
              <w:rPr>
                <w:rFonts w:hint="eastAsia" w:ascii="仿宋_GB2312" w:hAnsi="仿宋_GB2312" w:eastAsia="仿宋_GB2312" w:cs="仿宋_GB2312"/>
                <w:kern w:val="0"/>
                <w:szCs w:val="21"/>
              </w:rPr>
            </w:pPr>
          </w:p>
        </w:tc>
      </w:tr>
      <w:tr w14:paraId="7BEA06BC">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3FBFAD9">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3A57B48">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51360B2">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F1D4366">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5660E4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080F380">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C711B9F">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DE86D0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F1516E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BE2E2BF">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097EAAE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E4B3F64">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FA1164A">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CE35136">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F86E0EA">
            <w:pPr>
              <w:tabs>
                <w:tab w:val="left" w:pos="266"/>
              </w:tabs>
              <w:jc w:val="center"/>
              <w:rPr>
                <w:rFonts w:hint="eastAsia" w:ascii="仿宋_GB2312" w:hAnsi="仿宋_GB2312" w:eastAsia="仿宋_GB2312" w:cs="仿宋_GB2312"/>
                <w:kern w:val="0"/>
                <w:szCs w:val="21"/>
              </w:rPr>
            </w:pPr>
          </w:p>
        </w:tc>
      </w:tr>
      <w:tr w14:paraId="63A5ED18">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200FEA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9FAC0B3">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E9EBAC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A80C9DD">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2A265B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9461556">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08D67E3">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4F15AC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5A6F9D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2C41DD2">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D0AEF9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2D3A6BD">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862BCEA">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6F8F189">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FB98592">
            <w:pPr>
              <w:tabs>
                <w:tab w:val="left" w:pos="266"/>
              </w:tabs>
              <w:jc w:val="center"/>
              <w:rPr>
                <w:rFonts w:hint="eastAsia" w:ascii="仿宋_GB2312" w:hAnsi="仿宋_GB2312" w:eastAsia="仿宋_GB2312" w:cs="仿宋_GB2312"/>
                <w:kern w:val="0"/>
                <w:szCs w:val="21"/>
              </w:rPr>
            </w:pPr>
          </w:p>
        </w:tc>
      </w:tr>
      <w:tr w14:paraId="19061D91">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0CA89F8">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46524CF">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35664A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A90F918">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110991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5B6AD21">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8F2D484">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1549B2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C76E0D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EFD5F9A">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6829F5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D34C33F">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05DE5DF6">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A33052D">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61E121B">
            <w:pPr>
              <w:tabs>
                <w:tab w:val="left" w:pos="266"/>
              </w:tabs>
              <w:jc w:val="center"/>
              <w:rPr>
                <w:rFonts w:hint="eastAsia" w:ascii="仿宋_GB2312" w:hAnsi="仿宋_GB2312" w:eastAsia="仿宋_GB2312" w:cs="仿宋_GB2312"/>
                <w:kern w:val="0"/>
                <w:szCs w:val="21"/>
              </w:rPr>
            </w:pPr>
          </w:p>
        </w:tc>
      </w:tr>
      <w:tr w14:paraId="1698E586">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0CE4F15">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735EFBA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水域管理</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51A8B3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水域保洁管理</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58F8D0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4F9753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52B32C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829301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0D4D95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A5F440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48ED31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≥25</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0B35E5A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≥25</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0533E4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≥30</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4899818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≥30</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E45992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56305F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r>
      <w:tr w14:paraId="207DE2A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3BAB59E">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731CB28">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A66025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水生植物管理</w:t>
            </w:r>
          </w:p>
        </w:tc>
        <w:tc>
          <w:tcPr>
            <w:tcW w:w="2364" w:type="pct"/>
            <w:gridSpan w:val="8"/>
            <w:tcBorders>
              <w:top w:val="single" w:color="000000" w:sz="4" w:space="0"/>
              <w:left w:val="single" w:color="000000" w:sz="4" w:space="0"/>
              <w:bottom w:val="single" w:color="000000" w:sz="4" w:space="0"/>
              <w:right w:val="single" w:color="000000" w:sz="4" w:space="0"/>
            </w:tcBorders>
            <w:noWrap/>
            <w:vAlign w:val="center"/>
          </w:tcPr>
          <w:p w14:paraId="4AEA68B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根据需要进行病虫害防治，喷施钾肥、多效唑等防倒伏</w:t>
            </w:r>
          </w:p>
        </w:tc>
        <w:tc>
          <w:tcPr>
            <w:tcW w:w="666" w:type="pct"/>
            <w:gridSpan w:val="2"/>
            <w:tcBorders>
              <w:top w:val="single" w:color="000000" w:sz="4" w:space="0"/>
              <w:left w:val="single" w:color="000000" w:sz="4" w:space="0"/>
              <w:bottom w:val="single" w:color="000000" w:sz="4" w:space="0"/>
              <w:right w:val="single" w:color="000000" w:sz="4" w:space="0"/>
            </w:tcBorders>
            <w:noWrap/>
            <w:vAlign w:val="center"/>
          </w:tcPr>
          <w:p w14:paraId="2ABA0D4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割除地上干枯，12月检查</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D23CC5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628189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w:t>
            </w:r>
          </w:p>
        </w:tc>
      </w:tr>
      <w:tr w14:paraId="47366B1A">
        <w:tblPrEx>
          <w:tblCellMar>
            <w:top w:w="0" w:type="dxa"/>
            <w:left w:w="108" w:type="dxa"/>
            <w:bottom w:w="0" w:type="dxa"/>
            <w:right w:w="108" w:type="dxa"/>
          </w:tblCellMar>
        </w:tblPrEx>
        <w:trPr>
          <w:trHeight w:val="23" w:hRule="atLeast"/>
          <w:jc w:val="center"/>
        </w:trPr>
        <w:tc>
          <w:tcPr>
            <w:tcW w:w="236" w:type="pct"/>
            <w:vMerge w:val="restart"/>
            <w:tcBorders>
              <w:top w:val="single" w:color="000000" w:sz="4" w:space="0"/>
              <w:left w:val="single" w:color="000000" w:sz="4" w:space="0"/>
              <w:bottom w:val="single" w:color="000000" w:sz="4" w:space="0"/>
              <w:right w:val="single" w:color="000000" w:sz="4" w:space="0"/>
            </w:tcBorders>
            <w:noWrap/>
            <w:vAlign w:val="center"/>
          </w:tcPr>
          <w:p w14:paraId="21D0785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B档</w:t>
            </w: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5FC0413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浇水</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B4BF0F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D41F00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A76E06F">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E433978">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0654DB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76CCB1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934BB7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1349A71">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73E92A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FD6F738">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2A1063F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376FB2A">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5B939238">
            <w:pPr>
              <w:tabs>
                <w:tab w:val="left" w:pos="266"/>
              </w:tabs>
              <w:jc w:val="center"/>
              <w:rPr>
                <w:rFonts w:hint="eastAsia" w:ascii="仿宋_GB2312" w:hAnsi="仿宋_GB2312" w:eastAsia="仿宋_GB2312" w:cs="仿宋_GB2312"/>
                <w:kern w:val="0"/>
                <w:szCs w:val="21"/>
              </w:rPr>
            </w:pPr>
          </w:p>
        </w:tc>
      </w:tr>
      <w:tr w14:paraId="7DD00033">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9266520">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027CD32">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6C30CF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4C2745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F87211C">
            <w:pPr>
              <w:tabs>
                <w:tab w:val="left" w:pos="266"/>
              </w:tabs>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FE198E4">
            <w:pPr>
              <w:tabs>
                <w:tab w:val="left" w:pos="266"/>
              </w:tabs>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A9CAB9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5EFAD6D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97002E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0BE4C6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600980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5232AF6">
            <w:pPr>
              <w:tabs>
                <w:tab w:val="left" w:pos="266"/>
              </w:tabs>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10DACED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9EF84A5">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8E0DDDD">
            <w:pPr>
              <w:tabs>
                <w:tab w:val="left" w:pos="266"/>
              </w:tabs>
              <w:rPr>
                <w:rFonts w:hint="eastAsia" w:ascii="仿宋_GB2312" w:hAnsi="仿宋_GB2312" w:eastAsia="仿宋_GB2312" w:cs="仿宋_GB2312"/>
                <w:kern w:val="0"/>
                <w:szCs w:val="21"/>
              </w:rPr>
            </w:pPr>
          </w:p>
        </w:tc>
      </w:tr>
      <w:tr w14:paraId="7CBAA26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C1CF78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72A6131">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0D3A0B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E382FE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599CD4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EC13AD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ED37EF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BFB1B8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EF0F77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60E5B2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BC4285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FF3B419">
            <w:pPr>
              <w:tabs>
                <w:tab w:val="left" w:pos="266"/>
              </w:tabs>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4241FE0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44F5E3C0">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982C5D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11222188">
        <w:tblPrEx>
          <w:tblCellMar>
            <w:top w:w="0" w:type="dxa"/>
            <w:left w:w="108" w:type="dxa"/>
            <w:bottom w:w="0" w:type="dxa"/>
            <w:right w:w="108" w:type="dxa"/>
          </w:tblCellMar>
        </w:tblPrEx>
        <w:trPr>
          <w:trHeight w:val="90"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623A08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EF2A889">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61F1682">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24F8E1D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710C3C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117D4A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43F940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01D9EA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79171A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67C2E5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03CFE9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C951E7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24ADD604">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2CCD96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2444D4C">
            <w:pPr>
              <w:tabs>
                <w:tab w:val="left" w:pos="266"/>
              </w:tabs>
              <w:rPr>
                <w:rFonts w:hint="eastAsia" w:ascii="仿宋_GB2312" w:hAnsi="仿宋_GB2312" w:eastAsia="仿宋_GB2312" w:cs="仿宋_GB2312"/>
                <w:kern w:val="0"/>
                <w:szCs w:val="21"/>
              </w:rPr>
            </w:pPr>
          </w:p>
        </w:tc>
      </w:tr>
      <w:tr w14:paraId="325A0A8B">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86CCF39">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46D05E6">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0B1452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DBEF14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80E323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4D826F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0A7338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50A0D3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063763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2353B0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0F3E794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FF7760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0CECE01">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B6451D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B91E587">
            <w:pPr>
              <w:tabs>
                <w:tab w:val="left" w:pos="266"/>
              </w:tabs>
              <w:rPr>
                <w:rFonts w:hint="eastAsia" w:ascii="仿宋_GB2312" w:hAnsi="仿宋_GB2312" w:eastAsia="仿宋_GB2312" w:cs="仿宋_GB2312"/>
                <w:kern w:val="0"/>
                <w:szCs w:val="21"/>
              </w:rPr>
            </w:pPr>
          </w:p>
        </w:tc>
      </w:tr>
      <w:tr w14:paraId="0073871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187F770">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4B65529">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32FFD4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29D4362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E184D1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7632D0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B2C845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C4C401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1308A2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C97249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07C5CE5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7E0E3F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66C4283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336904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F78057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67B158C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50B386A">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2ADCC03">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9A07CF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EB38FE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C91F1A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87C564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965046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6D2B2B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DD7B06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17D6A6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D29F4E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CEAC58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6FC920F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ECC3411">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7BA7CD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11CC641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FA68A7B">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2540A9C6">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病虫害防治</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0DE51D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630" w:type="pct"/>
            <w:gridSpan w:val="14"/>
            <w:vMerge w:val="restart"/>
            <w:tcBorders>
              <w:top w:val="single" w:color="000000" w:sz="4" w:space="0"/>
              <w:left w:val="single" w:color="000000" w:sz="4" w:space="0"/>
              <w:bottom w:val="single" w:color="000000" w:sz="4" w:space="0"/>
              <w:right w:val="single" w:color="000000" w:sz="4" w:space="0"/>
            </w:tcBorders>
            <w:noWrap/>
            <w:vAlign w:val="center"/>
          </w:tcPr>
          <w:p w14:paraId="3986163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乔木3次，冷季型草坪3次/年，暖季型草坪2次/年，其他各类植物全年2次，具体防治时间、频次因植物种类、天气等因素确定，病害重点参照全市病虫害防治月历及当年测报讯息实施，虫害根据监测结果及时防治</w:t>
            </w:r>
          </w:p>
        </w:tc>
      </w:tr>
      <w:tr w14:paraId="39477ACC">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BFCFCC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04AE89F">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A86195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2F1EBAFE">
            <w:pPr>
              <w:tabs>
                <w:tab w:val="left" w:pos="266"/>
              </w:tabs>
              <w:jc w:val="center"/>
              <w:rPr>
                <w:rFonts w:hint="eastAsia" w:ascii="仿宋_GB2312" w:hAnsi="仿宋_GB2312" w:eastAsia="仿宋_GB2312" w:cs="仿宋_GB2312"/>
                <w:kern w:val="0"/>
                <w:szCs w:val="21"/>
              </w:rPr>
            </w:pPr>
          </w:p>
        </w:tc>
      </w:tr>
      <w:tr w14:paraId="6C257E3C">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2FD738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CE06A7C">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AE2ACE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13A785C5">
            <w:pPr>
              <w:tabs>
                <w:tab w:val="left" w:pos="266"/>
              </w:tabs>
              <w:jc w:val="center"/>
              <w:rPr>
                <w:rFonts w:hint="eastAsia" w:ascii="仿宋_GB2312" w:hAnsi="仿宋_GB2312" w:eastAsia="仿宋_GB2312" w:cs="仿宋_GB2312"/>
                <w:kern w:val="0"/>
                <w:szCs w:val="21"/>
              </w:rPr>
            </w:pPr>
          </w:p>
        </w:tc>
      </w:tr>
      <w:tr w14:paraId="0C923D4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93DCD92">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29B229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5D5CA9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57AA63FD">
            <w:pPr>
              <w:tabs>
                <w:tab w:val="left" w:pos="266"/>
              </w:tabs>
              <w:jc w:val="center"/>
              <w:rPr>
                <w:rFonts w:hint="eastAsia" w:ascii="仿宋_GB2312" w:hAnsi="仿宋_GB2312" w:eastAsia="仿宋_GB2312" w:cs="仿宋_GB2312"/>
                <w:kern w:val="0"/>
                <w:szCs w:val="21"/>
              </w:rPr>
            </w:pPr>
          </w:p>
        </w:tc>
      </w:tr>
      <w:tr w14:paraId="1D5D7CF3">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C50631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A1EFE09">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15332A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52750A96">
            <w:pPr>
              <w:tabs>
                <w:tab w:val="left" w:pos="266"/>
              </w:tabs>
              <w:jc w:val="center"/>
              <w:rPr>
                <w:rFonts w:hint="eastAsia" w:ascii="仿宋_GB2312" w:hAnsi="仿宋_GB2312" w:eastAsia="仿宋_GB2312" w:cs="仿宋_GB2312"/>
                <w:kern w:val="0"/>
                <w:szCs w:val="21"/>
              </w:rPr>
            </w:pPr>
          </w:p>
        </w:tc>
      </w:tr>
      <w:tr w14:paraId="5774CC7C">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BB4EC6E">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D8EAAF7">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CF6248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36634D00">
            <w:pPr>
              <w:tabs>
                <w:tab w:val="left" w:pos="266"/>
              </w:tabs>
              <w:jc w:val="center"/>
              <w:rPr>
                <w:rFonts w:hint="eastAsia" w:ascii="仿宋_GB2312" w:hAnsi="仿宋_GB2312" w:eastAsia="仿宋_GB2312" w:cs="仿宋_GB2312"/>
                <w:kern w:val="0"/>
                <w:szCs w:val="21"/>
              </w:rPr>
            </w:pPr>
          </w:p>
        </w:tc>
      </w:tr>
      <w:tr w14:paraId="391A651C">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DDBC638">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E1FE9CB">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607EA2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1836B5B9">
            <w:pPr>
              <w:tabs>
                <w:tab w:val="left" w:pos="266"/>
              </w:tabs>
              <w:jc w:val="center"/>
              <w:rPr>
                <w:rFonts w:hint="eastAsia" w:ascii="仿宋_GB2312" w:hAnsi="仿宋_GB2312" w:eastAsia="仿宋_GB2312" w:cs="仿宋_GB2312"/>
                <w:kern w:val="0"/>
                <w:szCs w:val="21"/>
              </w:rPr>
            </w:pPr>
          </w:p>
        </w:tc>
      </w:tr>
      <w:tr w14:paraId="643DBB4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30A4A44">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55FDE9E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修剪</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5290F99">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5280682">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4AD96A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AD94541">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AF05956">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E2C377A">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50882BC">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B2180AE">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FDF8FDA">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583605A">
            <w:pPr>
              <w:tabs>
                <w:tab w:val="left" w:pos="266"/>
              </w:tabs>
              <w:jc w:val="center"/>
              <w:rPr>
                <w:rFonts w:hint="eastAsia" w:ascii="仿宋_GB2312" w:hAnsi="仿宋_GB2312" w:eastAsia="仿宋_GB2312" w:cs="仿宋_GB2312"/>
                <w:kern w:val="0"/>
                <w:szCs w:val="21"/>
              </w:rPr>
            </w:pPr>
          </w:p>
        </w:tc>
        <w:tc>
          <w:tcPr>
            <w:tcW w:w="928" w:type="pct"/>
            <w:gridSpan w:val="5"/>
            <w:tcBorders>
              <w:top w:val="single" w:color="000000" w:sz="4" w:space="0"/>
              <w:left w:val="single" w:color="000000" w:sz="4" w:space="0"/>
              <w:bottom w:val="single" w:color="000000" w:sz="4" w:space="0"/>
              <w:right w:val="single" w:color="000000" w:sz="4" w:space="0"/>
            </w:tcBorders>
            <w:noWrap/>
            <w:vAlign w:val="center"/>
          </w:tcPr>
          <w:p w14:paraId="1EF5D53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12-2月份全面1次，每月考核当月进度1/3即为合格</w:t>
            </w:r>
          </w:p>
        </w:tc>
      </w:tr>
      <w:tr w14:paraId="0BCBC44F">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A76781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BFDCDED">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BECD1CE">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630" w:type="pct"/>
            <w:gridSpan w:val="14"/>
            <w:tcBorders>
              <w:top w:val="single" w:color="000000" w:sz="4" w:space="0"/>
              <w:left w:val="single" w:color="000000" w:sz="4" w:space="0"/>
              <w:bottom w:val="single" w:color="000000" w:sz="4" w:space="0"/>
              <w:right w:val="single" w:color="000000" w:sz="4" w:space="0"/>
            </w:tcBorders>
            <w:noWrap/>
            <w:vAlign w:val="center"/>
          </w:tcPr>
          <w:p w14:paraId="70CDD6F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各类花灌木全年共修剪2次，其中花后修剪1次，月季例外，</w:t>
            </w:r>
          </w:p>
          <w:p w14:paraId="0634EE5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全年6次（4,5,7,8，9,11,）</w:t>
            </w:r>
          </w:p>
        </w:tc>
      </w:tr>
      <w:tr w14:paraId="32C6C193">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801376F">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00CB5CC">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5E323E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0CD2419">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0710F10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591" w:type="pct"/>
            <w:gridSpan w:val="2"/>
            <w:tcBorders>
              <w:top w:val="single" w:color="000000" w:sz="4" w:space="0"/>
              <w:left w:val="single" w:color="000000" w:sz="4" w:space="0"/>
              <w:bottom w:val="single" w:color="000000" w:sz="4" w:space="0"/>
              <w:right w:val="single" w:color="000000" w:sz="4" w:space="0"/>
            </w:tcBorders>
            <w:noWrap/>
            <w:vAlign w:val="center"/>
          </w:tcPr>
          <w:p w14:paraId="17FE111C">
            <w:pPr>
              <w:tabs>
                <w:tab w:val="left" w:pos="266"/>
              </w:tabs>
              <w:ind w:firstLine="420" w:firstLineChars="200"/>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DABC80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7DB7785">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850517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89C053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28569BD">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CA2305B">
            <w:pPr>
              <w:tabs>
                <w:tab w:val="left" w:pos="266"/>
              </w:tabs>
              <w:jc w:val="center"/>
              <w:rPr>
                <w:rFonts w:hint="eastAsia" w:ascii="仿宋_GB2312" w:hAnsi="仿宋_GB2312" w:eastAsia="仿宋_GB2312" w:cs="仿宋_GB2312"/>
                <w:kern w:val="0"/>
                <w:szCs w:val="21"/>
              </w:rPr>
            </w:pPr>
          </w:p>
        </w:tc>
        <w:tc>
          <w:tcPr>
            <w:tcW w:w="599" w:type="pct"/>
            <w:gridSpan w:val="4"/>
            <w:tcBorders>
              <w:top w:val="single" w:color="000000" w:sz="4" w:space="0"/>
              <w:left w:val="single" w:color="000000" w:sz="4" w:space="0"/>
              <w:bottom w:val="single" w:color="000000" w:sz="4" w:space="0"/>
              <w:right w:val="single" w:color="000000" w:sz="4" w:space="0"/>
            </w:tcBorders>
            <w:noWrap/>
            <w:vAlign w:val="center"/>
          </w:tcPr>
          <w:p w14:paraId="7FA1A884">
            <w:pPr>
              <w:tabs>
                <w:tab w:val="left" w:pos="266"/>
              </w:tabs>
              <w:jc w:val="center"/>
              <w:rPr>
                <w:rFonts w:hint="eastAsia" w:ascii="仿宋_GB2312" w:hAnsi="仿宋_GB2312" w:eastAsia="仿宋_GB2312" w:cs="仿宋_GB2312"/>
                <w:kern w:val="0"/>
                <w:szCs w:val="21"/>
              </w:rPr>
            </w:pPr>
          </w:p>
        </w:tc>
      </w:tr>
      <w:tr w14:paraId="4A5B3B2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5215EC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F88DA9E">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0DC8B4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F4EA367">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C6FD629">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34A7134">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8BF75B0">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FB4B87C">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F3C9A28">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D6CE246">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8E1D8A7">
            <w:pPr>
              <w:tabs>
                <w:tab w:val="left" w:pos="266"/>
              </w:tabs>
              <w:jc w:val="center"/>
              <w:rPr>
                <w:rFonts w:hint="eastAsia" w:ascii="仿宋_GB2312" w:hAnsi="仿宋_GB2312" w:eastAsia="仿宋_GB2312" w:cs="仿宋_GB2312"/>
                <w:kern w:val="0"/>
                <w:szCs w:val="21"/>
              </w:rPr>
            </w:pPr>
          </w:p>
        </w:tc>
        <w:tc>
          <w:tcPr>
            <w:tcW w:w="666" w:type="pct"/>
            <w:gridSpan w:val="2"/>
            <w:tcBorders>
              <w:top w:val="single" w:color="000000" w:sz="4" w:space="0"/>
              <w:left w:val="single" w:color="000000" w:sz="4" w:space="0"/>
              <w:bottom w:val="single" w:color="000000" w:sz="4" w:space="0"/>
              <w:right w:val="single" w:color="000000" w:sz="4" w:space="0"/>
            </w:tcBorders>
            <w:noWrap/>
            <w:vAlign w:val="center"/>
          </w:tcPr>
          <w:p w14:paraId="2A340B34">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427EB1F">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DF96131">
            <w:pPr>
              <w:tabs>
                <w:tab w:val="left" w:pos="266"/>
              </w:tabs>
              <w:jc w:val="center"/>
              <w:rPr>
                <w:rFonts w:hint="eastAsia" w:ascii="仿宋_GB2312" w:hAnsi="仿宋_GB2312" w:eastAsia="仿宋_GB2312" w:cs="仿宋_GB2312"/>
                <w:kern w:val="0"/>
                <w:szCs w:val="21"/>
              </w:rPr>
            </w:pPr>
          </w:p>
        </w:tc>
      </w:tr>
      <w:tr w14:paraId="119D10EB">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06F2280">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EB549B1">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9969039">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F77167A">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372CEF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EF5A8A5">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069D767">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849E0B3">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8E359AD">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AB91C55">
            <w:pPr>
              <w:tabs>
                <w:tab w:val="left" w:pos="266"/>
              </w:tabs>
              <w:jc w:val="center"/>
              <w:rPr>
                <w:rFonts w:hint="eastAsia" w:ascii="仿宋_GB2312" w:hAnsi="仿宋_GB2312" w:eastAsia="仿宋_GB2312" w:cs="仿宋_GB2312"/>
                <w:kern w:val="0"/>
                <w:szCs w:val="21"/>
              </w:rPr>
            </w:pPr>
          </w:p>
        </w:tc>
        <w:tc>
          <w:tcPr>
            <w:tcW w:w="990" w:type="pct"/>
            <w:gridSpan w:val="3"/>
            <w:tcBorders>
              <w:top w:val="single" w:color="000000" w:sz="4" w:space="0"/>
              <w:left w:val="single" w:color="000000" w:sz="4" w:space="0"/>
              <w:bottom w:val="single" w:color="000000" w:sz="4" w:space="0"/>
              <w:right w:val="single" w:color="000000" w:sz="4" w:space="0"/>
            </w:tcBorders>
            <w:noWrap/>
            <w:vAlign w:val="center"/>
          </w:tcPr>
          <w:p w14:paraId="2520294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7EAD0A0">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45D7625">
            <w:pPr>
              <w:tabs>
                <w:tab w:val="left" w:pos="266"/>
              </w:tabs>
              <w:jc w:val="center"/>
              <w:rPr>
                <w:rFonts w:hint="eastAsia" w:ascii="仿宋_GB2312" w:hAnsi="仿宋_GB2312" w:eastAsia="仿宋_GB2312" w:cs="仿宋_GB2312"/>
                <w:kern w:val="0"/>
                <w:szCs w:val="21"/>
              </w:rPr>
            </w:pPr>
          </w:p>
        </w:tc>
      </w:tr>
      <w:tr w14:paraId="1C03511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F1FF34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D75C5FF">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D0967A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28099E2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24B6377">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8F8FA2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4588F6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09E0F46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563" w:type="pct"/>
            <w:gridSpan w:val="2"/>
            <w:tcBorders>
              <w:top w:val="single" w:color="000000" w:sz="4" w:space="0"/>
              <w:left w:val="single" w:color="000000" w:sz="4" w:space="0"/>
              <w:bottom w:val="single" w:color="000000" w:sz="4" w:space="0"/>
              <w:right w:val="single" w:color="000000" w:sz="4" w:space="0"/>
            </w:tcBorders>
            <w:noWrap/>
            <w:vAlign w:val="center"/>
          </w:tcPr>
          <w:p w14:paraId="2BA76D99">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1235FB9">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212FD2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061A35E">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5D9822E">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5FF57CD1">
            <w:pPr>
              <w:tabs>
                <w:tab w:val="left" w:pos="266"/>
              </w:tabs>
              <w:jc w:val="center"/>
              <w:rPr>
                <w:rFonts w:hint="eastAsia" w:ascii="仿宋_GB2312" w:hAnsi="仿宋_GB2312" w:eastAsia="仿宋_GB2312" w:cs="仿宋_GB2312"/>
                <w:kern w:val="0"/>
                <w:szCs w:val="21"/>
              </w:rPr>
            </w:pPr>
          </w:p>
        </w:tc>
      </w:tr>
      <w:tr w14:paraId="1286F094">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FD742B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B66866B">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9B1F59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1FE51A2">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D6303D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4C9EDA0">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B8F9A4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5B044659">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CF9A13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9D67324">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05523FD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65C2493">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61F1B7C1">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3EEEC9E">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6EFA2AF">
            <w:pPr>
              <w:tabs>
                <w:tab w:val="left" w:pos="266"/>
              </w:tabs>
              <w:jc w:val="center"/>
              <w:rPr>
                <w:rFonts w:hint="eastAsia" w:ascii="仿宋_GB2312" w:hAnsi="仿宋_GB2312" w:eastAsia="仿宋_GB2312" w:cs="仿宋_GB2312"/>
                <w:kern w:val="0"/>
                <w:szCs w:val="21"/>
              </w:rPr>
            </w:pPr>
          </w:p>
        </w:tc>
      </w:tr>
      <w:tr w14:paraId="493CC70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631C751">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2251BB3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施肥</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D2312D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7B870F8">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219C042">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82A5195">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9EB3677">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D35BB58">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83E880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nil"/>
              <w:right w:val="single" w:color="000000" w:sz="4" w:space="0"/>
            </w:tcBorders>
            <w:noWrap/>
            <w:vAlign w:val="center"/>
          </w:tcPr>
          <w:p w14:paraId="412B6E3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8C9162E">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8063C79">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1BE61BA">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09E0A78">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3535254">
            <w:pPr>
              <w:tabs>
                <w:tab w:val="left" w:pos="266"/>
              </w:tabs>
              <w:jc w:val="center"/>
              <w:rPr>
                <w:rFonts w:hint="eastAsia" w:ascii="仿宋_GB2312" w:hAnsi="仿宋_GB2312" w:eastAsia="仿宋_GB2312" w:cs="仿宋_GB2312"/>
                <w:kern w:val="0"/>
                <w:szCs w:val="21"/>
              </w:rPr>
            </w:pPr>
          </w:p>
        </w:tc>
      </w:tr>
      <w:tr w14:paraId="267AAC1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2EDE54F">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2ADCA53">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D158612">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03F7C49">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0E77B53">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D927711">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1D56160">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08EB983">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38954A5">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nil"/>
              <w:right w:val="single" w:color="000000" w:sz="4" w:space="0"/>
            </w:tcBorders>
            <w:noWrap/>
            <w:vAlign w:val="center"/>
          </w:tcPr>
          <w:p w14:paraId="1F47577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AC0E7F9">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07003C3">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AED5DAE">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5A8DB4D">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8413871">
            <w:pPr>
              <w:tabs>
                <w:tab w:val="left" w:pos="266"/>
              </w:tabs>
              <w:jc w:val="center"/>
              <w:rPr>
                <w:rFonts w:hint="eastAsia" w:ascii="仿宋_GB2312" w:hAnsi="仿宋_GB2312" w:eastAsia="仿宋_GB2312" w:cs="仿宋_GB2312"/>
                <w:kern w:val="0"/>
                <w:szCs w:val="21"/>
              </w:rPr>
            </w:pPr>
          </w:p>
        </w:tc>
      </w:tr>
      <w:tr w14:paraId="731BDD86">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8307085">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695C083">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FF32AD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737DBF3">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648B1C2">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DB77372">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8C998E4">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AAAB90F">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BF8A6AE">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56E9808">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8413DE1">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61C7E2C">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6C642935">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1851AAA">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548C106">
            <w:pPr>
              <w:tabs>
                <w:tab w:val="left" w:pos="266"/>
              </w:tabs>
              <w:jc w:val="center"/>
              <w:rPr>
                <w:rFonts w:hint="eastAsia" w:ascii="仿宋_GB2312" w:hAnsi="仿宋_GB2312" w:eastAsia="仿宋_GB2312" w:cs="仿宋_GB2312"/>
                <w:kern w:val="0"/>
                <w:szCs w:val="21"/>
              </w:rPr>
            </w:pPr>
          </w:p>
        </w:tc>
      </w:tr>
      <w:tr w14:paraId="745504BD">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551EBB5">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1FBC229">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FA7229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22CAEDA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9859EB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AD514FD">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2D519B0">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391FD39">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4A78D0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nil"/>
              <w:right w:val="single" w:color="000000" w:sz="4" w:space="0"/>
            </w:tcBorders>
            <w:noWrap/>
            <w:vAlign w:val="center"/>
          </w:tcPr>
          <w:p w14:paraId="10174D6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A436221">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3EC1E51">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B98D5F1">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29F3D96">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767BDC4">
            <w:pPr>
              <w:tabs>
                <w:tab w:val="left" w:pos="266"/>
              </w:tabs>
              <w:jc w:val="center"/>
              <w:rPr>
                <w:rFonts w:hint="eastAsia" w:ascii="仿宋_GB2312" w:hAnsi="仿宋_GB2312" w:eastAsia="仿宋_GB2312" w:cs="仿宋_GB2312"/>
                <w:kern w:val="0"/>
                <w:szCs w:val="21"/>
              </w:rPr>
            </w:pPr>
          </w:p>
        </w:tc>
      </w:tr>
      <w:tr w14:paraId="303EA8F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A42A8B7">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5DD7014">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084387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F810F6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DAD998C">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C02103D">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76486CD">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780281D">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E323AD6">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nil"/>
              <w:right w:val="single" w:color="000000" w:sz="4" w:space="0"/>
            </w:tcBorders>
            <w:noWrap/>
            <w:vAlign w:val="center"/>
          </w:tcPr>
          <w:p w14:paraId="501F985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05A8442">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EC9F159">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FE0AA4B">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EE91A1F">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9EE37AD">
            <w:pPr>
              <w:tabs>
                <w:tab w:val="left" w:pos="266"/>
              </w:tabs>
              <w:jc w:val="center"/>
              <w:rPr>
                <w:rFonts w:hint="eastAsia" w:ascii="仿宋_GB2312" w:hAnsi="仿宋_GB2312" w:eastAsia="仿宋_GB2312" w:cs="仿宋_GB2312"/>
                <w:kern w:val="0"/>
                <w:szCs w:val="21"/>
              </w:rPr>
            </w:pPr>
          </w:p>
        </w:tc>
      </w:tr>
      <w:tr w14:paraId="08EDA14F">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AC3D897">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AB8E318">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504611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AA2748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5189516">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DEE57B7">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1134795">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1F47D67">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FCC906F">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FF5CD3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FFBE165">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D295CE8">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8DC031E">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1EFE875">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BF8F701">
            <w:pPr>
              <w:tabs>
                <w:tab w:val="left" w:pos="266"/>
              </w:tabs>
              <w:jc w:val="center"/>
              <w:rPr>
                <w:rFonts w:hint="eastAsia" w:ascii="仿宋_GB2312" w:hAnsi="仿宋_GB2312" w:eastAsia="仿宋_GB2312" w:cs="仿宋_GB2312"/>
                <w:kern w:val="0"/>
                <w:szCs w:val="21"/>
              </w:rPr>
            </w:pPr>
          </w:p>
        </w:tc>
      </w:tr>
      <w:tr w14:paraId="7D13E75F">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2EB7129">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901AD7C">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48C857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561361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E9C9ACB">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DE83907">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EF33D87">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0FA04DBA">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DEB8D3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36603B4">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auto" w:sz="4" w:space="0"/>
              <w:right w:val="single" w:color="000000" w:sz="4" w:space="0"/>
            </w:tcBorders>
            <w:noWrap/>
            <w:vAlign w:val="center"/>
          </w:tcPr>
          <w:p w14:paraId="5F9C8401">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auto" w:sz="4" w:space="0"/>
              <w:right w:val="single" w:color="000000" w:sz="4" w:space="0"/>
            </w:tcBorders>
            <w:noWrap/>
            <w:vAlign w:val="center"/>
          </w:tcPr>
          <w:p w14:paraId="10B76F4A">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2DCF0742">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B02F91C">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01002961">
            <w:pPr>
              <w:tabs>
                <w:tab w:val="left" w:pos="266"/>
              </w:tabs>
              <w:jc w:val="center"/>
              <w:rPr>
                <w:rFonts w:hint="eastAsia" w:ascii="仿宋_GB2312" w:hAnsi="仿宋_GB2312" w:eastAsia="仿宋_GB2312" w:cs="仿宋_GB2312"/>
                <w:kern w:val="0"/>
                <w:szCs w:val="21"/>
              </w:rPr>
            </w:pPr>
          </w:p>
        </w:tc>
      </w:tr>
      <w:tr w14:paraId="5A0679AB">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D21DCD3">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6ABE3BC9">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清掏</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C79625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DF55A94">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73744A5">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F4EB4E8">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B2F298B">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5E734472">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2BC5039">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auto" w:sz="4" w:space="0"/>
            </w:tcBorders>
            <w:noWrap/>
            <w:vAlign w:val="center"/>
          </w:tcPr>
          <w:p w14:paraId="49A8B0D9">
            <w:pPr>
              <w:tabs>
                <w:tab w:val="left" w:pos="266"/>
              </w:tabs>
              <w:jc w:val="center"/>
              <w:rPr>
                <w:rFonts w:hint="eastAsia" w:ascii="仿宋_GB2312" w:hAnsi="仿宋_GB2312" w:eastAsia="仿宋_GB2312" w:cs="仿宋_GB2312"/>
                <w:kern w:val="0"/>
                <w:szCs w:val="21"/>
              </w:rPr>
            </w:pPr>
          </w:p>
        </w:tc>
        <w:tc>
          <w:tcPr>
            <w:tcW w:w="323" w:type="pct"/>
            <w:tcBorders>
              <w:top w:val="single" w:color="auto" w:sz="4" w:space="0"/>
              <w:left w:val="single" w:color="auto" w:sz="4" w:space="0"/>
              <w:bottom w:val="single" w:color="auto" w:sz="4" w:space="0"/>
              <w:right w:val="single" w:color="auto" w:sz="4" w:space="0"/>
            </w:tcBorders>
            <w:noWrap/>
            <w:vAlign w:val="center"/>
          </w:tcPr>
          <w:p w14:paraId="70A021ED">
            <w:pPr>
              <w:tabs>
                <w:tab w:val="left" w:pos="266"/>
              </w:tabs>
              <w:jc w:val="center"/>
              <w:rPr>
                <w:rFonts w:hint="eastAsia" w:ascii="仿宋_GB2312" w:hAnsi="仿宋_GB2312" w:eastAsia="仿宋_GB2312" w:cs="仿宋_GB2312"/>
                <w:kern w:val="0"/>
                <w:szCs w:val="21"/>
              </w:rPr>
            </w:pPr>
          </w:p>
        </w:tc>
        <w:tc>
          <w:tcPr>
            <w:tcW w:w="337" w:type="pct"/>
            <w:vMerge w:val="restart"/>
            <w:tcBorders>
              <w:top w:val="single" w:color="auto" w:sz="4" w:space="0"/>
              <w:left w:val="single" w:color="auto" w:sz="4" w:space="0"/>
              <w:right w:val="single" w:color="auto" w:sz="4" w:space="0"/>
            </w:tcBorders>
            <w:noWrap/>
            <w:vAlign w:val="center"/>
          </w:tcPr>
          <w:p w14:paraId="1B3B531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vMerge w:val="restart"/>
            <w:tcBorders>
              <w:top w:val="single" w:color="000000" w:sz="4" w:space="0"/>
              <w:left w:val="single" w:color="auto" w:sz="4" w:space="0"/>
              <w:right w:val="single" w:color="000000" w:sz="4" w:space="0"/>
            </w:tcBorders>
            <w:noWrap/>
            <w:vAlign w:val="center"/>
          </w:tcPr>
          <w:p w14:paraId="45DE536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19FACA9">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B3FCDC9">
            <w:pPr>
              <w:tabs>
                <w:tab w:val="left" w:pos="266"/>
              </w:tabs>
              <w:jc w:val="center"/>
              <w:rPr>
                <w:rFonts w:hint="eastAsia" w:ascii="仿宋_GB2312" w:hAnsi="仿宋_GB2312" w:eastAsia="仿宋_GB2312" w:cs="仿宋_GB2312"/>
                <w:kern w:val="0"/>
                <w:szCs w:val="21"/>
              </w:rPr>
            </w:pPr>
          </w:p>
        </w:tc>
      </w:tr>
      <w:tr w14:paraId="774D591F">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07E6176">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9AE2AAF">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F7FC48F">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01BA945">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2ED1762">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9AA25DF">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E3F6797">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AB7C22E">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1082BFC">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D231362">
            <w:pPr>
              <w:tabs>
                <w:tab w:val="left" w:pos="266"/>
              </w:tabs>
              <w:jc w:val="center"/>
              <w:rPr>
                <w:rFonts w:hint="eastAsia" w:ascii="仿宋_GB2312" w:hAnsi="仿宋_GB2312" w:eastAsia="仿宋_GB2312" w:cs="仿宋_GB2312"/>
                <w:kern w:val="0"/>
                <w:szCs w:val="21"/>
              </w:rPr>
            </w:pPr>
          </w:p>
        </w:tc>
        <w:tc>
          <w:tcPr>
            <w:tcW w:w="323" w:type="pct"/>
            <w:tcBorders>
              <w:top w:val="single" w:color="auto" w:sz="4" w:space="0"/>
              <w:left w:val="single" w:color="000000" w:sz="4" w:space="0"/>
              <w:bottom w:val="single" w:color="000000" w:sz="4" w:space="0"/>
              <w:right w:val="single" w:color="000000" w:sz="4" w:space="0"/>
            </w:tcBorders>
            <w:noWrap/>
            <w:vAlign w:val="center"/>
          </w:tcPr>
          <w:p w14:paraId="727CF72C">
            <w:pPr>
              <w:tabs>
                <w:tab w:val="left" w:pos="266"/>
              </w:tabs>
              <w:jc w:val="center"/>
              <w:rPr>
                <w:rFonts w:hint="eastAsia" w:ascii="仿宋_GB2312" w:hAnsi="仿宋_GB2312" w:eastAsia="仿宋_GB2312" w:cs="仿宋_GB2312"/>
                <w:kern w:val="0"/>
                <w:szCs w:val="21"/>
              </w:rPr>
            </w:pPr>
          </w:p>
        </w:tc>
        <w:tc>
          <w:tcPr>
            <w:tcW w:w="337" w:type="pct"/>
            <w:vMerge w:val="continue"/>
            <w:tcBorders>
              <w:left w:val="single" w:color="auto" w:sz="4" w:space="0"/>
              <w:bottom w:val="single" w:color="000000" w:sz="4" w:space="0"/>
              <w:right w:val="single" w:color="auto" w:sz="4" w:space="0"/>
            </w:tcBorders>
            <w:noWrap/>
            <w:vAlign w:val="center"/>
          </w:tcPr>
          <w:p w14:paraId="74FE341E">
            <w:pPr>
              <w:tabs>
                <w:tab w:val="left" w:pos="266"/>
              </w:tabs>
              <w:jc w:val="center"/>
              <w:rPr>
                <w:rFonts w:hint="eastAsia" w:ascii="仿宋_GB2312" w:hAnsi="仿宋_GB2312" w:eastAsia="仿宋_GB2312" w:cs="仿宋_GB2312"/>
                <w:kern w:val="0"/>
                <w:szCs w:val="21"/>
              </w:rPr>
            </w:pPr>
          </w:p>
        </w:tc>
        <w:tc>
          <w:tcPr>
            <w:tcW w:w="329" w:type="pct"/>
            <w:vMerge w:val="continue"/>
            <w:tcBorders>
              <w:left w:val="single" w:color="auto" w:sz="4" w:space="0"/>
              <w:bottom w:val="single" w:color="000000" w:sz="4" w:space="0"/>
              <w:right w:val="single" w:color="000000" w:sz="4" w:space="0"/>
            </w:tcBorders>
            <w:noWrap/>
            <w:vAlign w:val="center"/>
          </w:tcPr>
          <w:p w14:paraId="4B9FC490">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4302B77D">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CE4CA8D">
            <w:pPr>
              <w:tabs>
                <w:tab w:val="left" w:pos="266"/>
              </w:tabs>
              <w:jc w:val="center"/>
              <w:rPr>
                <w:rFonts w:hint="eastAsia" w:ascii="仿宋_GB2312" w:hAnsi="仿宋_GB2312" w:eastAsia="仿宋_GB2312" w:cs="仿宋_GB2312"/>
                <w:kern w:val="0"/>
                <w:szCs w:val="21"/>
              </w:rPr>
            </w:pPr>
          </w:p>
        </w:tc>
      </w:tr>
      <w:tr w14:paraId="6359CD46">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D262D0F">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8993686">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BD2A2C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630" w:type="pct"/>
            <w:gridSpan w:val="14"/>
            <w:vMerge w:val="restart"/>
            <w:tcBorders>
              <w:top w:val="single" w:color="000000" w:sz="4" w:space="0"/>
              <w:left w:val="single" w:color="000000" w:sz="4" w:space="0"/>
              <w:bottom w:val="single" w:color="000000" w:sz="4" w:space="0"/>
              <w:right w:val="single" w:color="000000" w:sz="4" w:space="0"/>
            </w:tcBorders>
            <w:noWrap/>
            <w:vAlign w:val="center"/>
          </w:tcPr>
          <w:p w14:paraId="7ECEFC7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一般情况下，5-7月份1次，11-12月份1次。按栽植区域具体分为：落叶树种落叶期每年1次，常绿树种落叶期1次，具体以落叶起止时间为准；栽植法桐区域或邻近法桐栽植区域全年6次，其中法桐落叶季（12-3月）每月1次，兼有以上2-3种情况的路段可结合进行。合计全年共2-6次。</w:t>
            </w:r>
          </w:p>
        </w:tc>
      </w:tr>
      <w:tr w14:paraId="68E7700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E55E4A0">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1E38EE1">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7F9B03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6FAACBAF">
            <w:pPr>
              <w:tabs>
                <w:tab w:val="left" w:pos="266"/>
              </w:tabs>
              <w:jc w:val="center"/>
              <w:rPr>
                <w:rFonts w:hint="eastAsia" w:ascii="仿宋_GB2312" w:hAnsi="仿宋_GB2312" w:eastAsia="仿宋_GB2312" w:cs="仿宋_GB2312"/>
                <w:kern w:val="0"/>
                <w:szCs w:val="21"/>
              </w:rPr>
            </w:pPr>
          </w:p>
        </w:tc>
      </w:tr>
      <w:tr w14:paraId="77058944">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92B576D">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4271474">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AF6491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7800C32E">
            <w:pPr>
              <w:tabs>
                <w:tab w:val="left" w:pos="266"/>
              </w:tabs>
              <w:jc w:val="center"/>
              <w:rPr>
                <w:rFonts w:hint="eastAsia" w:ascii="仿宋_GB2312" w:hAnsi="仿宋_GB2312" w:eastAsia="仿宋_GB2312" w:cs="仿宋_GB2312"/>
                <w:kern w:val="0"/>
                <w:szCs w:val="21"/>
              </w:rPr>
            </w:pPr>
          </w:p>
        </w:tc>
      </w:tr>
      <w:tr w14:paraId="2886DD31">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594B1A6">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0729590">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A14BB7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290FBD8F">
            <w:pPr>
              <w:tabs>
                <w:tab w:val="left" w:pos="266"/>
              </w:tabs>
              <w:jc w:val="center"/>
              <w:rPr>
                <w:rFonts w:hint="eastAsia" w:ascii="仿宋_GB2312" w:hAnsi="仿宋_GB2312" w:eastAsia="仿宋_GB2312" w:cs="仿宋_GB2312"/>
                <w:kern w:val="0"/>
                <w:szCs w:val="21"/>
              </w:rPr>
            </w:pPr>
          </w:p>
        </w:tc>
      </w:tr>
      <w:tr w14:paraId="07B7D8BA">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F79302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2E3964E">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4FE370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6BAD8026">
            <w:pPr>
              <w:tabs>
                <w:tab w:val="left" w:pos="266"/>
              </w:tabs>
              <w:jc w:val="center"/>
              <w:rPr>
                <w:rFonts w:hint="eastAsia" w:ascii="仿宋_GB2312" w:hAnsi="仿宋_GB2312" w:eastAsia="仿宋_GB2312" w:cs="仿宋_GB2312"/>
                <w:kern w:val="0"/>
                <w:szCs w:val="21"/>
              </w:rPr>
            </w:pPr>
          </w:p>
        </w:tc>
      </w:tr>
      <w:tr w14:paraId="5871E4DB">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EBF8231">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057ADC98">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除草</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88099F4">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26F9271">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02DBE56">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4248C38">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8EEF907">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5EA0E33C">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DC9F8D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0ECFD05">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18B74B4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53F5ADC">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498402A">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429CA0BC">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0D7936C1">
            <w:pPr>
              <w:tabs>
                <w:tab w:val="left" w:pos="266"/>
              </w:tabs>
              <w:jc w:val="center"/>
              <w:rPr>
                <w:rFonts w:hint="eastAsia" w:ascii="仿宋_GB2312" w:hAnsi="仿宋_GB2312" w:eastAsia="仿宋_GB2312" w:cs="仿宋_GB2312"/>
                <w:kern w:val="0"/>
                <w:szCs w:val="21"/>
              </w:rPr>
            </w:pPr>
          </w:p>
        </w:tc>
      </w:tr>
      <w:tr w14:paraId="1D1F24BA">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80B91E0">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E8A88D1">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CC2A5F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0C792AA">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8A7194F">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77A334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459DFF2">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BD2D4C7">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592315D">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307C61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7458DF5">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7293152">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4B122FFB">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25F681C">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DA1DE00">
            <w:pPr>
              <w:tabs>
                <w:tab w:val="left" w:pos="266"/>
              </w:tabs>
              <w:jc w:val="center"/>
              <w:rPr>
                <w:rFonts w:hint="eastAsia" w:ascii="仿宋_GB2312" w:hAnsi="仿宋_GB2312" w:eastAsia="仿宋_GB2312" w:cs="仿宋_GB2312"/>
                <w:kern w:val="0"/>
                <w:szCs w:val="21"/>
              </w:rPr>
            </w:pPr>
          </w:p>
        </w:tc>
      </w:tr>
      <w:tr w14:paraId="68DC76FB">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B0E6989">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A61D433">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7D2944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B12244C">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057F133">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6E642C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711637E">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EBB7D7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C8ADF72">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C7DF06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9DB97EB">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3B615BE">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9CA5815">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3BFA4D9">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3B01C6F">
            <w:pPr>
              <w:tabs>
                <w:tab w:val="left" w:pos="266"/>
              </w:tabs>
              <w:jc w:val="center"/>
              <w:rPr>
                <w:rFonts w:hint="eastAsia" w:ascii="仿宋_GB2312" w:hAnsi="仿宋_GB2312" w:eastAsia="仿宋_GB2312" w:cs="仿宋_GB2312"/>
                <w:kern w:val="0"/>
                <w:szCs w:val="21"/>
              </w:rPr>
            </w:pPr>
          </w:p>
        </w:tc>
      </w:tr>
      <w:tr w14:paraId="2605CA8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DACE65A">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75ED236">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D89CCD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971EF22">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010492D">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6485C6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5706B59">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71ECF4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B5B9F46">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16833B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4D30227">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04B4CAB">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554E5F8">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5CE6B0A">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9A91CAA">
            <w:pPr>
              <w:tabs>
                <w:tab w:val="left" w:pos="266"/>
              </w:tabs>
              <w:jc w:val="center"/>
              <w:rPr>
                <w:rFonts w:hint="eastAsia" w:ascii="仿宋_GB2312" w:hAnsi="仿宋_GB2312" w:eastAsia="仿宋_GB2312" w:cs="仿宋_GB2312"/>
                <w:kern w:val="0"/>
                <w:szCs w:val="21"/>
              </w:rPr>
            </w:pPr>
          </w:p>
        </w:tc>
      </w:tr>
      <w:tr w14:paraId="085E4BCE">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ACB4A2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2438963">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A7BF6A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91D9A12">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3CC24B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E6775D6">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68FE0F2">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0B54F57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BFD4ED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B843CAF">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104C4F4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0094EF3">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943B287">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18A47E8">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2F545AE">
            <w:pPr>
              <w:tabs>
                <w:tab w:val="left" w:pos="266"/>
              </w:tabs>
              <w:jc w:val="center"/>
              <w:rPr>
                <w:rFonts w:hint="eastAsia" w:ascii="仿宋_GB2312" w:hAnsi="仿宋_GB2312" w:eastAsia="仿宋_GB2312" w:cs="仿宋_GB2312"/>
                <w:kern w:val="0"/>
                <w:szCs w:val="21"/>
              </w:rPr>
            </w:pPr>
          </w:p>
        </w:tc>
      </w:tr>
      <w:tr w14:paraId="4A4FB6AD">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3C30A50">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AFD48CE">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17929C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C723C10">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268458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27A9F04">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7FC0EAA">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08E626B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E66460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40FC482">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DFEA5B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9D74E19">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62CC9554">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C1A6AB8">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59091631">
            <w:pPr>
              <w:tabs>
                <w:tab w:val="left" w:pos="266"/>
              </w:tabs>
              <w:jc w:val="center"/>
              <w:rPr>
                <w:rFonts w:hint="eastAsia" w:ascii="仿宋_GB2312" w:hAnsi="仿宋_GB2312" w:eastAsia="仿宋_GB2312" w:cs="仿宋_GB2312"/>
                <w:kern w:val="0"/>
                <w:szCs w:val="21"/>
              </w:rPr>
            </w:pPr>
          </w:p>
        </w:tc>
      </w:tr>
      <w:tr w14:paraId="1EA6E863">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A63E23D">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69AC651">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F2218A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4BBD3AE">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098D27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702304B">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E523092">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996ECA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BB6AC0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22C6992">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1BD4D68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C5C2D7D">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24DFBCB6">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F5573CB">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E03A54A">
            <w:pPr>
              <w:tabs>
                <w:tab w:val="left" w:pos="266"/>
              </w:tabs>
              <w:jc w:val="center"/>
              <w:rPr>
                <w:rFonts w:hint="eastAsia" w:ascii="仿宋_GB2312" w:hAnsi="仿宋_GB2312" w:eastAsia="仿宋_GB2312" w:cs="仿宋_GB2312"/>
                <w:kern w:val="0"/>
                <w:szCs w:val="21"/>
              </w:rPr>
            </w:pPr>
          </w:p>
        </w:tc>
      </w:tr>
      <w:tr w14:paraId="6F7321A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F0221CD">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618B601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水域管理</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2BAC64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水域保洁管理（次）</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155D7E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1C680E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AD94AF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068B42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04F6878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EA2796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1DEA70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≥15</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BE4ED6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B0BDF5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≥25</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03D899B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≥25</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54E192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0C90D1B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r>
      <w:tr w14:paraId="7F2552DA">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390CCC6">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14AE7F0">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5577138">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水生植物管理</w:t>
            </w:r>
          </w:p>
        </w:tc>
        <w:tc>
          <w:tcPr>
            <w:tcW w:w="2364" w:type="pct"/>
            <w:gridSpan w:val="8"/>
            <w:tcBorders>
              <w:top w:val="single" w:color="000000" w:sz="4" w:space="0"/>
              <w:left w:val="single" w:color="000000" w:sz="4" w:space="0"/>
              <w:bottom w:val="single" w:color="000000" w:sz="4" w:space="0"/>
              <w:right w:val="single" w:color="000000" w:sz="4" w:space="0"/>
            </w:tcBorders>
            <w:noWrap/>
            <w:vAlign w:val="center"/>
          </w:tcPr>
          <w:p w14:paraId="204CC63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根据需要进行病虫害防治，喷施钾肥、多效唑等防倒伏</w:t>
            </w:r>
          </w:p>
        </w:tc>
        <w:tc>
          <w:tcPr>
            <w:tcW w:w="666" w:type="pct"/>
            <w:gridSpan w:val="2"/>
            <w:tcBorders>
              <w:top w:val="single" w:color="000000" w:sz="4" w:space="0"/>
              <w:left w:val="single" w:color="000000" w:sz="4" w:space="0"/>
              <w:bottom w:val="single" w:color="000000" w:sz="4" w:space="0"/>
              <w:right w:val="single" w:color="000000" w:sz="4" w:space="0"/>
            </w:tcBorders>
            <w:noWrap/>
            <w:vAlign w:val="center"/>
          </w:tcPr>
          <w:p w14:paraId="5C6A0B1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割除地上干枯，12月检查</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489D154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2FDC8E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w:t>
            </w:r>
          </w:p>
        </w:tc>
      </w:tr>
      <w:tr w14:paraId="54183C2D">
        <w:tblPrEx>
          <w:tblCellMar>
            <w:top w:w="0" w:type="dxa"/>
            <w:left w:w="108" w:type="dxa"/>
            <w:bottom w:w="0" w:type="dxa"/>
            <w:right w:w="108" w:type="dxa"/>
          </w:tblCellMar>
        </w:tblPrEx>
        <w:trPr>
          <w:trHeight w:val="23" w:hRule="atLeast"/>
          <w:jc w:val="center"/>
        </w:trPr>
        <w:tc>
          <w:tcPr>
            <w:tcW w:w="236" w:type="pct"/>
            <w:vMerge w:val="restart"/>
            <w:tcBorders>
              <w:top w:val="single" w:color="000000" w:sz="4" w:space="0"/>
              <w:left w:val="single" w:color="000000" w:sz="4" w:space="0"/>
              <w:bottom w:val="single" w:color="000000" w:sz="4" w:space="0"/>
              <w:right w:val="single" w:color="000000" w:sz="4" w:space="0"/>
            </w:tcBorders>
            <w:noWrap/>
            <w:vAlign w:val="center"/>
          </w:tcPr>
          <w:p w14:paraId="7287806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C档</w:t>
            </w: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6A906DC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浇水</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EDB9F79">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7DD15F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C2CC477">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183A33E">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83AB90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7B5618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4EACD1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1D30ED2">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620B86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A926094">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0E51DEB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0494FF51">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59A4616">
            <w:pPr>
              <w:tabs>
                <w:tab w:val="left" w:pos="266"/>
              </w:tabs>
              <w:jc w:val="center"/>
              <w:rPr>
                <w:rFonts w:hint="eastAsia" w:ascii="仿宋_GB2312" w:hAnsi="仿宋_GB2312" w:eastAsia="仿宋_GB2312" w:cs="仿宋_GB2312"/>
                <w:kern w:val="0"/>
                <w:szCs w:val="21"/>
              </w:rPr>
            </w:pPr>
          </w:p>
        </w:tc>
      </w:tr>
      <w:tr w14:paraId="2371C71E">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C7511C4">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55817EE">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A495F1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A95BE5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5C1D36D">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61A07D6">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AB1F43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129F4F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BFB55D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0E3135A">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D3167F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B0D85B4">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2B6758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9CCABA4">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18D2136">
            <w:pPr>
              <w:tabs>
                <w:tab w:val="left" w:pos="266"/>
              </w:tabs>
              <w:jc w:val="center"/>
              <w:rPr>
                <w:rFonts w:hint="eastAsia" w:ascii="仿宋_GB2312" w:hAnsi="仿宋_GB2312" w:eastAsia="仿宋_GB2312" w:cs="仿宋_GB2312"/>
                <w:kern w:val="0"/>
                <w:szCs w:val="21"/>
              </w:rPr>
            </w:pPr>
          </w:p>
        </w:tc>
      </w:tr>
      <w:tr w14:paraId="4844F4EB">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3589334">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38E15F9">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30DA986">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29448EC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AA9868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F2A10E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55912B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5C42BA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7DB618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450859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09DC01A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4F365C7">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29CA11C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984ABED">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4F1425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3079F0D2">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3E9B082">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355484F">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E22D08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CEA2ED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74E177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958DE6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5C2307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E94074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9A2A08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D35252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1151E2F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E2206E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6E020A6">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0CB6A86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0598AE2">
            <w:pPr>
              <w:tabs>
                <w:tab w:val="left" w:pos="266"/>
              </w:tabs>
              <w:rPr>
                <w:rFonts w:hint="eastAsia" w:ascii="仿宋_GB2312" w:hAnsi="仿宋_GB2312" w:eastAsia="仿宋_GB2312" w:cs="仿宋_GB2312"/>
                <w:kern w:val="0"/>
                <w:szCs w:val="21"/>
              </w:rPr>
            </w:pPr>
          </w:p>
        </w:tc>
      </w:tr>
      <w:tr w14:paraId="74571F6B">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88DDDE8">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1AE4784">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C1ACCB6">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1AE2C8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269BA4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99B83D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A0337B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356CEF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942460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8A89A8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0AADB1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910CA0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09A6F88">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D3C801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1E25A2F">
            <w:pPr>
              <w:tabs>
                <w:tab w:val="left" w:pos="266"/>
              </w:tabs>
              <w:rPr>
                <w:rFonts w:hint="eastAsia" w:ascii="仿宋_GB2312" w:hAnsi="仿宋_GB2312" w:eastAsia="仿宋_GB2312" w:cs="仿宋_GB2312"/>
                <w:kern w:val="0"/>
                <w:szCs w:val="21"/>
              </w:rPr>
            </w:pPr>
          </w:p>
        </w:tc>
      </w:tr>
      <w:tr w14:paraId="29CD55DE">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6EBE2B0">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9DC59C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B39F14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2D0925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CC6E5E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D07115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377E87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D66202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6EE089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DE63257">
            <w:pPr>
              <w:tabs>
                <w:tab w:val="left" w:pos="266"/>
              </w:tabs>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DF1A3F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BEE2A5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D165B6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C9E9FA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00931F4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46BC711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D4F0A6C">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FEB4476">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33E9A5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603F4C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DEDB48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1875CF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B097A8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83FBB3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25AE9E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60324D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04BC811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E9024C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2C04AD7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1697809">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618D98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65AC3F22">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20CED8F">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6FF0121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病虫害防治</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8CF36F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630" w:type="pct"/>
            <w:gridSpan w:val="14"/>
            <w:vMerge w:val="restart"/>
            <w:tcBorders>
              <w:top w:val="single" w:color="000000" w:sz="4" w:space="0"/>
              <w:left w:val="single" w:color="000000" w:sz="4" w:space="0"/>
              <w:bottom w:val="single" w:color="000000" w:sz="4" w:space="0"/>
              <w:right w:val="single" w:color="000000" w:sz="4" w:space="0"/>
            </w:tcBorders>
            <w:noWrap/>
            <w:vAlign w:val="center"/>
          </w:tcPr>
          <w:p w14:paraId="7F5BCA2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木3次/年，冷季型草坪3次/年，暖季型草坪2次/年，其他各类植物全年2次，具体防治时间、频次因植物种类、天气等因素确定，病害重点参照全市病虫害防治月历及当年测报讯息实施，虫害根据监测结果及时防治</w:t>
            </w:r>
          </w:p>
        </w:tc>
      </w:tr>
      <w:tr w14:paraId="33B3312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9EE813A">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5795F82">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C71587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7AD968A3">
            <w:pPr>
              <w:tabs>
                <w:tab w:val="left" w:pos="266"/>
              </w:tabs>
              <w:jc w:val="center"/>
              <w:rPr>
                <w:rFonts w:hint="eastAsia" w:ascii="仿宋_GB2312" w:hAnsi="仿宋_GB2312" w:eastAsia="仿宋_GB2312" w:cs="仿宋_GB2312"/>
                <w:kern w:val="0"/>
                <w:szCs w:val="21"/>
              </w:rPr>
            </w:pPr>
          </w:p>
        </w:tc>
      </w:tr>
      <w:tr w14:paraId="7D5DB50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6231B07">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8687A8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B9210A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6EEFCC6D">
            <w:pPr>
              <w:tabs>
                <w:tab w:val="left" w:pos="266"/>
              </w:tabs>
              <w:jc w:val="center"/>
              <w:rPr>
                <w:rFonts w:hint="eastAsia" w:ascii="仿宋_GB2312" w:hAnsi="仿宋_GB2312" w:eastAsia="仿宋_GB2312" w:cs="仿宋_GB2312"/>
                <w:kern w:val="0"/>
                <w:szCs w:val="21"/>
              </w:rPr>
            </w:pPr>
          </w:p>
        </w:tc>
      </w:tr>
      <w:tr w14:paraId="2479A87F">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43F808C">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93A8DCB">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A185B0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7F97E982">
            <w:pPr>
              <w:tabs>
                <w:tab w:val="left" w:pos="266"/>
              </w:tabs>
              <w:jc w:val="center"/>
              <w:rPr>
                <w:rFonts w:hint="eastAsia" w:ascii="仿宋_GB2312" w:hAnsi="仿宋_GB2312" w:eastAsia="仿宋_GB2312" w:cs="仿宋_GB2312"/>
                <w:kern w:val="0"/>
                <w:szCs w:val="21"/>
              </w:rPr>
            </w:pPr>
          </w:p>
        </w:tc>
      </w:tr>
      <w:tr w14:paraId="1126891F">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9FCB339">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2A87586">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6DD93E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1C5ACAD3">
            <w:pPr>
              <w:tabs>
                <w:tab w:val="left" w:pos="266"/>
              </w:tabs>
              <w:jc w:val="center"/>
              <w:rPr>
                <w:rFonts w:hint="eastAsia" w:ascii="仿宋_GB2312" w:hAnsi="仿宋_GB2312" w:eastAsia="仿宋_GB2312" w:cs="仿宋_GB2312"/>
                <w:kern w:val="0"/>
                <w:szCs w:val="21"/>
              </w:rPr>
            </w:pPr>
          </w:p>
        </w:tc>
      </w:tr>
      <w:tr w14:paraId="17B173F3">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F0343C0">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7550640">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AF570D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31C9AEC4">
            <w:pPr>
              <w:tabs>
                <w:tab w:val="left" w:pos="266"/>
              </w:tabs>
              <w:jc w:val="center"/>
              <w:rPr>
                <w:rFonts w:hint="eastAsia" w:ascii="仿宋_GB2312" w:hAnsi="仿宋_GB2312" w:eastAsia="仿宋_GB2312" w:cs="仿宋_GB2312"/>
                <w:kern w:val="0"/>
                <w:szCs w:val="21"/>
              </w:rPr>
            </w:pPr>
          </w:p>
        </w:tc>
      </w:tr>
      <w:tr w14:paraId="41A81242">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8B5CDA9">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06EC209">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A20C1D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77628827">
            <w:pPr>
              <w:tabs>
                <w:tab w:val="left" w:pos="266"/>
              </w:tabs>
              <w:jc w:val="center"/>
              <w:rPr>
                <w:rFonts w:hint="eastAsia" w:ascii="仿宋_GB2312" w:hAnsi="仿宋_GB2312" w:eastAsia="仿宋_GB2312" w:cs="仿宋_GB2312"/>
                <w:kern w:val="0"/>
                <w:szCs w:val="21"/>
              </w:rPr>
            </w:pPr>
          </w:p>
        </w:tc>
      </w:tr>
      <w:tr w14:paraId="5FC20822">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6A01DD3">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5DEED03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修剪</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E316C0E">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4659789">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3F4D130">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F6631CE">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5747CD8">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FC6FEEE">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7C73012">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CC7665E">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1AD3BF92">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4F500D0">
            <w:pPr>
              <w:tabs>
                <w:tab w:val="left" w:pos="266"/>
              </w:tabs>
              <w:jc w:val="center"/>
              <w:rPr>
                <w:rFonts w:hint="eastAsia" w:ascii="仿宋_GB2312" w:hAnsi="仿宋_GB2312" w:eastAsia="仿宋_GB2312" w:cs="仿宋_GB2312"/>
                <w:kern w:val="0"/>
                <w:szCs w:val="21"/>
              </w:rPr>
            </w:pPr>
          </w:p>
        </w:tc>
        <w:tc>
          <w:tcPr>
            <w:tcW w:w="928" w:type="pct"/>
            <w:gridSpan w:val="5"/>
            <w:tcBorders>
              <w:top w:val="single" w:color="000000" w:sz="4" w:space="0"/>
              <w:left w:val="single" w:color="000000" w:sz="4" w:space="0"/>
              <w:bottom w:val="single" w:color="000000" w:sz="4" w:space="0"/>
              <w:right w:val="single" w:color="000000" w:sz="4" w:space="0"/>
            </w:tcBorders>
            <w:noWrap/>
            <w:vAlign w:val="center"/>
          </w:tcPr>
          <w:p w14:paraId="0FF3799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12-2月份全面1次，每月考核当月进度1/3即为合格</w:t>
            </w:r>
          </w:p>
        </w:tc>
      </w:tr>
      <w:tr w14:paraId="6D3E7D52">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7C8959C">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22C561B">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DA1DFB6">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630" w:type="pct"/>
            <w:gridSpan w:val="14"/>
            <w:tcBorders>
              <w:top w:val="single" w:color="000000" w:sz="4" w:space="0"/>
              <w:left w:val="single" w:color="000000" w:sz="4" w:space="0"/>
              <w:bottom w:val="single" w:color="000000" w:sz="4" w:space="0"/>
              <w:right w:val="single" w:color="000000" w:sz="4" w:space="0"/>
            </w:tcBorders>
            <w:noWrap/>
            <w:vAlign w:val="center"/>
          </w:tcPr>
          <w:p w14:paraId="219232C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各类花灌木花后修剪1次，月季例外，全年5次（3,5,7,9,11）</w:t>
            </w:r>
          </w:p>
        </w:tc>
      </w:tr>
      <w:tr w14:paraId="63C114E3">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E13EEAF">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A549476">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66829B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365E2D5">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D95EC7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591" w:type="pct"/>
            <w:gridSpan w:val="2"/>
            <w:tcBorders>
              <w:top w:val="single" w:color="000000" w:sz="4" w:space="0"/>
              <w:left w:val="single" w:color="000000" w:sz="4" w:space="0"/>
              <w:bottom w:val="single" w:color="000000" w:sz="4" w:space="0"/>
              <w:right w:val="single" w:color="000000" w:sz="4" w:space="0"/>
            </w:tcBorders>
            <w:noWrap/>
            <w:vAlign w:val="center"/>
          </w:tcPr>
          <w:p w14:paraId="3E282F9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0762E4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BEAEC17">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4C850D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0C2F1B29">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0994937">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6C5136F">
            <w:pPr>
              <w:tabs>
                <w:tab w:val="left" w:pos="266"/>
              </w:tabs>
              <w:jc w:val="center"/>
              <w:rPr>
                <w:rFonts w:hint="eastAsia" w:ascii="仿宋_GB2312" w:hAnsi="仿宋_GB2312" w:eastAsia="仿宋_GB2312" w:cs="仿宋_GB2312"/>
                <w:kern w:val="0"/>
                <w:szCs w:val="21"/>
              </w:rPr>
            </w:pPr>
          </w:p>
        </w:tc>
        <w:tc>
          <w:tcPr>
            <w:tcW w:w="599" w:type="pct"/>
            <w:gridSpan w:val="4"/>
            <w:tcBorders>
              <w:top w:val="single" w:color="000000" w:sz="4" w:space="0"/>
              <w:left w:val="single" w:color="000000" w:sz="4" w:space="0"/>
              <w:bottom w:val="single" w:color="000000" w:sz="4" w:space="0"/>
              <w:right w:val="single" w:color="000000" w:sz="4" w:space="0"/>
            </w:tcBorders>
            <w:noWrap/>
            <w:vAlign w:val="center"/>
          </w:tcPr>
          <w:p w14:paraId="20BEE719">
            <w:pPr>
              <w:tabs>
                <w:tab w:val="left" w:pos="266"/>
              </w:tabs>
              <w:jc w:val="center"/>
              <w:rPr>
                <w:rFonts w:hint="eastAsia" w:ascii="仿宋_GB2312" w:hAnsi="仿宋_GB2312" w:eastAsia="仿宋_GB2312" w:cs="仿宋_GB2312"/>
                <w:kern w:val="0"/>
                <w:szCs w:val="21"/>
              </w:rPr>
            </w:pPr>
          </w:p>
        </w:tc>
      </w:tr>
      <w:tr w14:paraId="6301252A">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9FA5E3A">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5D4A132">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D00850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EBB87B5">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F33E2E6">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0369E03">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D4168CD">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C9F784B">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A8445E7">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5D867EE">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C57B6C3">
            <w:pPr>
              <w:tabs>
                <w:tab w:val="left" w:pos="266"/>
              </w:tabs>
              <w:jc w:val="center"/>
              <w:rPr>
                <w:rFonts w:hint="eastAsia" w:ascii="仿宋_GB2312" w:hAnsi="仿宋_GB2312" w:eastAsia="仿宋_GB2312" w:cs="仿宋_GB2312"/>
                <w:kern w:val="0"/>
                <w:szCs w:val="21"/>
              </w:rPr>
            </w:pPr>
          </w:p>
        </w:tc>
        <w:tc>
          <w:tcPr>
            <w:tcW w:w="666" w:type="pct"/>
            <w:gridSpan w:val="2"/>
            <w:tcBorders>
              <w:top w:val="single" w:color="000000" w:sz="4" w:space="0"/>
              <w:left w:val="single" w:color="000000" w:sz="4" w:space="0"/>
              <w:bottom w:val="single" w:color="000000" w:sz="4" w:space="0"/>
              <w:right w:val="single" w:color="000000" w:sz="4" w:space="0"/>
            </w:tcBorders>
            <w:noWrap/>
            <w:vAlign w:val="center"/>
          </w:tcPr>
          <w:p w14:paraId="2AF3479E">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49F5776D">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9482B0F">
            <w:pPr>
              <w:tabs>
                <w:tab w:val="left" w:pos="266"/>
              </w:tabs>
              <w:jc w:val="center"/>
              <w:rPr>
                <w:rFonts w:hint="eastAsia" w:ascii="仿宋_GB2312" w:hAnsi="仿宋_GB2312" w:eastAsia="仿宋_GB2312" w:cs="仿宋_GB2312"/>
                <w:kern w:val="0"/>
                <w:szCs w:val="21"/>
              </w:rPr>
            </w:pPr>
          </w:p>
        </w:tc>
      </w:tr>
      <w:tr w14:paraId="0FAA5D1C">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3D42A16">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ED19CC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016F70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AC525FA">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0C83340E">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C931FBB">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8554A84">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6224654">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01F472C">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58EA8D0">
            <w:pPr>
              <w:tabs>
                <w:tab w:val="left" w:pos="266"/>
              </w:tabs>
              <w:jc w:val="center"/>
              <w:rPr>
                <w:rFonts w:hint="eastAsia" w:ascii="仿宋_GB2312" w:hAnsi="仿宋_GB2312" w:eastAsia="仿宋_GB2312" w:cs="仿宋_GB2312"/>
                <w:kern w:val="0"/>
                <w:szCs w:val="21"/>
              </w:rPr>
            </w:pPr>
          </w:p>
        </w:tc>
        <w:tc>
          <w:tcPr>
            <w:tcW w:w="990" w:type="pct"/>
            <w:gridSpan w:val="3"/>
            <w:tcBorders>
              <w:top w:val="single" w:color="000000" w:sz="4" w:space="0"/>
              <w:left w:val="single" w:color="000000" w:sz="4" w:space="0"/>
              <w:bottom w:val="single" w:color="000000" w:sz="4" w:space="0"/>
              <w:right w:val="single" w:color="000000" w:sz="4" w:space="0"/>
            </w:tcBorders>
            <w:noWrap/>
            <w:vAlign w:val="center"/>
          </w:tcPr>
          <w:p w14:paraId="09C72C6E">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80A4317">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BC05225">
            <w:pPr>
              <w:tabs>
                <w:tab w:val="left" w:pos="266"/>
              </w:tabs>
              <w:jc w:val="center"/>
              <w:rPr>
                <w:rFonts w:hint="eastAsia" w:ascii="仿宋_GB2312" w:hAnsi="仿宋_GB2312" w:eastAsia="仿宋_GB2312" w:cs="仿宋_GB2312"/>
                <w:kern w:val="0"/>
                <w:szCs w:val="21"/>
              </w:rPr>
            </w:pPr>
          </w:p>
        </w:tc>
      </w:tr>
      <w:tr w14:paraId="48A4D4E2">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C2AD6EF">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89AA4F6">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655EFE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28D9686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B265C94">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F4742C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109D011">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F12185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914AC0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BB73A5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ECE2B69">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480544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23BAA263">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0BED9AFD">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BCAC875">
            <w:pPr>
              <w:tabs>
                <w:tab w:val="left" w:pos="266"/>
              </w:tabs>
              <w:jc w:val="center"/>
              <w:rPr>
                <w:rFonts w:hint="eastAsia" w:ascii="仿宋_GB2312" w:hAnsi="仿宋_GB2312" w:eastAsia="仿宋_GB2312" w:cs="仿宋_GB2312"/>
                <w:kern w:val="0"/>
                <w:szCs w:val="21"/>
              </w:rPr>
            </w:pPr>
          </w:p>
        </w:tc>
      </w:tr>
      <w:tr w14:paraId="7AFBF2F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9F06335">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E6C37F2">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F4C212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1ACB64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17404C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FFD68F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E124225">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65437F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12388B2">
            <w:pPr>
              <w:tabs>
                <w:tab w:val="left" w:pos="266"/>
              </w:tabs>
              <w:jc w:val="center"/>
              <w:rPr>
                <w:rFonts w:hint="eastAsia" w:ascii="仿宋_GB2312" w:hAnsi="仿宋_GB2312" w:eastAsia="仿宋_GB2312" w:cs="仿宋_GB2312"/>
                <w:kern w:val="0"/>
                <w:szCs w:val="21"/>
              </w:rPr>
            </w:pPr>
          </w:p>
        </w:tc>
        <w:tc>
          <w:tcPr>
            <w:tcW w:w="609" w:type="pct"/>
            <w:gridSpan w:val="2"/>
            <w:tcBorders>
              <w:top w:val="single" w:color="000000" w:sz="4" w:space="0"/>
              <w:left w:val="single" w:color="000000" w:sz="4" w:space="0"/>
              <w:bottom w:val="single" w:color="000000" w:sz="4" w:space="0"/>
              <w:right w:val="single" w:color="000000" w:sz="4" w:space="0"/>
            </w:tcBorders>
            <w:noWrap/>
            <w:vAlign w:val="center"/>
          </w:tcPr>
          <w:p w14:paraId="2BAA8E1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46BB275">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5769B63">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69C65B5">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6F70E5B">
            <w:pPr>
              <w:tabs>
                <w:tab w:val="left" w:pos="266"/>
              </w:tabs>
              <w:jc w:val="center"/>
              <w:rPr>
                <w:rFonts w:hint="eastAsia" w:ascii="仿宋_GB2312" w:hAnsi="仿宋_GB2312" w:eastAsia="仿宋_GB2312" w:cs="仿宋_GB2312"/>
                <w:kern w:val="0"/>
                <w:szCs w:val="21"/>
              </w:rPr>
            </w:pPr>
          </w:p>
        </w:tc>
      </w:tr>
      <w:tr w14:paraId="65621A2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91B3914">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55C84E48">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施肥</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D12B33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F47BA7A">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98F5B72">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E79133D">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01B1299">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53954CA">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5669B3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C7F3DA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766A7A1">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AB61B6E">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26AF2E08">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2FC0D3C">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086F2926">
            <w:pPr>
              <w:tabs>
                <w:tab w:val="left" w:pos="266"/>
              </w:tabs>
              <w:jc w:val="center"/>
              <w:rPr>
                <w:rFonts w:hint="eastAsia" w:ascii="仿宋_GB2312" w:hAnsi="仿宋_GB2312" w:eastAsia="仿宋_GB2312" w:cs="仿宋_GB2312"/>
                <w:kern w:val="0"/>
                <w:szCs w:val="21"/>
              </w:rPr>
            </w:pPr>
          </w:p>
        </w:tc>
      </w:tr>
      <w:tr w14:paraId="6C70F871">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2095410">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4FAC771">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730F56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1B43D24">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52B51BC">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FBBDE24">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429896F">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510D0D16">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78C811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1E5126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FC29A99">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A67F5EC">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176E5416">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604135E">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07BECA28">
            <w:pPr>
              <w:tabs>
                <w:tab w:val="left" w:pos="266"/>
              </w:tabs>
              <w:jc w:val="center"/>
              <w:rPr>
                <w:rFonts w:hint="eastAsia" w:ascii="仿宋_GB2312" w:hAnsi="仿宋_GB2312" w:eastAsia="仿宋_GB2312" w:cs="仿宋_GB2312"/>
                <w:kern w:val="0"/>
                <w:szCs w:val="21"/>
              </w:rPr>
            </w:pPr>
          </w:p>
        </w:tc>
      </w:tr>
      <w:tr w14:paraId="1B0041BB">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EC48AE0">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4B16008">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3F27D5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A2B2EFF">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52D7D69">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7BD8AEE">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E441048">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886303E">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D0CC46B">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3DB837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F3D1161">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3EE93B4">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E6EB9DA">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4A8E8546">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DEBD23A">
            <w:pPr>
              <w:tabs>
                <w:tab w:val="left" w:pos="266"/>
              </w:tabs>
              <w:jc w:val="center"/>
              <w:rPr>
                <w:rFonts w:hint="eastAsia" w:ascii="仿宋_GB2312" w:hAnsi="仿宋_GB2312" w:eastAsia="仿宋_GB2312" w:cs="仿宋_GB2312"/>
                <w:kern w:val="0"/>
                <w:szCs w:val="21"/>
              </w:rPr>
            </w:pPr>
          </w:p>
        </w:tc>
      </w:tr>
      <w:tr w14:paraId="59208ADE">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3D4631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9F7DFDC">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FA2765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AEC931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5135137">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EE03844">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9DC3F18">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CDEB4F4">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CC546BC">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7A6BCC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07006CBC">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FAF79D9">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0EB86E74">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2BE0EFD">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01CA3752">
            <w:pPr>
              <w:tabs>
                <w:tab w:val="left" w:pos="266"/>
              </w:tabs>
              <w:jc w:val="center"/>
              <w:rPr>
                <w:rFonts w:hint="eastAsia" w:ascii="仿宋_GB2312" w:hAnsi="仿宋_GB2312" w:eastAsia="仿宋_GB2312" w:cs="仿宋_GB2312"/>
                <w:kern w:val="0"/>
                <w:szCs w:val="21"/>
              </w:rPr>
            </w:pPr>
          </w:p>
        </w:tc>
      </w:tr>
      <w:tr w14:paraId="52DA9ED1">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0231C8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E7A793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41A804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9983CD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9E28BBB">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90B6C42">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C2229F4">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4948634">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3E8C28C">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961DA4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1B59D1DC">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56AF862">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F8455CA">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0BF7C2F2">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5C2DDBEE">
            <w:pPr>
              <w:tabs>
                <w:tab w:val="left" w:pos="266"/>
              </w:tabs>
              <w:jc w:val="center"/>
              <w:rPr>
                <w:rFonts w:hint="eastAsia" w:ascii="仿宋_GB2312" w:hAnsi="仿宋_GB2312" w:eastAsia="仿宋_GB2312" w:cs="仿宋_GB2312"/>
                <w:kern w:val="0"/>
                <w:szCs w:val="21"/>
              </w:rPr>
            </w:pPr>
          </w:p>
        </w:tc>
      </w:tr>
      <w:tr w14:paraId="4B72E301">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34A489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518D181">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53050C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167DE2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C1A6CC5">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D2DEEB7">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B4AC94B">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573C2769">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DF48DC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D103B0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9E4EDBF">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96A5957">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472AC3BE">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AE25577">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5A5C5DF">
            <w:pPr>
              <w:tabs>
                <w:tab w:val="left" w:pos="266"/>
              </w:tabs>
              <w:jc w:val="center"/>
              <w:rPr>
                <w:rFonts w:hint="eastAsia" w:ascii="仿宋_GB2312" w:hAnsi="仿宋_GB2312" w:eastAsia="仿宋_GB2312" w:cs="仿宋_GB2312"/>
                <w:kern w:val="0"/>
                <w:szCs w:val="21"/>
              </w:rPr>
            </w:pPr>
          </w:p>
        </w:tc>
      </w:tr>
      <w:tr w14:paraId="5F7BF0E6">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C2D28F8">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3CEF1F4">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59685E9">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B4B305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CB195A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09A5CBD">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D8C83ED">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42E41A6">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1C21889">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85D04A5">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1DF8C03">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87D0C6B">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2C011469">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181FF4E">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2EB97E6">
            <w:pPr>
              <w:tabs>
                <w:tab w:val="left" w:pos="266"/>
              </w:tabs>
              <w:jc w:val="center"/>
              <w:rPr>
                <w:rFonts w:hint="eastAsia" w:ascii="仿宋_GB2312" w:hAnsi="仿宋_GB2312" w:eastAsia="仿宋_GB2312" w:cs="仿宋_GB2312"/>
                <w:kern w:val="0"/>
                <w:szCs w:val="21"/>
              </w:rPr>
            </w:pPr>
          </w:p>
        </w:tc>
      </w:tr>
      <w:tr w14:paraId="03DF74E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20A5C31">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07C02E3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清掏</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B55EB1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DACC24A">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045991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2644E52">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1DE1C26">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A2DC38F">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BE3AB63">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7DF932F">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D75B09C">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68F5A5E">
            <w:pPr>
              <w:tabs>
                <w:tab w:val="left" w:pos="266"/>
              </w:tabs>
              <w:jc w:val="center"/>
              <w:rPr>
                <w:rFonts w:hint="eastAsia" w:ascii="仿宋_GB2312" w:hAnsi="仿宋_GB2312" w:eastAsia="仿宋_GB2312" w:cs="仿宋_GB2312"/>
                <w:kern w:val="0"/>
                <w:szCs w:val="21"/>
              </w:rPr>
            </w:pPr>
          </w:p>
        </w:tc>
        <w:tc>
          <w:tcPr>
            <w:tcW w:w="329" w:type="pct"/>
            <w:vMerge w:val="restart"/>
            <w:tcBorders>
              <w:top w:val="single" w:color="000000" w:sz="4" w:space="0"/>
              <w:left w:val="single" w:color="000000" w:sz="4" w:space="0"/>
              <w:bottom w:val="single" w:color="000000" w:sz="4" w:space="0"/>
              <w:right w:val="single" w:color="000000" w:sz="4" w:space="0"/>
            </w:tcBorders>
            <w:noWrap/>
            <w:vAlign w:val="center"/>
          </w:tcPr>
          <w:p w14:paraId="1DA8F03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86FB070">
            <w:pPr>
              <w:tabs>
                <w:tab w:val="left" w:pos="266"/>
              </w:tabs>
              <w:jc w:val="center"/>
              <w:rPr>
                <w:rFonts w:hint="eastAsia" w:ascii="仿宋_GB2312" w:hAnsi="仿宋_GB2312" w:eastAsia="仿宋_GB2312" w:cs="仿宋_GB2312"/>
                <w:kern w:val="0"/>
                <w:szCs w:val="21"/>
              </w:rPr>
            </w:pPr>
          </w:p>
        </w:tc>
        <w:tc>
          <w:tcPr>
            <w:tcW w:w="301" w:type="pct"/>
            <w:gridSpan w:val="2"/>
            <w:vMerge w:val="restart"/>
            <w:tcBorders>
              <w:top w:val="single" w:color="000000" w:sz="4" w:space="0"/>
              <w:left w:val="single" w:color="000000" w:sz="4" w:space="0"/>
              <w:bottom w:val="single" w:color="000000" w:sz="4" w:space="0"/>
              <w:right w:val="single" w:color="000000" w:sz="4" w:space="0"/>
            </w:tcBorders>
            <w:noWrap/>
            <w:vAlign w:val="center"/>
          </w:tcPr>
          <w:p w14:paraId="5C6F484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3ED265B4">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4F2F1F7">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B425004">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5945A2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2DF01C9">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E07AD87">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672B636">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783E70E">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95C5085">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2F58D56">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0CCD1BC">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157A879">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38477BA">
            <w:pPr>
              <w:tabs>
                <w:tab w:val="left" w:pos="266"/>
              </w:tabs>
              <w:jc w:val="center"/>
              <w:rPr>
                <w:rFonts w:hint="eastAsia" w:ascii="仿宋_GB2312" w:hAnsi="仿宋_GB2312" w:eastAsia="仿宋_GB2312" w:cs="仿宋_GB2312"/>
                <w:kern w:val="0"/>
                <w:szCs w:val="21"/>
              </w:rPr>
            </w:pPr>
          </w:p>
        </w:tc>
        <w:tc>
          <w:tcPr>
            <w:tcW w:w="329" w:type="pct"/>
            <w:vMerge w:val="continue"/>
            <w:tcBorders>
              <w:top w:val="single" w:color="000000" w:sz="4" w:space="0"/>
              <w:left w:val="single" w:color="000000" w:sz="4" w:space="0"/>
              <w:bottom w:val="single" w:color="000000" w:sz="4" w:space="0"/>
              <w:right w:val="single" w:color="000000" w:sz="4" w:space="0"/>
            </w:tcBorders>
            <w:noWrap/>
            <w:vAlign w:val="center"/>
          </w:tcPr>
          <w:p w14:paraId="27246F77">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1267912">
            <w:pPr>
              <w:tabs>
                <w:tab w:val="left" w:pos="266"/>
              </w:tabs>
              <w:jc w:val="center"/>
              <w:rPr>
                <w:rFonts w:hint="eastAsia" w:ascii="仿宋_GB2312" w:hAnsi="仿宋_GB2312" w:eastAsia="仿宋_GB2312" w:cs="仿宋_GB2312"/>
                <w:kern w:val="0"/>
                <w:szCs w:val="21"/>
              </w:rPr>
            </w:pPr>
          </w:p>
        </w:tc>
        <w:tc>
          <w:tcPr>
            <w:tcW w:w="301"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14:paraId="2304A73D">
            <w:pPr>
              <w:tabs>
                <w:tab w:val="left" w:pos="266"/>
              </w:tabs>
              <w:jc w:val="center"/>
              <w:rPr>
                <w:rFonts w:hint="eastAsia" w:ascii="仿宋_GB2312" w:hAnsi="仿宋_GB2312" w:eastAsia="仿宋_GB2312" w:cs="仿宋_GB2312"/>
                <w:kern w:val="0"/>
                <w:szCs w:val="21"/>
              </w:rPr>
            </w:pPr>
          </w:p>
        </w:tc>
      </w:tr>
      <w:tr w14:paraId="6CD0BD62">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C03D8AA">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B8FFA4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C7AF52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绿篱</w:t>
            </w:r>
          </w:p>
        </w:tc>
        <w:tc>
          <w:tcPr>
            <w:tcW w:w="3630" w:type="pct"/>
            <w:gridSpan w:val="14"/>
            <w:vMerge w:val="restart"/>
            <w:tcBorders>
              <w:top w:val="single" w:color="000000" w:sz="4" w:space="0"/>
              <w:left w:val="single" w:color="000000" w:sz="4" w:space="0"/>
              <w:bottom w:val="single" w:color="000000" w:sz="4" w:space="0"/>
              <w:right w:val="single" w:color="000000" w:sz="4" w:space="0"/>
            </w:tcBorders>
            <w:noWrap/>
            <w:vAlign w:val="center"/>
          </w:tcPr>
          <w:p w14:paraId="0283973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一般情况下，5-7月份1次，11-12月份1次。按栽植区域具体分为：落叶树种落叶期每年1次，常绿树种落叶期1次，具体以落叶起止时间为准；栽植法桐区域或邻近法桐栽植区域全年6次，其中法桐落叶季（12-3月）每月1次，兼有以上2-3种情况的路段可结合进行。合计全年共2-6次。</w:t>
            </w:r>
          </w:p>
        </w:tc>
      </w:tr>
      <w:tr w14:paraId="7C628B76">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A6294B2">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91B4D42">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60B838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2A6E9321">
            <w:pPr>
              <w:tabs>
                <w:tab w:val="left" w:pos="266"/>
              </w:tabs>
              <w:jc w:val="center"/>
              <w:rPr>
                <w:rFonts w:hint="eastAsia" w:ascii="仿宋_GB2312" w:hAnsi="仿宋_GB2312" w:eastAsia="仿宋_GB2312" w:cs="仿宋_GB2312"/>
                <w:kern w:val="0"/>
                <w:szCs w:val="21"/>
              </w:rPr>
            </w:pPr>
          </w:p>
        </w:tc>
      </w:tr>
      <w:tr w14:paraId="246B601A">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659AA64">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0B9FF39">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288B1A2">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21DD22FA">
            <w:pPr>
              <w:tabs>
                <w:tab w:val="left" w:pos="266"/>
              </w:tabs>
              <w:jc w:val="center"/>
              <w:rPr>
                <w:rFonts w:hint="eastAsia" w:ascii="仿宋_GB2312" w:hAnsi="仿宋_GB2312" w:eastAsia="仿宋_GB2312" w:cs="仿宋_GB2312"/>
                <w:kern w:val="0"/>
                <w:szCs w:val="21"/>
              </w:rPr>
            </w:pPr>
          </w:p>
        </w:tc>
      </w:tr>
      <w:tr w14:paraId="5A2BC724">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C404A16">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C4F9807">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3BBAC7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62C2117F">
            <w:pPr>
              <w:tabs>
                <w:tab w:val="left" w:pos="266"/>
              </w:tabs>
              <w:jc w:val="center"/>
              <w:rPr>
                <w:rFonts w:hint="eastAsia" w:ascii="仿宋_GB2312" w:hAnsi="仿宋_GB2312" w:eastAsia="仿宋_GB2312" w:cs="仿宋_GB2312"/>
                <w:kern w:val="0"/>
                <w:szCs w:val="21"/>
              </w:rPr>
            </w:pPr>
          </w:p>
        </w:tc>
      </w:tr>
      <w:tr w14:paraId="5C51AFAE">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8C47687">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C5BB408">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22A54A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6E6A10F6">
            <w:pPr>
              <w:tabs>
                <w:tab w:val="left" w:pos="266"/>
              </w:tabs>
              <w:jc w:val="center"/>
              <w:rPr>
                <w:rFonts w:hint="eastAsia" w:ascii="仿宋_GB2312" w:hAnsi="仿宋_GB2312" w:eastAsia="仿宋_GB2312" w:cs="仿宋_GB2312"/>
                <w:kern w:val="0"/>
                <w:szCs w:val="21"/>
              </w:rPr>
            </w:pPr>
          </w:p>
        </w:tc>
      </w:tr>
      <w:tr w14:paraId="1058D18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72652D8">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5EFFAD24">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除草</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9A240F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380F153">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3B0806E">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552F9EF">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D1182B0">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C00592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ACAE013">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328DBA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D189D8D">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E5D7E44">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1DCBAF5">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380276D">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991020B">
            <w:pPr>
              <w:tabs>
                <w:tab w:val="left" w:pos="266"/>
              </w:tabs>
              <w:jc w:val="center"/>
              <w:rPr>
                <w:rFonts w:hint="eastAsia" w:ascii="仿宋_GB2312" w:hAnsi="仿宋_GB2312" w:eastAsia="仿宋_GB2312" w:cs="仿宋_GB2312"/>
                <w:kern w:val="0"/>
                <w:szCs w:val="21"/>
              </w:rPr>
            </w:pPr>
          </w:p>
        </w:tc>
      </w:tr>
      <w:tr w14:paraId="18C05C7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552FD1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EF8489D">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426B688">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10C45D2">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5CAB955">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D6DBF2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691957D">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51019572">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ABA3525">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73C932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0A49B669">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0CD100D">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66AFEE20">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FEBAFEE">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5230F0AD">
            <w:pPr>
              <w:tabs>
                <w:tab w:val="left" w:pos="266"/>
              </w:tabs>
              <w:jc w:val="center"/>
              <w:rPr>
                <w:rFonts w:hint="eastAsia" w:ascii="仿宋_GB2312" w:hAnsi="仿宋_GB2312" w:eastAsia="仿宋_GB2312" w:cs="仿宋_GB2312"/>
                <w:kern w:val="0"/>
                <w:szCs w:val="21"/>
              </w:rPr>
            </w:pPr>
          </w:p>
        </w:tc>
      </w:tr>
      <w:tr w14:paraId="1B81E83E">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62CAC39">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2C7162C">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03B80F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D0BE5C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F3ACC15">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F8ED2E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B4154FB">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9D0ACD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E7FF935">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E28213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C40E69F">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EBA278B">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1BFB964">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E543039">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52A18FFE">
            <w:pPr>
              <w:tabs>
                <w:tab w:val="left" w:pos="266"/>
              </w:tabs>
              <w:jc w:val="center"/>
              <w:rPr>
                <w:rFonts w:hint="eastAsia" w:ascii="仿宋_GB2312" w:hAnsi="仿宋_GB2312" w:eastAsia="仿宋_GB2312" w:cs="仿宋_GB2312"/>
                <w:kern w:val="0"/>
                <w:szCs w:val="21"/>
              </w:rPr>
            </w:pPr>
          </w:p>
        </w:tc>
      </w:tr>
      <w:tr w14:paraId="587EA38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879A1A8">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EB211A4">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31CCB5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89E33C8">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89FD4D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495EAE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CC83E7B">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F7C493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2DAAFCD">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09061D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4577759">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ED9F1B1">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0D9BE2DA">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0882DB77">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4EFBD76">
            <w:pPr>
              <w:tabs>
                <w:tab w:val="left" w:pos="266"/>
              </w:tabs>
              <w:jc w:val="center"/>
              <w:rPr>
                <w:rFonts w:hint="eastAsia" w:ascii="仿宋_GB2312" w:hAnsi="仿宋_GB2312" w:eastAsia="仿宋_GB2312" w:cs="仿宋_GB2312"/>
                <w:kern w:val="0"/>
                <w:szCs w:val="21"/>
              </w:rPr>
            </w:pPr>
          </w:p>
        </w:tc>
      </w:tr>
      <w:tr w14:paraId="09B575B3">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24F7B8C">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055AD3F">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2F766C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CB7EE66">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D691BCF">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C241E8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B34E985">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52F1BE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6E4DEBD">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4F78761">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8DABDD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94C4DA5">
            <w:pPr>
              <w:tabs>
                <w:tab w:val="left" w:pos="266"/>
              </w:tabs>
              <w:jc w:val="center"/>
              <w:rPr>
                <w:rFonts w:hint="eastAsia" w:ascii="仿宋_GB2312" w:hAnsi="仿宋_GB2312" w:eastAsia="仿宋_GB2312" w:cs="仿宋_GB2312"/>
                <w:kern w:val="0"/>
                <w:szCs w:val="21"/>
              </w:rPr>
            </w:pPr>
          </w:p>
        </w:tc>
        <w:tc>
          <w:tcPr>
            <w:tcW w:w="445" w:type="pct"/>
            <w:gridSpan w:val="2"/>
            <w:tcBorders>
              <w:top w:val="single" w:color="000000" w:sz="4" w:space="0"/>
              <w:left w:val="single" w:color="000000" w:sz="4" w:space="0"/>
              <w:bottom w:val="single" w:color="000000" w:sz="4" w:space="0"/>
              <w:right w:val="single" w:color="000000" w:sz="4" w:space="0"/>
            </w:tcBorders>
            <w:noWrap/>
            <w:vAlign w:val="center"/>
          </w:tcPr>
          <w:p w14:paraId="41877F9E">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4869BA45">
            <w:pPr>
              <w:tabs>
                <w:tab w:val="left" w:pos="266"/>
              </w:tabs>
              <w:jc w:val="center"/>
              <w:rPr>
                <w:rFonts w:hint="eastAsia" w:ascii="仿宋_GB2312" w:hAnsi="仿宋_GB2312" w:eastAsia="仿宋_GB2312" w:cs="仿宋_GB2312"/>
                <w:kern w:val="0"/>
                <w:szCs w:val="21"/>
              </w:rPr>
            </w:pPr>
          </w:p>
        </w:tc>
        <w:tc>
          <w:tcPr>
            <w:tcW w:w="185" w:type="pct"/>
            <w:tcBorders>
              <w:top w:val="single" w:color="000000" w:sz="4" w:space="0"/>
              <w:left w:val="single" w:color="000000" w:sz="4" w:space="0"/>
              <w:bottom w:val="single" w:color="000000" w:sz="4" w:space="0"/>
              <w:right w:val="single" w:color="000000" w:sz="4" w:space="0"/>
            </w:tcBorders>
            <w:noWrap/>
            <w:vAlign w:val="center"/>
          </w:tcPr>
          <w:p w14:paraId="70BEB543">
            <w:pPr>
              <w:tabs>
                <w:tab w:val="left" w:pos="266"/>
              </w:tabs>
              <w:jc w:val="center"/>
              <w:rPr>
                <w:rFonts w:hint="eastAsia" w:ascii="仿宋_GB2312" w:hAnsi="仿宋_GB2312" w:eastAsia="仿宋_GB2312" w:cs="仿宋_GB2312"/>
                <w:kern w:val="0"/>
                <w:szCs w:val="21"/>
              </w:rPr>
            </w:pPr>
          </w:p>
        </w:tc>
      </w:tr>
      <w:tr w14:paraId="71B1CC4C">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5A184F4">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5DEA41B">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AC6861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6BDE9CB">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4274EE9">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8610E2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8AC5D97">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9180AD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DF29D2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630BD76">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61FC8A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D9D9C6B">
            <w:pPr>
              <w:tabs>
                <w:tab w:val="left" w:pos="266"/>
              </w:tabs>
              <w:jc w:val="center"/>
              <w:rPr>
                <w:rFonts w:hint="eastAsia" w:ascii="仿宋_GB2312" w:hAnsi="仿宋_GB2312" w:eastAsia="仿宋_GB2312" w:cs="仿宋_GB2312"/>
                <w:kern w:val="0"/>
                <w:szCs w:val="21"/>
              </w:rPr>
            </w:pPr>
          </w:p>
        </w:tc>
        <w:tc>
          <w:tcPr>
            <w:tcW w:w="445" w:type="pct"/>
            <w:gridSpan w:val="2"/>
            <w:tcBorders>
              <w:top w:val="single" w:color="000000" w:sz="4" w:space="0"/>
              <w:left w:val="single" w:color="000000" w:sz="4" w:space="0"/>
              <w:bottom w:val="single" w:color="000000" w:sz="4" w:space="0"/>
              <w:right w:val="single" w:color="000000" w:sz="4" w:space="0"/>
            </w:tcBorders>
            <w:noWrap/>
            <w:vAlign w:val="center"/>
          </w:tcPr>
          <w:p w14:paraId="4E024C50">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B36B801">
            <w:pPr>
              <w:tabs>
                <w:tab w:val="left" w:pos="266"/>
              </w:tabs>
              <w:jc w:val="center"/>
              <w:rPr>
                <w:rFonts w:hint="eastAsia" w:ascii="仿宋_GB2312" w:hAnsi="仿宋_GB2312" w:eastAsia="仿宋_GB2312" w:cs="仿宋_GB2312"/>
                <w:kern w:val="0"/>
                <w:szCs w:val="21"/>
              </w:rPr>
            </w:pPr>
          </w:p>
        </w:tc>
        <w:tc>
          <w:tcPr>
            <w:tcW w:w="185" w:type="pct"/>
            <w:tcBorders>
              <w:top w:val="single" w:color="000000" w:sz="4" w:space="0"/>
              <w:left w:val="single" w:color="000000" w:sz="4" w:space="0"/>
              <w:bottom w:val="single" w:color="000000" w:sz="4" w:space="0"/>
              <w:right w:val="single" w:color="000000" w:sz="4" w:space="0"/>
            </w:tcBorders>
            <w:noWrap/>
            <w:vAlign w:val="center"/>
          </w:tcPr>
          <w:p w14:paraId="3965A40E">
            <w:pPr>
              <w:tabs>
                <w:tab w:val="left" w:pos="266"/>
              </w:tabs>
              <w:jc w:val="center"/>
              <w:rPr>
                <w:rFonts w:hint="eastAsia" w:ascii="仿宋_GB2312" w:hAnsi="仿宋_GB2312" w:eastAsia="仿宋_GB2312" w:cs="仿宋_GB2312"/>
                <w:kern w:val="0"/>
                <w:szCs w:val="21"/>
              </w:rPr>
            </w:pPr>
          </w:p>
        </w:tc>
      </w:tr>
      <w:tr w14:paraId="7DE0823E">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8D56C4D">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CA078F6">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6CA228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21D98D3C">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67B7057">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CE9943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D21FA5D">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54813A9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13867F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7D98F03">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5C4A50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976DC72">
            <w:pPr>
              <w:tabs>
                <w:tab w:val="left" w:pos="266"/>
              </w:tabs>
              <w:jc w:val="center"/>
              <w:rPr>
                <w:rFonts w:hint="eastAsia" w:ascii="仿宋_GB2312" w:hAnsi="仿宋_GB2312" w:eastAsia="仿宋_GB2312" w:cs="仿宋_GB2312"/>
                <w:kern w:val="0"/>
                <w:szCs w:val="21"/>
              </w:rPr>
            </w:pPr>
          </w:p>
        </w:tc>
        <w:tc>
          <w:tcPr>
            <w:tcW w:w="445" w:type="pct"/>
            <w:gridSpan w:val="2"/>
            <w:tcBorders>
              <w:top w:val="single" w:color="000000" w:sz="4" w:space="0"/>
              <w:left w:val="single" w:color="000000" w:sz="4" w:space="0"/>
              <w:bottom w:val="single" w:color="000000" w:sz="4" w:space="0"/>
              <w:right w:val="single" w:color="000000" w:sz="4" w:space="0"/>
            </w:tcBorders>
            <w:noWrap/>
            <w:vAlign w:val="center"/>
          </w:tcPr>
          <w:p w14:paraId="682CE80E">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64C12D9">
            <w:pPr>
              <w:tabs>
                <w:tab w:val="left" w:pos="266"/>
              </w:tabs>
              <w:jc w:val="center"/>
              <w:rPr>
                <w:rFonts w:hint="eastAsia" w:ascii="仿宋_GB2312" w:hAnsi="仿宋_GB2312" w:eastAsia="仿宋_GB2312" w:cs="仿宋_GB2312"/>
                <w:kern w:val="0"/>
                <w:szCs w:val="21"/>
              </w:rPr>
            </w:pPr>
          </w:p>
        </w:tc>
        <w:tc>
          <w:tcPr>
            <w:tcW w:w="185" w:type="pct"/>
            <w:tcBorders>
              <w:top w:val="single" w:color="000000" w:sz="4" w:space="0"/>
              <w:left w:val="single" w:color="000000" w:sz="4" w:space="0"/>
              <w:bottom w:val="single" w:color="000000" w:sz="4" w:space="0"/>
              <w:right w:val="single" w:color="000000" w:sz="4" w:space="0"/>
            </w:tcBorders>
            <w:noWrap/>
            <w:vAlign w:val="center"/>
          </w:tcPr>
          <w:p w14:paraId="42F2CA98">
            <w:pPr>
              <w:tabs>
                <w:tab w:val="left" w:pos="266"/>
              </w:tabs>
              <w:jc w:val="center"/>
              <w:rPr>
                <w:rFonts w:hint="eastAsia" w:ascii="仿宋_GB2312" w:hAnsi="仿宋_GB2312" w:eastAsia="仿宋_GB2312" w:cs="仿宋_GB2312"/>
                <w:kern w:val="0"/>
                <w:szCs w:val="21"/>
              </w:rPr>
            </w:pPr>
          </w:p>
        </w:tc>
      </w:tr>
      <w:tr w14:paraId="5F3F4F6A">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8B9E654">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7C3E9BA4">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水域管理</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3D2AC1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水域保洁管理（次）</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3B1506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473BDC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70568B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E08E04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5987B45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EB6371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BC6055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≥15</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44997C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≥15</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18F453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≥25</w:t>
            </w:r>
          </w:p>
        </w:tc>
        <w:tc>
          <w:tcPr>
            <w:tcW w:w="445" w:type="pct"/>
            <w:gridSpan w:val="2"/>
            <w:tcBorders>
              <w:top w:val="single" w:color="000000" w:sz="4" w:space="0"/>
              <w:left w:val="single" w:color="000000" w:sz="4" w:space="0"/>
              <w:bottom w:val="single" w:color="000000" w:sz="4" w:space="0"/>
              <w:right w:val="single" w:color="000000" w:sz="4" w:space="0"/>
            </w:tcBorders>
            <w:noWrap/>
            <w:vAlign w:val="center"/>
          </w:tcPr>
          <w:p w14:paraId="32EB9BA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≥20</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613166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185" w:type="pct"/>
            <w:tcBorders>
              <w:top w:val="single" w:color="000000" w:sz="4" w:space="0"/>
              <w:left w:val="single" w:color="000000" w:sz="4" w:space="0"/>
              <w:bottom w:val="single" w:color="000000" w:sz="4" w:space="0"/>
              <w:right w:val="single" w:color="000000" w:sz="4" w:space="0"/>
            </w:tcBorders>
            <w:noWrap/>
            <w:vAlign w:val="center"/>
          </w:tcPr>
          <w:p w14:paraId="2FA4DE4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r>
      <w:tr w14:paraId="2D53ACC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7BDD666">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425FABD">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4A2ECC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水生植物管理</w:t>
            </w:r>
          </w:p>
        </w:tc>
        <w:tc>
          <w:tcPr>
            <w:tcW w:w="2364" w:type="pct"/>
            <w:gridSpan w:val="8"/>
            <w:tcBorders>
              <w:top w:val="single" w:color="000000" w:sz="4" w:space="0"/>
              <w:left w:val="single" w:color="000000" w:sz="4" w:space="0"/>
              <w:bottom w:val="single" w:color="000000" w:sz="4" w:space="0"/>
              <w:right w:val="single" w:color="000000" w:sz="4" w:space="0"/>
            </w:tcBorders>
            <w:noWrap/>
            <w:vAlign w:val="center"/>
          </w:tcPr>
          <w:p w14:paraId="49A6E249">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根据需要进行病虫害防治，喷施钾肥、多效唑等防倒伏</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AEBC552">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割除地上干枯，12月检查</w:t>
            </w:r>
          </w:p>
        </w:tc>
        <w:tc>
          <w:tcPr>
            <w:tcW w:w="627" w:type="pct"/>
            <w:gridSpan w:val="3"/>
            <w:tcBorders>
              <w:top w:val="single" w:color="000000" w:sz="4" w:space="0"/>
              <w:left w:val="single" w:color="000000" w:sz="4" w:space="0"/>
              <w:bottom w:val="single" w:color="000000" w:sz="4" w:space="0"/>
              <w:right w:val="single" w:color="000000" w:sz="4" w:space="0"/>
            </w:tcBorders>
            <w:noWrap/>
            <w:vAlign w:val="center"/>
          </w:tcPr>
          <w:p w14:paraId="670572A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04A7D5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w:t>
            </w:r>
          </w:p>
        </w:tc>
      </w:tr>
    </w:tbl>
    <w:p w14:paraId="41590148">
      <w:pPr>
        <w:pStyle w:val="8"/>
        <w:tabs>
          <w:tab w:val="left" w:pos="266"/>
          <w:tab w:val="left" w:pos="1890"/>
        </w:tabs>
        <w:spacing w:line="520" w:lineRule="exact"/>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注：作业标准①浇水：浇灌透水1次，土壤渗水深度大于20cm；</w:t>
      </w:r>
    </w:p>
    <w:p w14:paraId="569C8C31">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②施肥：结合春灌或春雨（至少中雨）全域冷季型、暖季型草皮追肥1次冷季型3月初施肥，暖季型随后施肥，每1000平方米7-8公斤；秋肥全域苗木施用，绿篱草花宿根花卉用量同前，乔木按胸径施肥，胸径10厘米每次每株约0.5公斤，其他规格照此调整，小树稍施，大树多施，弱树薄肥勤施，灌木也可参考上述方法。</w:t>
      </w:r>
    </w:p>
    <w:p w14:paraId="46D2EBCD">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③病虫害防治：以无明显危害症状，不影响景观效果为合格标准</w:t>
      </w:r>
    </w:p>
    <w:p w14:paraId="0C9C4DBE">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④除草：以绿地无明显杂草为标准。</w:t>
      </w:r>
    </w:p>
    <w:p w14:paraId="540585F6">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⑤清掏：以绿地无明显断枝、落叶为标准。</w:t>
      </w:r>
    </w:p>
    <w:p w14:paraId="0A54E9CA">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⑥修剪：绿篱修剪，横平竖直、轮廓清晰，造型球曲面自然、流畅;乔木、花灌木修剪，剪除下垂枝、病枝、弱枝、徒长枝等，内堂通风透光，培养优美树形。</w:t>
      </w:r>
    </w:p>
    <w:p w14:paraId="6DC4FC2A">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⑦补栽：按指令补栽及时，补栽密度斜45度视角不见黄土。</w:t>
      </w:r>
    </w:p>
    <w:p w14:paraId="4F07697A">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⑧苗木保障：按时令天气及时对全区域不耐寒苗木采取浇灌、设置/拆除等防冻保温措施，不遗漏，此类植物无明显受冻症状为达标。</w:t>
      </w:r>
    </w:p>
    <w:p w14:paraId="0F0470CE">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⑨水域管理：湖面干净整洁，水质达标，水生植物生长正常，无明显病虫害，无大面积倒伏（倒伏面积不大于10%）；有条件的冬季清淤1次。</w:t>
      </w:r>
    </w:p>
    <w:p w14:paraId="234285E5">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sectPr>
          <w:footnotePr>
            <w:numFmt w:val="decimalEnclosedCircleChinese"/>
          </w:footnotePr>
          <w:pgSz w:w="11905" w:h="16838"/>
          <w:pgMar w:top="1440" w:right="1080" w:bottom="1440" w:left="1080" w:header="850" w:footer="975" w:gutter="0"/>
          <w:cols w:space="720" w:num="1"/>
          <w:docGrid w:linePitch="312" w:charSpace="0"/>
        </w:sectPr>
      </w:pPr>
    </w:p>
    <w:p w14:paraId="166A31E5">
      <w:pPr>
        <w:pStyle w:val="8"/>
        <w:tabs>
          <w:tab w:val="left" w:pos="266"/>
        </w:tabs>
        <w:spacing w:line="520" w:lineRule="exact"/>
        <w:jc w:val="center"/>
        <w:outlineLvl w:val="3"/>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2、西安高新区道路绿化养护管理项目考评标准及得分统计表</w:t>
      </w:r>
    </w:p>
    <w:tbl>
      <w:tblPr>
        <w:tblStyle w:val="10"/>
        <w:tblW w:w="0" w:type="auto"/>
        <w:jc w:val="center"/>
        <w:tblLayout w:type="fixed"/>
        <w:tblCellMar>
          <w:top w:w="0" w:type="dxa"/>
          <w:left w:w="108" w:type="dxa"/>
          <w:bottom w:w="0" w:type="dxa"/>
          <w:right w:w="108" w:type="dxa"/>
        </w:tblCellMar>
      </w:tblPr>
      <w:tblGrid>
        <w:gridCol w:w="790"/>
        <w:gridCol w:w="680"/>
        <w:gridCol w:w="1938"/>
        <w:gridCol w:w="2190"/>
        <w:gridCol w:w="390"/>
        <w:gridCol w:w="1969"/>
        <w:gridCol w:w="673"/>
        <w:gridCol w:w="730"/>
      </w:tblGrid>
      <w:tr w14:paraId="0803B0D0">
        <w:tblPrEx>
          <w:tblCellMar>
            <w:top w:w="0" w:type="dxa"/>
            <w:left w:w="108" w:type="dxa"/>
            <w:bottom w:w="0" w:type="dxa"/>
            <w:right w:w="108" w:type="dxa"/>
          </w:tblCellMar>
        </w:tblPrEx>
        <w:trPr>
          <w:trHeight w:val="23" w:hRule="atLeast"/>
          <w:jc w:val="center"/>
        </w:trPr>
        <w:tc>
          <w:tcPr>
            <w:tcW w:w="790" w:type="dxa"/>
            <w:tcBorders>
              <w:top w:val="single" w:color="auto" w:sz="4" w:space="0"/>
              <w:left w:val="single" w:color="auto" w:sz="4" w:space="0"/>
              <w:bottom w:val="single" w:color="000000" w:sz="4" w:space="0"/>
              <w:right w:val="single" w:color="000000" w:sz="4" w:space="0"/>
            </w:tcBorders>
            <w:noWrap/>
            <w:vAlign w:val="center"/>
          </w:tcPr>
          <w:p w14:paraId="654D9377">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考核地点</w:t>
            </w:r>
          </w:p>
        </w:tc>
        <w:tc>
          <w:tcPr>
            <w:tcW w:w="2618" w:type="dxa"/>
            <w:gridSpan w:val="2"/>
            <w:tcBorders>
              <w:top w:val="single" w:color="auto" w:sz="4" w:space="0"/>
              <w:left w:val="single" w:color="000000" w:sz="4" w:space="0"/>
              <w:bottom w:val="single" w:color="000000" w:sz="4" w:space="0"/>
              <w:right w:val="single" w:color="000000" w:sz="4" w:space="0"/>
            </w:tcBorders>
            <w:noWrap/>
            <w:vAlign w:val="center"/>
          </w:tcPr>
          <w:p w14:paraId="5294941A">
            <w:pPr>
              <w:tabs>
                <w:tab w:val="left" w:pos="266"/>
              </w:tabs>
              <w:spacing w:line="360" w:lineRule="exact"/>
              <w:jc w:val="center"/>
              <w:textAlignment w:val="center"/>
              <w:rPr>
                <w:rFonts w:hint="eastAsia" w:ascii="仿宋_GB2312" w:hAnsi="仿宋_GB2312" w:eastAsia="仿宋_GB2312" w:cs="仿宋_GB2312"/>
                <w:kern w:val="0"/>
                <w:sz w:val="24"/>
                <w:szCs w:val="24"/>
              </w:rPr>
            </w:pPr>
          </w:p>
        </w:tc>
        <w:tc>
          <w:tcPr>
            <w:tcW w:w="2580" w:type="dxa"/>
            <w:gridSpan w:val="2"/>
            <w:tcBorders>
              <w:top w:val="single" w:color="auto" w:sz="4" w:space="0"/>
              <w:left w:val="single" w:color="000000" w:sz="4" w:space="0"/>
              <w:bottom w:val="single" w:color="000000" w:sz="4" w:space="0"/>
              <w:right w:val="single" w:color="000000" w:sz="4" w:space="0"/>
            </w:tcBorders>
            <w:noWrap/>
            <w:vAlign w:val="center"/>
          </w:tcPr>
          <w:p w14:paraId="556D152E">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考核日期</w:t>
            </w:r>
          </w:p>
        </w:tc>
        <w:tc>
          <w:tcPr>
            <w:tcW w:w="2642" w:type="dxa"/>
            <w:gridSpan w:val="2"/>
            <w:tcBorders>
              <w:top w:val="single" w:color="auto" w:sz="4" w:space="0"/>
              <w:left w:val="single" w:color="000000" w:sz="4" w:space="0"/>
              <w:bottom w:val="single" w:color="000000" w:sz="4" w:space="0"/>
              <w:right w:val="single" w:color="auto" w:sz="4" w:space="0"/>
            </w:tcBorders>
            <w:noWrap/>
            <w:vAlign w:val="center"/>
          </w:tcPr>
          <w:p w14:paraId="7B17F92A">
            <w:pPr>
              <w:tabs>
                <w:tab w:val="left" w:pos="266"/>
              </w:tabs>
              <w:spacing w:line="360" w:lineRule="exact"/>
              <w:jc w:val="center"/>
              <w:textAlignment w:val="center"/>
              <w:rPr>
                <w:rFonts w:hint="eastAsia" w:ascii="仿宋_GB2312" w:hAnsi="仿宋_GB2312" w:eastAsia="仿宋_GB2312" w:cs="仿宋_GB2312"/>
                <w:kern w:val="0"/>
                <w:sz w:val="24"/>
                <w:szCs w:val="24"/>
              </w:rPr>
            </w:pPr>
          </w:p>
        </w:tc>
        <w:tc>
          <w:tcPr>
            <w:tcW w:w="730" w:type="dxa"/>
            <w:tcBorders>
              <w:top w:val="single" w:color="auto" w:sz="4" w:space="0"/>
              <w:left w:val="single" w:color="000000" w:sz="4" w:space="0"/>
              <w:bottom w:val="single" w:color="000000" w:sz="4" w:space="0"/>
              <w:right w:val="single" w:color="auto" w:sz="4" w:space="0"/>
            </w:tcBorders>
            <w:noWrap/>
            <w:vAlign w:val="center"/>
          </w:tcPr>
          <w:p w14:paraId="7CFB59EC">
            <w:pPr>
              <w:tabs>
                <w:tab w:val="left" w:pos="266"/>
              </w:tabs>
              <w:spacing w:line="360" w:lineRule="exact"/>
              <w:jc w:val="center"/>
              <w:textAlignment w:val="center"/>
              <w:rPr>
                <w:rFonts w:hint="eastAsia" w:ascii="仿宋_GB2312" w:hAnsi="仿宋_GB2312" w:eastAsia="仿宋_GB2312" w:cs="仿宋_GB2312"/>
                <w:kern w:val="0"/>
                <w:sz w:val="24"/>
                <w:szCs w:val="24"/>
              </w:rPr>
            </w:pPr>
          </w:p>
        </w:tc>
      </w:tr>
      <w:tr w14:paraId="73EF1A02">
        <w:trPr>
          <w:trHeight w:val="23" w:hRule="atLeast"/>
          <w:jc w:val="center"/>
        </w:trPr>
        <w:tc>
          <w:tcPr>
            <w:tcW w:w="790" w:type="dxa"/>
            <w:tcBorders>
              <w:top w:val="single" w:color="000000" w:sz="4" w:space="0"/>
              <w:left w:val="single" w:color="auto" w:sz="4" w:space="0"/>
              <w:bottom w:val="single" w:color="000000" w:sz="4" w:space="0"/>
              <w:right w:val="single" w:color="000000" w:sz="4" w:space="0"/>
            </w:tcBorders>
            <w:noWrap/>
            <w:vAlign w:val="center"/>
          </w:tcPr>
          <w:p w14:paraId="254775DE">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考评项目</w:t>
            </w:r>
          </w:p>
        </w:tc>
        <w:tc>
          <w:tcPr>
            <w:tcW w:w="680" w:type="dxa"/>
            <w:tcBorders>
              <w:top w:val="single" w:color="000000" w:sz="4" w:space="0"/>
              <w:left w:val="single" w:color="000000" w:sz="4" w:space="0"/>
              <w:bottom w:val="single" w:color="000000" w:sz="4" w:space="0"/>
              <w:right w:val="single" w:color="000000" w:sz="4" w:space="0"/>
            </w:tcBorders>
            <w:noWrap/>
            <w:vAlign w:val="center"/>
          </w:tcPr>
          <w:p w14:paraId="237383AE">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分值</w:t>
            </w: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1F8608FE">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扣分原则</w:t>
            </w:r>
          </w:p>
        </w:tc>
        <w:tc>
          <w:tcPr>
            <w:tcW w:w="673" w:type="dxa"/>
            <w:tcBorders>
              <w:top w:val="single" w:color="000000" w:sz="4" w:space="0"/>
              <w:left w:val="single" w:color="000000" w:sz="4" w:space="0"/>
              <w:bottom w:val="single" w:color="000000" w:sz="4" w:space="0"/>
              <w:right w:val="single" w:color="auto" w:sz="4" w:space="0"/>
            </w:tcBorders>
            <w:noWrap/>
            <w:vAlign w:val="center"/>
          </w:tcPr>
          <w:p w14:paraId="7DB7FDEB">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得分</w:t>
            </w:r>
          </w:p>
        </w:tc>
        <w:tc>
          <w:tcPr>
            <w:tcW w:w="730" w:type="dxa"/>
            <w:tcBorders>
              <w:top w:val="single" w:color="000000" w:sz="4" w:space="0"/>
              <w:left w:val="single" w:color="000000" w:sz="4" w:space="0"/>
              <w:bottom w:val="single" w:color="000000" w:sz="4" w:space="0"/>
              <w:right w:val="single" w:color="auto" w:sz="4" w:space="0"/>
            </w:tcBorders>
            <w:noWrap/>
            <w:vAlign w:val="center"/>
          </w:tcPr>
          <w:p w14:paraId="6677FAED">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备注</w:t>
            </w:r>
          </w:p>
        </w:tc>
      </w:tr>
      <w:tr w14:paraId="2A44353E">
        <w:tblPrEx>
          <w:tblCellMar>
            <w:top w:w="0" w:type="dxa"/>
            <w:left w:w="108" w:type="dxa"/>
            <w:bottom w:w="0" w:type="dxa"/>
            <w:right w:w="108" w:type="dxa"/>
          </w:tblCellMar>
        </w:tblPrEx>
        <w:trPr>
          <w:trHeight w:val="23" w:hRule="atLeast"/>
          <w:jc w:val="center"/>
        </w:trPr>
        <w:tc>
          <w:tcPr>
            <w:tcW w:w="790" w:type="dxa"/>
            <w:vMerge w:val="restart"/>
            <w:tcBorders>
              <w:top w:val="single" w:color="000000" w:sz="4" w:space="0"/>
              <w:left w:val="single" w:color="auto" w:sz="4" w:space="0"/>
              <w:bottom w:val="single" w:color="auto" w:sz="4" w:space="0"/>
              <w:right w:val="single" w:color="000000" w:sz="4" w:space="0"/>
            </w:tcBorders>
            <w:noWrap/>
            <w:vAlign w:val="center"/>
          </w:tcPr>
          <w:p w14:paraId="4A1F568B">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日常管理</w:t>
            </w:r>
          </w:p>
        </w:tc>
        <w:tc>
          <w:tcPr>
            <w:tcW w:w="680" w:type="dxa"/>
            <w:vMerge w:val="restart"/>
            <w:tcBorders>
              <w:top w:val="single" w:color="000000" w:sz="4" w:space="0"/>
              <w:left w:val="single" w:color="000000" w:sz="4" w:space="0"/>
              <w:bottom w:val="single" w:color="auto" w:sz="4" w:space="0"/>
              <w:right w:val="single" w:color="000000" w:sz="4" w:space="0"/>
            </w:tcBorders>
            <w:noWrap/>
            <w:vAlign w:val="center"/>
          </w:tcPr>
          <w:p w14:paraId="607A6DC5">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w:t>
            </w: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25412E23">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资料：每周五上报次周计划表及作业人数，未按时上报扣1分；</w:t>
            </w:r>
          </w:p>
        </w:tc>
        <w:tc>
          <w:tcPr>
            <w:tcW w:w="673" w:type="dxa"/>
            <w:vMerge w:val="restart"/>
            <w:tcBorders>
              <w:top w:val="single" w:color="000000" w:sz="4" w:space="0"/>
              <w:left w:val="single" w:color="000000" w:sz="4" w:space="0"/>
              <w:bottom w:val="single" w:color="auto" w:sz="4" w:space="0"/>
              <w:right w:val="single" w:color="auto" w:sz="4" w:space="0"/>
            </w:tcBorders>
            <w:noWrap/>
            <w:vAlign w:val="center"/>
          </w:tcPr>
          <w:p w14:paraId="3F846B8E">
            <w:pPr>
              <w:tabs>
                <w:tab w:val="left" w:pos="266"/>
              </w:tabs>
              <w:spacing w:line="360" w:lineRule="exact"/>
              <w:textAlignment w:val="center"/>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center"/>
          </w:tcPr>
          <w:p w14:paraId="001D9422">
            <w:pPr>
              <w:tabs>
                <w:tab w:val="left" w:pos="266"/>
              </w:tabs>
              <w:spacing w:line="360" w:lineRule="exact"/>
              <w:textAlignment w:val="center"/>
              <w:rPr>
                <w:rFonts w:hint="eastAsia" w:ascii="仿宋_GB2312" w:hAnsi="仿宋_GB2312" w:eastAsia="仿宋_GB2312" w:cs="仿宋_GB2312"/>
                <w:kern w:val="0"/>
                <w:sz w:val="24"/>
                <w:szCs w:val="24"/>
              </w:rPr>
            </w:pPr>
          </w:p>
        </w:tc>
      </w:tr>
      <w:tr w14:paraId="3D70F16B">
        <w:tblPrEx>
          <w:tblCellMar>
            <w:top w:w="0" w:type="dxa"/>
            <w:left w:w="108" w:type="dxa"/>
            <w:bottom w:w="0" w:type="dxa"/>
            <w:right w:w="108" w:type="dxa"/>
          </w:tblCellMar>
        </w:tblPrEx>
        <w:trPr>
          <w:trHeight w:val="23" w:hRule="atLeast"/>
          <w:jc w:val="center"/>
        </w:trPr>
        <w:tc>
          <w:tcPr>
            <w:tcW w:w="790" w:type="dxa"/>
            <w:vMerge w:val="continue"/>
            <w:tcBorders>
              <w:top w:val="single" w:color="000000" w:sz="4" w:space="0"/>
              <w:left w:val="single" w:color="auto" w:sz="4" w:space="0"/>
              <w:bottom w:val="single" w:color="auto" w:sz="4" w:space="0"/>
              <w:right w:val="single" w:color="000000" w:sz="4" w:space="0"/>
            </w:tcBorders>
            <w:noWrap/>
            <w:vAlign w:val="center"/>
          </w:tcPr>
          <w:p w14:paraId="11857146">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000000" w:sz="4" w:space="0"/>
              <w:left w:val="single" w:color="000000" w:sz="4" w:space="0"/>
              <w:bottom w:val="single" w:color="auto" w:sz="4" w:space="0"/>
              <w:right w:val="single" w:color="000000" w:sz="4" w:space="0"/>
            </w:tcBorders>
            <w:noWrap/>
            <w:vAlign w:val="center"/>
          </w:tcPr>
          <w:p w14:paraId="569CDDCE">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79B5BCB1">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安全：健全安全管理制度，建立各类安全预案，定期排查安全隐患，每缺一项扣1分。</w:t>
            </w:r>
          </w:p>
        </w:tc>
        <w:tc>
          <w:tcPr>
            <w:tcW w:w="673" w:type="dxa"/>
            <w:vMerge w:val="continue"/>
            <w:tcBorders>
              <w:top w:val="single" w:color="000000" w:sz="4" w:space="0"/>
              <w:left w:val="single" w:color="000000" w:sz="4" w:space="0"/>
              <w:bottom w:val="single" w:color="auto" w:sz="4" w:space="0"/>
              <w:right w:val="single" w:color="auto" w:sz="4" w:space="0"/>
            </w:tcBorders>
            <w:noWrap/>
            <w:vAlign w:val="center"/>
          </w:tcPr>
          <w:p w14:paraId="7CAD9BC8">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29D52A32">
            <w:pPr>
              <w:tabs>
                <w:tab w:val="left" w:pos="266"/>
              </w:tabs>
              <w:spacing w:line="360" w:lineRule="exact"/>
              <w:rPr>
                <w:rFonts w:hint="eastAsia" w:ascii="仿宋_GB2312" w:hAnsi="仿宋_GB2312" w:eastAsia="仿宋_GB2312" w:cs="仿宋_GB2312"/>
                <w:kern w:val="0"/>
                <w:sz w:val="24"/>
                <w:szCs w:val="24"/>
              </w:rPr>
            </w:pPr>
          </w:p>
        </w:tc>
      </w:tr>
      <w:tr w14:paraId="55732CDD">
        <w:trPr>
          <w:trHeight w:val="23" w:hRule="atLeast"/>
          <w:jc w:val="center"/>
        </w:trPr>
        <w:tc>
          <w:tcPr>
            <w:tcW w:w="790" w:type="dxa"/>
            <w:vMerge w:val="continue"/>
            <w:tcBorders>
              <w:top w:val="single" w:color="000000" w:sz="4" w:space="0"/>
              <w:left w:val="single" w:color="auto" w:sz="4" w:space="0"/>
              <w:bottom w:val="single" w:color="auto" w:sz="4" w:space="0"/>
              <w:right w:val="single" w:color="000000" w:sz="4" w:space="0"/>
            </w:tcBorders>
            <w:noWrap/>
            <w:vAlign w:val="center"/>
          </w:tcPr>
          <w:p w14:paraId="68681D5F">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000000" w:sz="4" w:space="0"/>
              <w:left w:val="single" w:color="000000" w:sz="4" w:space="0"/>
              <w:bottom w:val="single" w:color="auto" w:sz="4" w:space="0"/>
              <w:right w:val="single" w:color="000000" w:sz="4" w:space="0"/>
            </w:tcBorders>
            <w:noWrap/>
            <w:vAlign w:val="center"/>
          </w:tcPr>
          <w:p w14:paraId="1963CF38">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589703A2">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项目负责人在岗：项目负责人（主管）人员是否在岗履行职务，未在岗扣1分。</w:t>
            </w:r>
          </w:p>
        </w:tc>
        <w:tc>
          <w:tcPr>
            <w:tcW w:w="673" w:type="dxa"/>
            <w:vMerge w:val="continue"/>
            <w:tcBorders>
              <w:top w:val="single" w:color="000000" w:sz="4" w:space="0"/>
              <w:left w:val="single" w:color="000000" w:sz="4" w:space="0"/>
              <w:bottom w:val="single" w:color="auto" w:sz="4" w:space="0"/>
              <w:right w:val="single" w:color="auto" w:sz="4" w:space="0"/>
            </w:tcBorders>
            <w:noWrap/>
            <w:vAlign w:val="center"/>
          </w:tcPr>
          <w:p w14:paraId="1F66A700">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37CD921F">
            <w:pPr>
              <w:tabs>
                <w:tab w:val="left" w:pos="266"/>
              </w:tabs>
              <w:spacing w:line="360" w:lineRule="exact"/>
              <w:rPr>
                <w:rFonts w:hint="eastAsia" w:ascii="仿宋_GB2312" w:hAnsi="仿宋_GB2312" w:eastAsia="仿宋_GB2312" w:cs="仿宋_GB2312"/>
                <w:kern w:val="0"/>
                <w:sz w:val="24"/>
                <w:szCs w:val="24"/>
              </w:rPr>
            </w:pPr>
          </w:p>
        </w:tc>
      </w:tr>
      <w:tr w14:paraId="660B5F27">
        <w:tblPrEx>
          <w:tblCellMar>
            <w:top w:w="0" w:type="dxa"/>
            <w:left w:w="108" w:type="dxa"/>
            <w:bottom w:w="0" w:type="dxa"/>
            <w:right w:w="108" w:type="dxa"/>
          </w:tblCellMar>
        </w:tblPrEx>
        <w:trPr>
          <w:trHeight w:val="23" w:hRule="atLeast"/>
          <w:jc w:val="center"/>
        </w:trPr>
        <w:tc>
          <w:tcPr>
            <w:tcW w:w="790" w:type="dxa"/>
            <w:vMerge w:val="continue"/>
            <w:tcBorders>
              <w:top w:val="single" w:color="000000" w:sz="4" w:space="0"/>
              <w:left w:val="single" w:color="auto" w:sz="4" w:space="0"/>
              <w:bottom w:val="single" w:color="auto" w:sz="4" w:space="0"/>
              <w:right w:val="single" w:color="000000" w:sz="4" w:space="0"/>
            </w:tcBorders>
            <w:noWrap/>
            <w:vAlign w:val="center"/>
          </w:tcPr>
          <w:p w14:paraId="2A578AEF">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000000" w:sz="4" w:space="0"/>
              <w:left w:val="single" w:color="000000" w:sz="4" w:space="0"/>
              <w:bottom w:val="single" w:color="auto" w:sz="4" w:space="0"/>
              <w:right w:val="single" w:color="000000" w:sz="4" w:space="0"/>
            </w:tcBorders>
            <w:noWrap/>
            <w:vAlign w:val="center"/>
          </w:tcPr>
          <w:p w14:paraId="7274D819">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auto" w:sz="4" w:space="0"/>
              <w:right w:val="single" w:color="000000" w:sz="4" w:space="0"/>
            </w:tcBorders>
            <w:noWrap/>
            <w:vAlign w:val="center"/>
          </w:tcPr>
          <w:p w14:paraId="39512E0A">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作业人员数量：按照周计划表安排相应作业人员，少一人扣0.5分。</w:t>
            </w:r>
          </w:p>
        </w:tc>
        <w:tc>
          <w:tcPr>
            <w:tcW w:w="673" w:type="dxa"/>
            <w:vMerge w:val="continue"/>
            <w:tcBorders>
              <w:top w:val="single" w:color="000000" w:sz="4" w:space="0"/>
              <w:left w:val="single" w:color="000000" w:sz="4" w:space="0"/>
              <w:bottom w:val="single" w:color="auto" w:sz="4" w:space="0"/>
              <w:right w:val="single" w:color="auto" w:sz="4" w:space="0"/>
            </w:tcBorders>
            <w:noWrap/>
            <w:vAlign w:val="center"/>
          </w:tcPr>
          <w:p w14:paraId="68A1AC18">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auto" w:sz="4" w:space="0"/>
              <w:right w:val="single" w:color="auto" w:sz="4" w:space="0"/>
            </w:tcBorders>
            <w:noWrap/>
            <w:vAlign w:val="bottom"/>
          </w:tcPr>
          <w:p w14:paraId="4FB39771">
            <w:pPr>
              <w:tabs>
                <w:tab w:val="left" w:pos="266"/>
              </w:tabs>
              <w:spacing w:line="360" w:lineRule="exact"/>
              <w:rPr>
                <w:rFonts w:hint="eastAsia" w:ascii="仿宋_GB2312" w:hAnsi="仿宋_GB2312" w:eastAsia="仿宋_GB2312" w:cs="仿宋_GB2312"/>
                <w:kern w:val="0"/>
                <w:sz w:val="24"/>
                <w:szCs w:val="24"/>
              </w:rPr>
            </w:pPr>
          </w:p>
        </w:tc>
      </w:tr>
      <w:tr w14:paraId="598271F1">
        <w:trPr>
          <w:trHeight w:val="23" w:hRule="atLeast"/>
          <w:jc w:val="center"/>
        </w:trPr>
        <w:tc>
          <w:tcPr>
            <w:tcW w:w="790" w:type="dxa"/>
            <w:vMerge w:val="continue"/>
            <w:tcBorders>
              <w:top w:val="single" w:color="000000" w:sz="4" w:space="0"/>
              <w:left w:val="single" w:color="auto" w:sz="4" w:space="0"/>
              <w:bottom w:val="single" w:color="auto" w:sz="4" w:space="0"/>
              <w:right w:val="single" w:color="000000" w:sz="4" w:space="0"/>
            </w:tcBorders>
            <w:noWrap/>
            <w:vAlign w:val="center"/>
          </w:tcPr>
          <w:p w14:paraId="0D2F5D2C">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000000" w:sz="4" w:space="0"/>
              <w:left w:val="single" w:color="000000" w:sz="4" w:space="0"/>
              <w:bottom w:val="single" w:color="auto" w:sz="4" w:space="0"/>
              <w:right w:val="single" w:color="000000" w:sz="4" w:space="0"/>
            </w:tcBorders>
            <w:noWrap/>
            <w:vAlign w:val="center"/>
          </w:tcPr>
          <w:p w14:paraId="5D8A2047">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auto" w:sz="4" w:space="0"/>
              <w:right w:val="single" w:color="000000" w:sz="4" w:space="0"/>
            </w:tcBorders>
            <w:noWrap/>
            <w:vAlign w:val="center"/>
          </w:tcPr>
          <w:p w14:paraId="45F6F09F">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计划完成情况自查：按养护计划认真落实，未达标扣0.5分。道路管理负责人每天17:00上报周计划完成进度，未及时上报的扣0.5分；道路主管领导每周上报周计划表完成情况，未及时上报的扣1分。</w:t>
            </w:r>
          </w:p>
        </w:tc>
        <w:tc>
          <w:tcPr>
            <w:tcW w:w="673" w:type="dxa"/>
            <w:vMerge w:val="continue"/>
            <w:tcBorders>
              <w:top w:val="single" w:color="000000" w:sz="4" w:space="0"/>
              <w:left w:val="single" w:color="000000" w:sz="4" w:space="0"/>
              <w:bottom w:val="single" w:color="auto" w:sz="4" w:space="0"/>
              <w:right w:val="single" w:color="auto" w:sz="4" w:space="0"/>
            </w:tcBorders>
            <w:noWrap/>
            <w:vAlign w:val="center"/>
          </w:tcPr>
          <w:p w14:paraId="491DA8B1">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auto" w:sz="4" w:space="0"/>
              <w:right w:val="single" w:color="auto" w:sz="4" w:space="0"/>
            </w:tcBorders>
            <w:noWrap/>
            <w:vAlign w:val="bottom"/>
          </w:tcPr>
          <w:p w14:paraId="08324689">
            <w:pPr>
              <w:tabs>
                <w:tab w:val="left" w:pos="266"/>
              </w:tabs>
              <w:spacing w:line="360" w:lineRule="exact"/>
              <w:ind w:right="2822" w:rightChars="1344"/>
              <w:rPr>
                <w:rFonts w:hint="eastAsia" w:ascii="仿宋_GB2312" w:hAnsi="仿宋_GB2312" w:eastAsia="仿宋_GB2312" w:cs="仿宋_GB2312"/>
                <w:kern w:val="0"/>
                <w:sz w:val="24"/>
                <w:szCs w:val="24"/>
              </w:rPr>
            </w:pPr>
          </w:p>
        </w:tc>
      </w:tr>
      <w:tr w14:paraId="25B7A2CB">
        <w:tblPrEx>
          <w:tblCellMar>
            <w:top w:w="0" w:type="dxa"/>
            <w:left w:w="108" w:type="dxa"/>
            <w:bottom w:w="0" w:type="dxa"/>
            <w:right w:w="108" w:type="dxa"/>
          </w:tblCellMar>
        </w:tblPrEx>
        <w:trPr>
          <w:trHeight w:val="23" w:hRule="atLeast"/>
          <w:jc w:val="center"/>
        </w:trPr>
        <w:tc>
          <w:tcPr>
            <w:tcW w:w="790" w:type="dxa"/>
            <w:vMerge w:val="restart"/>
            <w:tcBorders>
              <w:top w:val="single" w:color="auto" w:sz="4" w:space="0"/>
              <w:left w:val="single" w:color="auto" w:sz="4" w:space="0"/>
              <w:bottom w:val="single" w:color="auto" w:sz="4" w:space="0"/>
              <w:right w:val="single" w:color="000000" w:sz="4" w:space="0"/>
            </w:tcBorders>
            <w:noWrap/>
            <w:vAlign w:val="center"/>
          </w:tcPr>
          <w:p w14:paraId="0B6A072A">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乔木</w:t>
            </w:r>
          </w:p>
        </w:tc>
        <w:tc>
          <w:tcPr>
            <w:tcW w:w="680" w:type="dxa"/>
            <w:vMerge w:val="restart"/>
            <w:tcBorders>
              <w:top w:val="single" w:color="auto" w:sz="4" w:space="0"/>
              <w:left w:val="single" w:color="000000" w:sz="4" w:space="0"/>
              <w:bottom w:val="single" w:color="auto" w:sz="4" w:space="0"/>
              <w:right w:val="single" w:color="auto" w:sz="4" w:space="0"/>
            </w:tcBorders>
            <w:noWrap/>
            <w:vAlign w:val="center"/>
          </w:tcPr>
          <w:p w14:paraId="5B79DA5E">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30</w:t>
            </w:r>
          </w:p>
        </w:tc>
        <w:tc>
          <w:tcPr>
            <w:tcW w:w="6487" w:type="dxa"/>
            <w:gridSpan w:val="4"/>
            <w:tcBorders>
              <w:top w:val="single" w:color="auto" w:sz="4" w:space="0"/>
              <w:left w:val="single" w:color="auto" w:sz="4" w:space="0"/>
              <w:bottom w:val="single" w:color="000000" w:sz="4" w:space="0"/>
              <w:right w:val="single" w:color="000000" w:sz="4" w:space="0"/>
            </w:tcBorders>
            <w:noWrap/>
            <w:vAlign w:val="center"/>
          </w:tcPr>
          <w:p w14:paraId="43F017C5">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补栽：8分。乔木有缺失、死株，每株扣0.2分。</w:t>
            </w:r>
          </w:p>
        </w:tc>
        <w:tc>
          <w:tcPr>
            <w:tcW w:w="673" w:type="dxa"/>
            <w:tcBorders>
              <w:top w:val="single" w:color="auto" w:sz="4" w:space="0"/>
              <w:left w:val="single" w:color="000000" w:sz="4" w:space="0"/>
              <w:bottom w:val="single" w:color="000000" w:sz="4" w:space="0"/>
              <w:right w:val="single" w:color="auto" w:sz="4" w:space="0"/>
            </w:tcBorders>
            <w:noWrap/>
            <w:vAlign w:val="bottom"/>
          </w:tcPr>
          <w:p w14:paraId="1C20FE83">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auto" w:sz="4" w:space="0"/>
              <w:left w:val="single" w:color="000000" w:sz="4" w:space="0"/>
              <w:bottom w:val="single" w:color="000000" w:sz="4" w:space="0"/>
              <w:right w:val="single" w:color="auto" w:sz="4" w:space="0"/>
            </w:tcBorders>
            <w:noWrap/>
            <w:vAlign w:val="bottom"/>
          </w:tcPr>
          <w:p w14:paraId="3DA6698E">
            <w:pPr>
              <w:tabs>
                <w:tab w:val="left" w:pos="266"/>
              </w:tabs>
              <w:spacing w:line="360" w:lineRule="exact"/>
              <w:rPr>
                <w:rFonts w:hint="eastAsia" w:ascii="仿宋_GB2312" w:hAnsi="仿宋_GB2312" w:eastAsia="仿宋_GB2312" w:cs="仿宋_GB2312"/>
                <w:kern w:val="0"/>
                <w:sz w:val="24"/>
                <w:szCs w:val="24"/>
              </w:rPr>
            </w:pPr>
          </w:p>
        </w:tc>
      </w:tr>
      <w:tr w14:paraId="1466FFA2">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08A1FE64">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3E4E6241">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000000" w:sz="4" w:space="0"/>
              <w:right w:val="single" w:color="000000" w:sz="4" w:space="0"/>
            </w:tcBorders>
            <w:noWrap/>
            <w:vAlign w:val="center"/>
          </w:tcPr>
          <w:p w14:paraId="44A04B0A">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修剪：8分。行道树未修剪或修剪不规范，萌蘖未清除、下缘线修剪不整齐、未修剪内堂，有树挂、干枯枝、桩等视现场具体情况打分，0分未修剪，1-3分修剪较差，4-5分修剪较好，6-8分修剪规整。</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1C26AB7E">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037F3E58">
            <w:pPr>
              <w:tabs>
                <w:tab w:val="left" w:pos="266"/>
              </w:tabs>
              <w:spacing w:line="360" w:lineRule="exact"/>
              <w:rPr>
                <w:rFonts w:hint="eastAsia" w:ascii="仿宋_GB2312" w:hAnsi="仿宋_GB2312" w:eastAsia="仿宋_GB2312" w:cs="仿宋_GB2312"/>
                <w:kern w:val="0"/>
                <w:sz w:val="24"/>
                <w:szCs w:val="24"/>
              </w:rPr>
            </w:pPr>
          </w:p>
        </w:tc>
      </w:tr>
      <w:tr w14:paraId="3EB2DCE6">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1245391C">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1178625E">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000000" w:sz="4" w:space="0"/>
              <w:right w:val="single" w:color="000000" w:sz="4" w:space="0"/>
            </w:tcBorders>
            <w:noWrap/>
            <w:vAlign w:val="center"/>
          </w:tcPr>
          <w:p w14:paraId="0D8FDCE3">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施肥浇水：5分。施肥、浇水不及时（或施肥、浇水不当）导致乔木生长不良或者死亡等视现场具体情况打分，0分未施肥浇水，1-3分施肥浇水效果一般，4-5分施肥浇水效果较好。</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6091046A">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2523B4D0">
            <w:pPr>
              <w:tabs>
                <w:tab w:val="left" w:pos="266"/>
              </w:tabs>
              <w:spacing w:line="360" w:lineRule="exact"/>
              <w:rPr>
                <w:rFonts w:hint="eastAsia" w:ascii="仿宋_GB2312" w:hAnsi="仿宋_GB2312" w:eastAsia="仿宋_GB2312" w:cs="仿宋_GB2312"/>
                <w:kern w:val="0"/>
                <w:sz w:val="24"/>
                <w:szCs w:val="24"/>
              </w:rPr>
            </w:pPr>
          </w:p>
        </w:tc>
      </w:tr>
      <w:tr w14:paraId="7B0CB316">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3264878B">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5ECF8042">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000000" w:sz="4" w:space="0"/>
              <w:right w:val="single" w:color="000000" w:sz="4" w:space="0"/>
            </w:tcBorders>
            <w:noWrap/>
            <w:vAlign w:val="center"/>
          </w:tcPr>
          <w:p w14:paraId="39D4D13D">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病虫害防治：5分。乔木有病虫害，每株扣0.2分；路段发生病虫害面积超10%时，扣1分。</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0C7329BF">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3FFE423B">
            <w:pPr>
              <w:tabs>
                <w:tab w:val="left" w:pos="266"/>
              </w:tabs>
              <w:spacing w:line="360" w:lineRule="exact"/>
              <w:rPr>
                <w:rFonts w:hint="eastAsia" w:ascii="仿宋_GB2312" w:hAnsi="仿宋_GB2312" w:eastAsia="仿宋_GB2312" w:cs="仿宋_GB2312"/>
                <w:kern w:val="0"/>
                <w:sz w:val="24"/>
                <w:szCs w:val="24"/>
              </w:rPr>
            </w:pPr>
          </w:p>
        </w:tc>
      </w:tr>
      <w:tr w14:paraId="611F7B01">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18E1FDBB">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3E70E500">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auto" w:sz="4" w:space="0"/>
              <w:right w:val="single" w:color="000000" w:sz="4" w:space="0"/>
            </w:tcBorders>
            <w:noWrap/>
            <w:vAlign w:val="center"/>
          </w:tcPr>
          <w:p w14:paraId="5CA4B9A3">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他：4分。树木倒伏，支撑凌乱，树干上有钉子等缠绕物，每株扣0.5分；新栽乔木超过1年养护期，草绳破损未清除的，每株扣0.2分；树池内植物长势差、树池杂草或有明显寄生植物攀附清理不及时，每株扣0.5分；树池篦子放置不规范、破损的，每处扣0.2分。</w:t>
            </w:r>
          </w:p>
        </w:tc>
        <w:tc>
          <w:tcPr>
            <w:tcW w:w="673" w:type="dxa"/>
            <w:tcBorders>
              <w:top w:val="single" w:color="000000" w:sz="4" w:space="0"/>
              <w:left w:val="single" w:color="000000" w:sz="4" w:space="0"/>
              <w:bottom w:val="single" w:color="auto" w:sz="4" w:space="0"/>
              <w:right w:val="single" w:color="auto" w:sz="4" w:space="0"/>
            </w:tcBorders>
            <w:noWrap/>
            <w:vAlign w:val="bottom"/>
          </w:tcPr>
          <w:p w14:paraId="03EEF0BC">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auto" w:sz="4" w:space="0"/>
              <w:right w:val="single" w:color="auto" w:sz="4" w:space="0"/>
            </w:tcBorders>
            <w:noWrap/>
            <w:vAlign w:val="bottom"/>
          </w:tcPr>
          <w:p w14:paraId="63615046">
            <w:pPr>
              <w:tabs>
                <w:tab w:val="left" w:pos="266"/>
              </w:tabs>
              <w:spacing w:line="360" w:lineRule="exact"/>
              <w:rPr>
                <w:rFonts w:hint="eastAsia" w:ascii="仿宋_GB2312" w:hAnsi="仿宋_GB2312" w:eastAsia="仿宋_GB2312" w:cs="仿宋_GB2312"/>
                <w:kern w:val="0"/>
                <w:sz w:val="24"/>
                <w:szCs w:val="24"/>
              </w:rPr>
            </w:pPr>
          </w:p>
        </w:tc>
      </w:tr>
      <w:tr w14:paraId="088242AD">
        <w:tblPrEx>
          <w:tblCellMar>
            <w:top w:w="0" w:type="dxa"/>
            <w:left w:w="108" w:type="dxa"/>
            <w:bottom w:w="0" w:type="dxa"/>
            <w:right w:w="108" w:type="dxa"/>
          </w:tblCellMar>
        </w:tblPrEx>
        <w:trPr>
          <w:trHeight w:val="23" w:hRule="atLeast"/>
          <w:jc w:val="center"/>
        </w:trPr>
        <w:tc>
          <w:tcPr>
            <w:tcW w:w="790" w:type="dxa"/>
            <w:vMerge w:val="restart"/>
            <w:tcBorders>
              <w:top w:val="single" w:color="auto" w:sz="4" w:space="0"/>
              <w:left w:val="single" w:color="auto" w:sz="4" w:space="0"/>
              <w:bottom w:val="single" w:color="auto" w:sz="4" w:space="0"/>
              <w:right w:val="single" w:color="000000" w:sz="4" w:space="0"/>
            </w:tcBorders>
            <w:noWrap/>
            <w:vAlign w:val="center"/>
          </w:tcPr>
          <w:p w14:paraId="1FD27581">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灌木</w:t>
            </w:r>
          </w:p>
          <w:p w14:paraId="3B6F25C1">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(含竹类、藤本植物)</w:t>
            </w:r>
          </w:p>
        </w:tc>
        <w:tc>
          <w:tcPr>
            <w:tcW w:w="680" w:type="dxa"/>
            <w:vMerge w:val="restart"/>
            <w:tcBorders>
              <w:top w:val="single" w:color="auto" w:sz="4" w:space="0"/>
              <w:left w:val="single" w:color="000000" w:sz="4" w:space="0"/>
              <w:bottom w:val="single" w:color="auto" w:sz="4" w:space="0"/>
              <w:right w:val="single" w:color="auto" w:sz="4" w:space="0"/>
            </w:tcBorders>
            <w:noWrap/>
            <w:vAlign w:val="center"/>
          </w:tcPr>
          <w:p w14:paraId="719E9AF2">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30</w:t>
            </w:r>
          </w:p>
        </w:tc>
        <w:tc>
          <w:tcPr>
            <w:tcW w:w="6487" w:type="dxa"/>
            <w:gridSpan w:val="4"/>
            <w:tcBorders>
              <w:top w:val="single" w:color="auto" w:sz="4" w:space="0"/>
              <w:left w:val="single" w:color="auto" w:sz="4" w:space="0"/>
              <w:bottom w:val="single" w:color="000000" w:sz="4" w:space="0"/>
              <w:right w:val="single" w:color="000000" w:sz="4" w:space="0"/>
            </w:tcBorders>
            <w:noWrap/>
            <w:vAlign w:val="center"/>
          </w:tcPr>
          <w:p w14:paraId="3839C2FA">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补栽：5分。缺株、人为踩踏、枯死、长势不好、补栽不合格，每1㎡为一处，扣0.2分；</w:t>
            </w:r>
          </w:p>
        </w:tc>
        <w:tc>
          <w:tcPr>
            <w:tcW w:w="673" w:type="dxa"/>
            <w:tcBorders>
              <w:top w:val="single" w:color="auto" w:sz="4" w:space="0"/>
              <w:left w:val="single" w:color="000000" w:sz="4" w:space="0"/>
              <w:bottom w:val="single" w:color="000000" w:sz="4" w:space="0"/>
              <w:right w:val="single" w:color="auto" w:sz="4" w:space="0"/>
            </w:tcBorders>
            <w:noWrap/>
            <w:vAlign w:val="bottom"/>
          </w:tcPr>
          <w:p w14:paraId="1168C58E">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auto" w:sz="4" w:space="0"/>
              <w:left w:val="single" w:color="000000" w:sz="4" w:space="0"/>
              <w:bottom w:val="single" w:color="000000" w:sz="4" w:space="0"/>
              <w:right w:val="single" w:color="auto" w:sz="4" w:space="0"/>
            </w:tcBorders>
            <w:noWrap/>
            <w:vAlign w:val="bottom"/>
          </w:tcPr>
          <w:p w14:paraId="00D7F8DF">
            <w:pPr>
              <w:tabs>
                <w:tab w:val="left" w:pos="266"/>
              </w:tabs>
              <w:spacing w:line="360" w:lineRule="exact"/>
              <w:rPr>
                <w:rFonts w:hint="eastAsia" w:ascii="仿宋_GB2312" w:hAnsi="仿宋_GB2312" w:eastAsia="仿宋_GB2312" w:cs="仿宋_GB2312"/>
                <w:kern w:val="0"/>
                <w:sz w:val="24"/>
                <w:szCs w:val="24"/>
              </w:rPr>
            </w:pPr>
          </w:p>
        </w:tc>
      </w:tr>
      <w:tr w14:paraId="61336166">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6F7EAC2B">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1B0C7B3D">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000000" w:sz="4" w:space="0"/>
              <w:right w:val="single" w:color="000000" w:sz="4" w:space="0"/>
            </w:tcBorders>
            <w:noWrap/>
            <w:vAlign w:val="center"/>
          </w:tcPr>
          <w:p w14:paraId="37DBA49D">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清掏：5分。灌木内落叶、垃圾清掏不彻底、未除杂草、有攀附或寄生植物清理不及等视现场具体情况打分，0分未清掏，1-3分清掏不到位，4-5分清掏彻底。</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015339B2">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4536AD2E">
            <w:pPr>
              <w:tabs>
                <w:tab w:val="left" w:pos="266"/>
              </w:tabs>
              <w:spacing w:line="360" w:lineRule="exact"/>
              <w:rPr>
                <w:rFonts w:hint="eastAsia" w:ascii="仿宋_GB2312" w:hAnsi="仿宋_GB2312" w:eastAsia="仿宋_GB2312" w:cs="仿宋_GB2312"/>
                <w:kern w:val="0"/>
                <w:sz w:val="24"/>
                <w:szCs w:val="24"/>
              </w:rPr>
            </w:pPr>
          </w:p>
        </w:tc>
      </w:tr>
      <w:tr w14:paraId="52260912">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52702CAC">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7CD8CB8D">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000000" w:sz="4" w:space="0"/>
              <w:right w:val="single" w:color="000000" w:sz="4" w:space="0"/>
            </w:tcBorders>
            <w:noWrap/>
            <w:vAlign w:val="center"/>
          </w:tcPr>
          <w:p w14:paraId="6827A5F9">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修剪：8分。未修剪、绿篱修剪不规范等视现场具体情况打分，0分未修剪，1-3分修剪较差，4-5分修剪较好，6-8分修剪规整。</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25FAC123">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510830FA">
            <w:pPr>
              <w:tabs>
                <w:tab w:val="left" w:pos="266"/>
              </w:tabs>
              <w:spacing w:line="360" w:lineRule="exact"/>
              <w:rPr>
                <w:rFonts w:hint="eastAsia" w:ascii="仿宋_GB2312" w:hAnsi="仿宋_GB2312" w:eastAsia="仿宋_GB2312" w:cs="仿宋_GB2312"/>
                <w:kern w:val="0"/>
                <w:sz w:val="24"/>
                <w:szCs w:val="24"/>
              </w:rPr>
            </w:pPr>
          </w:p>
        </w:tc>
      </w:tr>
      <w:tr w14:paraId="2CAACA62">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4481D0F0">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7D28C605">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000000" w:sz="4" w:space="0"/>
              <w:right w:val="single" w:color="000000" w:sz="4" w:space="0"/>
            </w:tcBorders>
            <w:noWrap/>
            <w:vAlign w:val="center"/>
          </w:tcPr>
          <w:p w14:paraId="44885009">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肥、浇水冲洗：5分。施肥、浇水不及时（或施肥、浇水不当）导致植物生长不良或者死亡；冲洗清理不及时，积尘影响枝叶色泽；绿篱、落叶等视现场具体情况打分，0分未施肥浇水，1-3分施肥浇水效果一般，4-5分施肥浇水效果较好。</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5BFA741C">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4ED4917B">
            <w:pPr>
              <w:tabs>
                <w:tab w:val="left" w:pos="266"/>
              </w:tabs>
              <w:spacing w:line="360" w:lineRule="exact"/>
              <w:rPr>
                <w:rFonts w:hint="eastAsia" w:ascii="仿宋_GB2312" w:hAnsi="仿宋_GB2312" w:eastAsia="仿宋_GB2312" w:cs="仿宋_GB2312"/>
                <w:kern w:val="0"/>
                <w:sz w:val="24"/>
                <w:szCs w:val="24"/>
              </w:rPr>
            </w:pPr>
          </w:p>
        </w:tc>
      </w:tr>
      <w:tr w14:paraId="22AE4109">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152456C9">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75AFD38C">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000000" w:sz="4" w:space="0"/>
              <w:right w:val="single" w:color="000000" w:sz="4" w:space="0"/>
            </w:tcBorders>
            <w:noWrap/>
            <w:vAlign w:val="center"/>
          </w:tcPr>
          <w:p w14:paraId="149DF42B">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杂草清除：3分 绿篱、灌木、竹林杂草面积零星发生，每处扣0.1分，达栽培面积5%，每处扣0.5分；达10%，每处扣1分；达20%，每处扣2分。</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523B383F">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286E8285">
            <w:pPr>
              <w:tabs>
                <w:tab w:val="left" w:pos="266"/>
              </w:tabs>
              <w:spacing w:line="360" w:lineRule="exact"/>
              <w:rPr>
                <w:rFonts w:hint="eastAsia" w:ascii="仿宋_GB2312" w:hAnsi="仿宋_GB2312" w:eastAsia="仿宋_GB2312" w:cs="仿宋_GB2312"/>
                <w:kern w:val="0"/>
                <w:sz w:val="24"/>
                <w:szCs w:val="24"/>
              </w:rPr>
            </w:pPr>
          </w:p>
        </w:tc>
      </w:tr>
      <w:tr w14:paraId="30B4930F">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04EDCA6A">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43D11FE6">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000000" w:sz="4" w:space="0"/>
              <w:right w:val="single" w:color="000000" w:sz="4" w:space="0"/>
            </w:tcBorders>
            <w:noWrap/>
            <w:vAlign w:val="center"/>
          </w:tcPr>
          <w:p w14:paraId="23B4ADFC">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病虫害防治：4分。苗木有病虫害，个体受害程度10%以上，每处扣1分；路段发生病虫害面积超10%时，扣2分。</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2A6CDD75">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330EECC8">
            <w:pPr>
              <w:tabs>
                <w:tab w:val="left" w:pos="266"/>
              </w:tabs>
              <w:spacing w:line="360" w:lineRule="exact"/>
              <w:rPr>
                <w:rFonts w:hint="eastAsia" w:ascii="仿宋_GB2312" w:hAnsi="仿宋_GB2312" w:eastAsia="仿宋_GB2312" w:cs="仿宋_GB2312"/>
                <w:kern w:val="0"/>
                <w:sz w:val="24"/>
                <w:szCs w:val="24"/>
              </w:rPr>
            </w:pPr>
          </w:p>
        </w:tc>
      </w:tr>
      <w:tr w14:paraId="14884287">
        <w:trPr>
          <w:trHeight w:val="23" w:hRule="atLeast"/>
          <w:jc w:val="center"/>
        </w:trPr>
        <w:tc>
          <w:tcPr>
            <w:tcW w:w="790" w:type="dxa"/>
            <w:vMerge w:val="restart"/>
            <w:tcBorders>
              <w:top w:val="single" w:color="auto" w:sz="4" w:space="0"/>
              <w:left w:val="single" w:color="auto" w:sz="4" w:space="0"/>
              <w:bottom w:val="single" w:color="auto" w:sz="4" w:space="0"/>
              <w:right w:val="single" w:color="000000" w:sz="4" w:space="0"/>
            </w:tcBorders>
            <w:noWrap/>
            <w:vAlign w:val="center"/>
          </w:tcPr>
          <w:p w14:paraId="2B26C91B">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地被</w:t>
            </w:r>
          </w:p>
        </w:tc>
        <w:tc>
          <w:tcPr>
            <w:tcW w:w="680" w:type="dxa"/>
            <w:vMerge w:val="restart"/>
            <w:tcBorders>
              <w:top w:val="single" w:color="auto" w:sz="4" w:space="0"/>
              <w:left w:val="single" w:color="000000" w:sz="4" w:space="0"/>
              <w:bottom w:val="single" w:color="auto" w:sz="4" w:space="0"/>
              <w:right w:val="single" w:color="000000" w:sz="4" w:space="0"/>
            </w:tcBorders>
            <w:noWrap/>
            <w:vAlign w:val="center"/>
          </w:tcPr>
          <w:p w14:paraId="04F5F416">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30</w:t>
            </w: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433752D6">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补栽：6分。黄土裸露、人为踩踏、枯死、枯黄、补栽不规范，每1㎡为一处，扣0.2分</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0DDF3C4B">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4F77CE98">
            <w:pPr>
              <w:tabs>
                <w:tab w:val="left" w:pos="266"/>
              </w:tabs>
              <w:spacing w:line="360" w:lineRule="exact"/>
              <w:rPr>
                <w:rFonts w:hint="eastAsia" w:ascii="仿宋_GB2312" w:hAnsi="仿宋_GB2312" w:eastAsia="仿宋_GB2312" w:cs="仿宋_GB2312"/>
                <w:kern w:val="0"/>
                <w:sz w:val="24"/>
                <w:szCs w:val="24"/>
              </w:rPr>
            </w:pPr>
          </w:p>
        </w:tc>
      </w:tr>
      <w:tr w14:paraId="48EC84DA">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4FD72D5C">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000000" w:sz="4" w:space="0"/>
            </w:tcBorders>
            <w:noWrap/>
            <w:vAlign w:val="center"/>
          </w:tcPr>
          <w:p w14:paraId="383E1606">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356CB441">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清掏：4分。绿地内有垃圾、落叶等视现场具体情况打分，0分未清掏，1-3分清掏不到位，4-5分清掏彻底。</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005EB446">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67A8D4A5">
            <w:pPr>
              <w:tabs>
                <w:tab w:val="left" w:pos="266"/>
              </w:tabs>
              <w:spacing w:line="360" w:lineRule="exact"/>
              <w:rPr>
                <w:rFonts w:hint="eastAsia" w:ascii="仿宋_GB2312" w:hAnsi="仿宋_GB2312" w:eastAsia="仿宋_GB2312" w:cs="仿宋_GB2312"/>
                <w:kern w:val="0"/>
                <w:sz w:val="24"/>
                <w:szCs w:val="24"/>
              </w:rPr>
            </w:pPr>
          </w:p>
        </w:tc>
      </w:tr>
      <w:tr w14:paraId="3B06CF26">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65019164">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000000" w:sz="4" w:space="0"/>
            </w:tcBorders>
            <w:noWrap/>
            <w:vAlign w:val="center"/>
          </w:tcPr>
          <w:p w14:paraId="18A1E8B1">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14536BCF">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修剪：8分。草坪高度超过10cm未修剪，修剪面不平，边角有遗留，修剪后色斑明显等视现场具体情况打分，0分未修剪，1-3分修剪较差，4-5分修剪良好，6-8分修剪规整。</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19B73F65">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6E74EA30">
            <w:pPr>
              <w:tabs>
                <w:tab w:val="left" w:pos="266"/>
              </w:tabs>
              <w:spacing w:line="360" w:lineRule="exact"/>
              <w:rPr>
                <w:rFonts w:hint="eastAsia" w:ascii="仿宋_GB2312" w:hAnsi="仿宋_GB2312" w:eastAsia="仿宋_GB2312" w:cs="仿宋_GB2312"/>
                <w:kern w:val="0"/>
                <w:sz w:val="24"/>
                <w:szCs w:val="24"/>
              </w:rPr>
            </w:pPr>
          </w:p>
        </w:tc>
      </w:tr>
      <w:tr w14:paraId="3C48CC44">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2635197A">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000000" w:sz="4" w:space="0"/>
            </w:tcBorders>
            <w:noWrap/>
            <w:vAlign w:val="center"/>
          </w:tcPr>
          <w:p w14:paraId="7145146C">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2423C941">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施肥浇水：4分。施肥、浇水不及时（或施肥、浇水不当）导致植物生长不良或者死亡等视现场具体情况打分，0分未施肥浇水，1-3分施肥浇水效果一般，4-5分施肥浇水效果较好。</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7F98988F">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67F011CD">
            <w:pPr>
              <w:tabs>
                <w:tab w:val="left" w:pos="266"/>
              </w:tabs>
              <w:spacing w:line="360" w:lineRule="exact"/>
              <w:rPr>
                <w:rFonts w:hint="eastAsia" w:ascii="仿宋_GB2312" w:hAnsi="仿宋_GB2312" w:eastAsia="仿宋_GB2312" w:cs="仿宋_GB2312"/>
                <w:kern w:val="0"/>
                <w:sz w:val="24"/>
                <w:szCs w:val="24"/>
              </w:rPr>
            </w:pPr>
          </w:p>
        </w:tc>
      </w:tr>
      <w:tr w14:paraId="0BB8C7BE">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6C82987F">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000000" w:sz="4" w:space="0"/>
            </w:tcBorders>
            <w:noWrap/>
            <w:vAlign w:val="center"/>
          </w:tcPr>
          <w:p w14:paraId="24B248D7">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21D65C0A">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杂草清除：4分 ，草坪杂草面积零星发生，每处扣0.1分，达栽培面积5%，每处扣0.5分；达10%，每处扣1分；达20%，每处扣2分。</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637A186B">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3C87CCC9">
            <w:pPr>
              <w:tabs>
                <w:tab w:val="left" w:pos="266"/>
              </w:tabs>
              <w:spacing w:line="360" w:lineRule="exact"/>
              <w:rPr>
                <w:rFonts w:hint="eastAsia" w:ascii="仿宋_GB2312" w:hAnsi="仿宋_GB2312" w:eastAsia="仿宋_GB2312" w:cs="仿宋_GB2312"/>
                <w:kern w:val="0"/>
                <w:sz w:val="24"/>
                <w:szCs w:val="24"/>
              </w:rPr>
            </w:pPr>
          </w:p>
        </w:tc>
      </w:tr>
      <w:tr w14:paraId="5E10BA74">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409BC0C9">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000000" w:sz="4" w:space="0"/>
            </w:tcBorders>
            <w:noWrap/>
            <w:vAlign w:val="center"/>
          </w:tcPr>
          <w:p w14:paraId="7937AECD">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0C9868D9">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病虫害防治：4分。地被草皮有病虫害，受害面积1㎡以上，每处扣0.1分；路段发生病虫害面积超10%时，扣1分。</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6BA24AA8">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74A01D45">
            <w:pPr>
              <w:tabs>
                <w:tab w:val="left" w:pos="266"/>
              </w:tabs>
              <w:spacing w:line="360" w:lineRule="exact"/>
              <w:rPr>
                <w:rFonts w:hint="eastAsia" w:ascii="仿宋_GB2312" w:hAnsi="仿宋_GB2312" w:eastAsia="仿宋_GB2312" w:cs="仿宋_GB2312"/>
                <w:kern w:val="0"/>
                <w:sz w:val="24"/>
                <w:szCs w:val="24"/>
              </w:rPr>
            </w:pPr>
          </w:p>
        </w:tc>
      </w:tr>
      <w:tr w14:paraId="327C7AB2">
        <w:tblPrEx>
          <w:tblCellMar>
            <w:top w:w="0" w:type="dxa"/>
            <w:left w:w="108" w:type="dxa"/>
            <w:bottom w:w="0" w:type="dxa"/>
            <w:right w:w="108" w:type="dxa"/>
          </w:tblCellMar>
        </w:tblPrEx>
        <w:trPr>
          <w:trHeight w:val="23" w:hRule="atLeast"/>
          <w:jc w:val="center"/>
        </w:trPr>
        <w:tc>
          <w:tcPr>
            <w:tcW w:w="790" w:type="dxa"/>
            <w:tcBorders>
              <w:top w:val="single" w:color="auto" w:sz="4" w:space="0"/>
              <w:left w:val="single" w:color="auto" w:sz="4" w:space="0"/>
              <w:bottom w:val="single" w:color="auto" w:sz="4" w:space="0"/>
              <w:right w:val="single" w:color="000000" w:sz="4" w:space="0"/>
            </w:tcBorders>
            <w:noWrap/>
            <w:vAlign w:val="center"/>
          </w:tcPr>
          <w:p w14:paraId="7C732E54">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总分</w:t>
            </w:r>
          </w:p>
        </w:tc>
        <w:tc>
          <w:tcPr>
            <w:tcW w:w="680" w:type="dxa"/>
            <w:tcBorders>
              <w:top w:val="single" w:color="auto" w:sz="4" w:space="0"/>
              <w:left w:val="single" w:color="000000" w:sz="4" w:space="0"/>
              <w:bottom w:val="single" w:color="auto" w:sz="4" w:space="0"/>
              <w:right w:val="single" w:color="000000" w:sz="4" w:space="0"/>
            </w:tcBorders>
            <w:noWrap/>
            <w:vAlign w:val="center"/>
          </w:tcPr>
          <w:p w14:paraId="0DC039B1">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100</w:t>
            </w: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6C9244FF">
            <w:pPr>
              <w:tabs>
                <w:tab w:val="left" w:pos="266"/>
              </w:tabs>
              <w:spacing w:line="360" w:lineRule="exact"/>
              <w:rPr>
                <w:rFonts w:hint="eastAsia" w:ascii="仿宋_GB2312" w:hAnsi="仿宋_GB2312" w:eastAsia="仿宋_GB2312" w:cs="仿宋_GB2312"/>
                <w:kern w:val="0"/>
                <w:sz w:val="24"/>
                <w:szCs w:val="24"/>
              </w:rPr>
            </w:pPr>
          </w:p>
        </w:tc>
        <w:tc>
          <w:tcPr>
            <w:tcW w:w="673" w:type="dxa"/>
            <w:tcBorders>
              <w:top w:val="single" w:color="000000" w:sz="4" w:space="0"/>
              <w:left w:val="single" w:color="000000" w:sz="4" w:space="0"/>
              <w:bottom w:val="single" w:color="000000" w:sz="4" w:space="0"/>
              <w:right w:val="single" w:color="auto" w:sz="4" w:space="0"/>
            </w:tcBorders>
            <w:noWrap/>
            <w:vAlign w:val="bottom"/>
          </w:tcPr>
          <w:p w14:paraId="0E193F5F">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1F360599">
            <w:pPr>
              <w:tabs>
                <w:tab w:val="left" w:pos="266"/>
              </w:tabs>
              <w:spacing w:line="360" w:lineRule="exact"/>
              <w:rPr>
                <w:rFonts w:hint="eastAsia" w:ascii="仿宋_GB2312" w:hAnsi="仿宋_GB2312" w:eastAsia="仿宋_GB2312" w:cs="仿宋_GB2312"/>
                <w:kern w:val="0"/>
                <w:sz w:val="24"/>
                <w:szCs w:val="24"/>
              </w:rPr>
            </w:pPr>
          </w:p>
        </w:tc>
      </w:tr>
      <w:tr w14:paraId="7E2B2F2E">
        <w:tblPrEx>
          <w:tblCellMar>
            <w:top w:w="0" w:type="dxa"/>
            <w:left w:w="108" w:type="dxa"/>
            <w:bottom w:w="0" w:type="dxa"/>
            <w:right w:w="108" w:type="dxa"/>
          </w:tblCellMar>
        </w:tblPrEx>
        <w:trPr>
          <w:trHeight w:val="23" w:hRule="atLeast"/>
          <w:jc w:val="center"/>
        </w:trPr>
        <w:tc>
          <w:tcPr>
            <w:tcW w:w="790" w:type="dxa"/>
            <w:vMerge w:val="restart"/>
            <w:tcBorders>
              <w:top w:val="single" w:color="auto" w:sz="4" w:space="0"/>
              <w:left w:val="single" w:color="auto" w:sz="4" w:space="0"/>
              <w:bottom w:val="single" w:color="auto" w:sz="4" w:space="0"/>
              <w:right w:val="single" w:color="auto" w:sz="4" w:space="0"/>
            </w:tcBorders>
            <w:noWrap/>
            <w:vAlign w:val="center"/>
          </w:tcPr>
          <w:p w14:paraId="5624445D">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考核加减</w:t>
            </w:r>
          </w:p>
          <w:p w14:paraId="008E38AD">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分内容</w:t>
            </w:r>
          </w:p>
        </w:tc>
        <w:tc>
          <w:tcPr>
            <w:tcW w:w="680" w:type="dxa"/>
            <w:tcBorders>
              <w:top w:val="single" w:color="auto" w:sz="4" w:space="0"/>
              <w:left w:val="single" w:color="auto" w:sz="4" w:space="0"/>
              <w:bottom w:val="single" w:color="000000" w:sz="4" w:space="0"/>
              <w:right w:val="single" w:color="000000" w:sz="4" w:space="0"/>
            </w:tcBorders>
            <w:noWrap/>
            <w:vAlign w:val="center"/>
          </w:tcPr>
          <w:p w14:paraId="23FA65DF">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加分项(≤5分)</w:t>
            </w:r>
          </w:p>
        </w:tc>
        <w:tc>
          <w:tcPr>
            <w:tcW w:w="6487" w:type="dxa"/>
            <w:gridSpan w:val="4"/>
            <w:tcBorders>
              <w:top w:val="single" w:color="auto" w:sz="4" w:space="0"/>
              <w:left w:val="single" w:color="000000" w:sz="4" w:space="0"/>
              <w:bottom w:val="single" w:color="000000" w:sz="4" w:space="0"/>
              <w:right w:val="single" w:color="000000" w:sz="4" w:space="0"/>
            </w:tcBorders>
            <w:noWrap/>
            <w:vAlign w:val="center"/>
          </w:tcPr>
          <w:p w14:paraId="09764087">
            <w:pPr>
              <w:tabs>
                <w:tab w:val="left" w:pos="266"/>
              </w:tabs>
              <w:spacing w:line="360" w:lineRule="exact"/>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为改善绿地景观面貌和改善植物生长条件，在履行报批程序的基础上，以自主资金积极实施调整改造等措施，成效显著，当月考核加0.5-2.5分。（以标段为单位，按道路面积加分，不足5000平米按5000平米加0.5分，5000-1000平米加1分，以此类推）</w:t>
            </w:r>
          </w:p>
          <w:p w14:paraId="14842234">
            <w:pPr>
              <w:tabs>
                <w:tab w:val="left" w:pos="266"/>
              </w:tabs>
              <w:spacing w:line="360" w:lineRule="exact"/>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2.宣传稿被城管局公众号采纳，加1分；亮点创新事项，加1分；被领导点名表扬加1分；展开技术培训，或主导互比互学活动，加1分。（以标段为单位加分，需提供支撑资料）</w:t>
            </w:r>
          </w:p>
        </w:tc>
        <w:tc>
          <w:tcPr>
            <w:tcW w:w="673" w:type="dxa"/>
            <w:tcBorders>
              <w:top w:val="single" w:color="auto" w:sz="4" w:space="0"/>
              <w:left w:val="single" w:color="000000" w:sz="4" w:space="0"/>
              <w:bottom w:val="single" w:color="000000" w:sz="4" w:space="0"/>
              <w:right w:val="single" w:color="000000" w:sz="4" w:space="0"/>
            </w:tcBorders>
            <w:noWrap/>
            <w:vAlign w:val="bottom"/>
          </w:tcPr>
          <w:p w14:paraId="3FD48EB2">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auto" w:sz="4" w:space="0"/>
              <w:left w:val="single" w:color="000000" w:sz="4" w:space="0"/>
              <w:bottom w:val="single" w:color="000000" w:sz="4" w:space="0"/>
              <w:right w:val="single" w:color="000000" w:sz="4" w:space="0"/>
            </w:tcBorders>
            <w:noWrap/>
            <w:vAlign w:val="bottom"/>
          </w:tcPr>
          <w:p w14:paraId="1ABE4F05">
            <w:pPr>
              <w:tabs>
                <w:tab w:val="left" w:pos="266"/>
              </w:tabs>
              <w:spacing w:line="360" w:lineRule="exact"/>
              <w:rPr>
                <w:rFonts w:hint="eastAsia" w:ascii="仿宋_GB2312" w:hAnsi="仿宋_GB2312" w:eastAsia="仿宋_GB2312" w:cs="仿宋_GB2312"/>
                <w:kern w:val="0"/>
                <w:sz w:val="24"/>
                <w:szCs w:val="24"/>
              </w:rPr>
            </w:pPr>
          </w:p>
        </w:tc>
      </w:tr>
      <w:tr w14:paraId="70B70F84">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auto" w:sz="4" w:space="0"/>
            </w:tcBorders>
            <w:noWrap/>
            <w:vAlign w:val="center"/>
          </w:tcPr>
          <w:p w14:paraId="184AE777">
            <w:pPr>
              <w:tabs>
                <w:tab w:val="left" w:pos="266"/>
              </w:tabs>
              <w:spacing w:line="360" w:lineRule="exact"/>
              <w:jc w:val="center"/>
              <w:rPr>
                <w:rFonts w:hint="eastAsia" w:ascii="仿宋_GB2312" w:hAnsi="仿宋_GB2312" w:eastAsia="仿宋_GB2312" w:cs="仿宋_GB2312"/>
                <w:kern w:val="0"/>
                <w:sz w:val="24"/>
                <w:szCs w:val="24"/>
              </w:rPr>
            </w:pPr>
          </w:p>
        </w:tc>
        <w:tc>
          <w:tcPr>
            <w:tcW w:w="680" w:type="dxa"/>
            <w:tcBorders>
              <w:top w:val="single" w:color="auto" w:sz="4" w:space="0"/>
              <w:left w:val="single" w:color="auto" w:sz="4" w:space="0"/>
              <w:bottom w:val="single" w:color="auto" w:sz="4" w:space="0"/>
              <w:right w:val="single" w:color="000000" w:sz="4" w:space="0"/>
            </w:tcBorders>
            <w:noWrap/>
            <w:vAlign w:val="center"/>
          </w:tcPr>
          <w:p w14:paraId="695B05DF">
            <w:pPr>
              <w:tabs>
                <w:tab w:val="left" w:pos="266"/>
              </w:tabs>
              <w:spacing w:line="36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减分</w:t>
            </w:r>
          </w:p>
          <w:p w14:paraId="50CAD4FA">
            <w:pPr>
              <w:tabs>
                <w:tab w:val="left" w:pos="266"/>
              </w:tabs>
              <w:spacing w:line="36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项(≤5分)</w:t>
            </w:r>
          </w:p>
        </w:tc>
        <w:tc>
          <w:tcPr>
            <w:tcW w:w="6487" w:type="dxa"/>
            <w:gridSpan w:val="4"/>
            <w:tcBorders>
              <w:top w:val="single" w:color="auto" w:sz="4" w:space="0"/>
              <w:left w:val="single" w:color="000000" w:sz="4" w:space="0"/>
              <w:bottom w:val="single" w:color="auto" w:sz="4" w:space="0"/>
              <w:right w:val="single" w:color="000000" w:sz="4" w:space="0"/>
            </w:tcBorders>
            <w:noWrap/>
            <w:vAlign w:val="top"/>
          </w:tcPr>
          <w:p w14:paraId="5C2A182E">
            <w:pPr>
              <w:tabs>
                <w:tab w:val="left" w:pos="266"/>
              </w:tabs>
              <w:spacing w:line="360" w:lineRule="exact"/>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主管在日常巡视及周检中发现问题，以整改通知单体现，及时完成整改并回复，扣0.5分/单；整改不合格，扣1分/单；未按时完成整改，扣2分/单；整改单弄虚作假扣5分/单。（整改完成时间以回复照片中水印时间为准，以标段为单位扣分）</w:t>
            </w:r>
          </w:p>
          <w:p w14:paraId="217660A1">
            <w:pPr>
              <w:tabs>
                <w:tab w:val="left" w:pos="266"/>
              </w:tabs>
              <w:spacing w:line="360" w:lineRule="exact"/>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2、局领导在督导检查中发现存在问题，发现一处扣1分；提出整改要求，未按规定时间落实整改，每次扣2分。（整改完成时间以回复照片中水印时间为准，以标段为单位扣分）</w:t>
            </w:r>
          </w:p>
          <w:p w14:paraId="5D8FD658">
            <w:pPr>
              <w:tabs>
                <w:tab w:val="left" w:pos="266"/>
              </w:tabs>
              <w:spacing w:line="360" w:lineRule="exact"/>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3、发生重大安全生产事故的，每次扣5分</w:t>
            </w:r>
          </w:p>
        </w:tc>
        <w:tc>
          <w:tcPr>
            <w:tcW w:w="673" w:type="dxa"/>
            <w:tcBorders>
              <w:top w:val="single" w:color="auto" w:sz="4" w:space="0"/>
              <w:left w:val="single" w:color="000000" w:sz="4" w:space="0"/>
              <w:bottom w:val="single" w:color="auto" w:sz="4" w:space="0"/>
              <w:right w:val="single" w:color="000000" w:sz="4" w:space="0"/>
            </w:tcBorders>
            <w:noWrap/>
            <w:vAlign w:val="bottom"/>
          </w:tcPr>
          <w:p w14:paraId="5AFE6F7A">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auto" w:sz="4" w:space="0"/>
              <w:left w:val="single" w:color="000000" w:sz="4" w:space="0"/>
              <w:bottom w:val="single" w:color="auto" w:sz="4" w:space="0"/>
              <w:right w:val="single" w:color="000000" w:sz="4" w:space="0"/>
            </w:tcBorders>
            <w:noWrap/>
            <w:vAlign w:val="bottom"/>
          </w:tcPr>
          <w:p w14:paraId="089D9A5B">
            <w:pPr>
              <w:tabs>
                <w:tab w:val="left" w:pos="266"/>
              </w:tabs>
              <w:spacing w:line="360" w:lineRule="exact"/>
              <w:rPr>
                <w:rFonts w:hint="eastAsia" w:ascii="仿宋_GB2312" w:hAnsi="仿宋_GB2312" w:eastAsia="仿宋_GB2312" w:cs="仿宋_GB2312"/>
                <w:kern w:val="0"/>
                <w:sz w:val="24"/>
                <w:szCs w:val="24"/>
              </w:rPr>
            </w:pPr>
          </w:p>
        </w:tc>
      </w:tr>
      <w:tr w14:paraId="131F8244">
        <w:tblPrEx>
          <w:tblCellMar>
            <w:top w:w="0" w:type="dxa"/>
            <w:left w:w="108" w:type="dxa"/>
            <w:bottom w:w="0" w:type="dxa"/>
            <w:right w:w="108" w:type="dxa"/>
          </w:tblCellMar>
        </w:tblPrEx>
        <w:trPr>
          <w:trHeight w:val="23" w:hRule="atLeast"/>
          <w:jc w:val="center"/>
        </w:trPr>
        <w:tc>
          <w:tcPr>
            <w:tcW w:w="1470" w:type="dxa"/>
            <w:gridSpan w:val="2"/>
            <w:tcBorders>
              <w:top w:val="single" w:color="auto" w:sz="4" w:space="0"/>
              <w:left w:val="single" w:color="auto" w:sz="4" w:space="0"/>
              <w:bottom w:val="single" w:color="auto" w:sz="4" w:space="0"/>
              <w:right w:val="single" w:color="auto" w:sz="4" w:space="0"/>
            </w:tcBorders>
            <w:noWrap/>
            <w:vAlign w:val="center"/>
          </w:tcPr>
          <w:p w14:paraId="2F98EA6D">
            <w:pPr>
              <w:tabs>
                <w:tab w:val="left" w:pos="266"/>
              </w:tabs>
              <w:spacing w:line="36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得分</w:t>
            </w:r>
          </w:p>
        </w:tc>
        <w:tc>
          <w:tcPr>
            <w:tcW w:w="7890" w:type="dxa"/>
            <w:gridSpan w:val="6"/>
            <w:tcBorders>
              <w:top w:val="single" w:color="auto" w:sz="4" w:space="0"/>
              <w:left w:val="single" w:color="auto" w:sz="4" w:space="0"/>
              <w:bottom w:val="single" w:color="auto" w:sz="4" w:space="0"/>
              <w:right w:val="single" w:color="000000" w:sz="4" w:space="0"/>
            </w:tcBorders>
            <w:noWrap/>
            <w:vAlign w:val="center"/>
          </w:tcPr>
          <w:p w14:paraId="72A1BE07">
            <w:pPr>
              <w:pStyle w:val="7"/>
              <w:tabs>
                <w:tab w:val="left" w:pos="266"/>
              </w:tabs>
              <w:spacing w:line="360" w:lineRule="exact"/>
              <w:rPr>
                <w:rFonts w:hint="eastAsia" w:ascii="仿宋_GB2312" w:hAnsi="仿宋_GB2312" w:eastAsia="仿宋_GB2312" w:cs="仿宋_GB2312"/>
                <w:sz w:val="24"/>
                <w:szCs w:val="24"/>
              </w:rPr>
            </w:pPr>
          </w:p>
        </w:tc>
      </w:tr>
      <w:tr w14:paraId="7229940D">
        <w:tblPrEx>
          <w:tblCellMar>
            <w:top w:w="0" w:type="dxa"/>
            <w:left w:w="108" w:type="dxa"/>
            <w:bottom w:w="0" w:type="dxa"/>
            <w:right w:w="108" w:type="dxa"/>
          </w:tblCellMar>
        </w:tblPrEx>
        <w:trPr>
          <w:trHeight w:val="23" w:hRule="atLeast"/>
          <w:jc w:val="center"/>
        </w:trPr>
        <w:tc>
          <w:tcPr>
            <w:tcW w:w="1470" w:type="dxa"/>
            <w:gridSpan w:val="2"/>
            <w:tcBorders>
              <w:top w:val="single" w:color="auto" w:sz="4" w:space="0"/>
              <w:left w:val="single" w:color="auto" w:sz="4" w:space="0"/>
              <w:bottom w:val="single" w:color="auto" w:sz="4" w:space="0"/>
              <w:right w:val="single" w:color="auto" w:sz="4" w:space="0"/>
            </w:tcBorders>
            <w:noWrap/>
            <w:vAlign w:val="center"/>
          </w:tcPr>
          <w:p w14:paraId="542A3545">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考评人</w:t>
            </w:r>
          </w:p>
        </w:tc>
        <w:tc>
          <w:tcPr>
            <w:tcW w:w="4128" w:type="dxa"/>
            <w:gridSpan w:val="2"/>
            <w:tcBorders>
              <w:top w:val="single" w:color="auto" w:sz="4" w:space="0"/>
              <w:left w:val="single" w:color="auto" w:sz="4" w:space="0"/>
              <w:bottom w:val="single" w:color="auto" w:sz="4" w:space="0"/>
              <w:right w:val="single" w:color="auto" w:sz="4" w:space="0"/>
            </w:tcBorders>
            <w:noWrap/>
            <w:vAlign w:val="center"/>
          </w:tcPr>
          <w:p w14:paraId="0A98AC15">
            <w:pPr>
              <w:tabs>
                <w:tab w:val="left" w:pos="266"/>
                <w:tab w:val="left" w:pos="671"/>
              </w:tabs>
              <w:spacing w:line="360" w:lineRule="exact"/>
              <w:rPr>
                <w:rFonts w:hint="eastAsia" w:ascii="仿宋_GB2312" w:hAnsi="仿宋_GB2312" w:eastAsia="仿宋_GB2312" w:cs="仿宋_GB2312"/>
                <w:kern w:val="0"/>
                <w:sz w:val="24"/>
                <w:szCs w:val="24"/>
              </w:rPr>
            </w:pPr>
          </w:p>
        </w:tc>
        <w:tc>
          <w:tcPr>
            <w:tcW w:w="2359" w:type="dxa"/>
            <w:gridSpan w:val="2"/>
            <w:tcBorders>
              <w:top w:val="single" w:color="auto" w:sz="4" w:space="0"/>
              <w:left w:val="single" w:color="auto" w:sz="4" w:space="0"/>
              <w:bottom w:val="single" w:color="auto" w:sz="4" w:space="0"/>
              <w:right w:val="single" w:color="auto" w:sz="4" w:space="0"/>
            </w:tcBorders>
            <w:noWrap/>
            <w:vAlign w:val="center"/>
          </w:tcPr>
          <w:p w14:paraId="6B11F03E">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养护单位</w:t>
            </w:r>
          </w:p>
        </w:tc>
        <w:tc>
          <w:tcPr>
            <w:tcW w:w="1403" w:type="dxa"/>
            <w:gridSpan w:val="2"/>
            <w:tcBorders>
              <w:top w:val="single" w:color="auto" w:sz="4" w:space="0"/>
              <w:left w:val="single" w:color="auto" w:sz="4" w:space="0"/>
              <w:bottom w:val="single" w:color="auto" w:sz="4" w:space="0"/>
              <w:right w:val="single" w:color="auto" w:sz="4" w:space="0"/>
            </w:tcBorders>
            <w:noWrap/>
            <w:vAlign w:val="top"/>
          </w:tcPr>
          <w:p w14:paraId="27AF8A7B">
            <w:pPr>
              <w:tabs>
                <w:tab w:val="left" w:pos="266"/>
              </w:tabs>
              <w:spacing w:line="360" w:lineRule="exact"/>
              <w:textAlignment w:val="center"/>
              <w:rPr>
                <w:rFonts w:hint="eastAsia" w:ascii="仿宋_GB2312" w:hAnsi="仿宋_GB2312" w:eastAsia="仿宋_GB2312" w:cs="仿宋_GB2312"/>
                <w:kern w:val="0"/>
                <w:sz w:val="24"/>
                <w:szCs w:val="24"/>
              </w:rPr>
            </w:pPr>
          </w:p>
        </w:tc>
      </w:tr>
      <w:tr w14:paraId="67687649">
        <w:tblPrEx>
          <w:tblCellMar>
            <w:top w:w="0" w:type="dxa"/>
            <w:left w:w="108" w:type="dxa"/>
            <w:bottom w:w="0" w:type="dxa"/>
            <w:right w:w="108" w:type="dxa"/>
          </w:tblCellMar>
        </w:tblPrEx>
        <w:trPr>
          <w:trHeight w:val="23" w:hRule="atLeast"/>
          <w:jc w:val="center"/>
        </w:trPr>
        <w:tc>
          <w:tcPr>
            <w:tcW w:w="1470" w:type="dxa"/>
            <w:gridSpan w:val="2"/>
            <w:tcBorders>
              <w:top w:val="single" w:color="auto" w:sz="4" w:space="0"/>
              <w:left w:val="single" w:color="auto" w:sz="4" w:space="0"/>
              <w:bottom w:val="single" w:color="auto" w:sz="4" w:space="0"/>
              <w:right w:val="single" w:color="auto" w:sz="4" w:space="0"/>
            </w:tcBorders>
            <w:noWrap/>
            <w:vAlign w:val="center"/>
          </w:tcPr>
          <w:p w14:paraId="1E7F1989">
            <w:pPr>
              <w:tabs>
                <w:tab w:val="left" w:pos="266"/>
              </w:tabs>
              <w:spacing w:line="360" w:lineRule="exact"/>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部门负责人</w:t>
            </w:r>
          </w:p>
        </w:tc>
        <w:tc>
          <w:tcPr>
            <w:tcW w:w="7890" w:type="dxa"/>
            <w:gridSpan w:val="6"/>
            <w:tcBorders>
              <w:top w:val="single" w:color="auto" w:sz="4" w:space="0"/>
              <w:left w:val="single" w:color="auto" w:sz="4" w:space="0"/>
              <w:bottom w:val="single" w:color="auto" w:sz="4" w:space="0"/>
              <w:right w:val="single" w:color="auto" w:sz="4" w:space="0"/>
            </w:tcBorders>
            <w:noWrap/>
            <w:vAlign w:val="center"/>
          </w:tcPr>
          <w:p w14:paraId="1A3C9B2D">
            <w:pPr>
              <w:tabs>
                <w:tab w:val="left" w:pos="266"/>
              </w:tabs>
              <w:spacing w:line="360" w:lineRule="exact"/>
              <w:jc w:val="center"/>
              <w:textAlignment w:val="center"/>
              <w:rPr>
                <w:rFonts w:hint="eastAsia" w:ascii="仿宋_GB2312" w:hAnsi="仿宋_GB2312" w:eastAsia="仿宋_GB2312" w:cs="仿宋_GB2312"/>
                <w:kern w:val="0"/>
                <w:sz w:val="24"/>
                <w:szCs w:val="24"/>
              </w:rPr>
            </w:pPr>
          </w:p>
        </w:tc>
      </w:tr>
      <w:tr w14:paraId="3D2737D1">
        <w:tblPrEx>
          <w:tblCellMar>
            <w:top w:w="0" w:type="dxa"/>
            <w:left w:w="108" w:type="dxa"/>
            <w:bottom w:w="0" w:type="dxa"/>
            <w:right w:w="108" w:type="dxa"/>
          </w:tblCellMar>
        </w:tblPrEx>
        <w:trPr>
          <w:trHeight w:val="23" w:hRule="atLeast"/>
          <w:jc w:val="center"/>
        </w:trPr>
        <w:tc>
          <w:tcPr>
            <w:tcW w:w="8630" w:type="dxa"/>
            <w:gridSpan w:val="7"/>
            <w:tcBorders>
              <w:top w:val="single" w:color="auto" w:sz="4" w:space="0"/>
              <w:left w:val="nil"/>
              <w:bottom w:val="nil"/>
              <w:right w:val="nil"/>
            </w:tcBorders>
            <w:noWrap/>
            <w:vAlign w:val="center"/>
          </w:tcPr>
          <w:p w14:paraId="79B1D733">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备注：此考核以高新区城市管理和综合执法局当月下发考核表为准。</w:t>
            </w:r>
          </w:p>
        </w:tc>
        <w:tc>
          <w:tcPr>
            <w:tcW w:w="730" w:type="dxa"/>
            <w:tcBorders>
              <w:top w:val="single" w:color="auto" w:sz="4" w:space="0"/>
              <w:left w:val="nil"/>
              <w:bottom w:val="nil"/>
              <w:right w:val="nil"/>
            </w:tcBorders>
            <w:noWrap/>
            <w:vAlign w:val="center"/>
          </w:tcPr>
          <w:p w14:paraId="60A00544">
            <w:pPr>
              <w:tabs>
                <w:tab w:val="left" w:pos="266"/>
              </w:tabs>
              <w:spacing w:line="360" w:lineRule="exact"/>
              <w:rPr>
                <w:rFonts w:hint="eastAsia" w:ascii="仿宋_GB2312" w:hAnsi="仿宋_GB2312" w:eastAsia="仿宋_GB2312" w:cs="仿宋_GB2312"/>
                <w:kern w:val="0"/>
                <w:sz w:val="24"/>
                <w:szCs w:val="24"/>
              </w:rPr>
            </w:pPr>
          </w:p>
        </w:tc>
      </w:tr>
    </w:tbl>
    <w:p w14:paraId="683E998B">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br w:type="page"/>
      </w:r>
      <w:r>
        <w:rPr>
          <w:rFonts w:hint="eastAsia" w:ascii="仿宋_GB2312" w:hAnsi="仿宋_GB2312" w:eastAsia="仿宋_GB2312" w:cs="仿宋_GB2312"/>
          <w:kern w:val="0"/>
          <w:sz w:val="24"/>
          <w:szCs w:val="24"/>
        </w:rPr>
        <w:t>3.绿化养护整改通知单</w:t>
      </w:r>
    </w:p>
    <w:p w14:paraId="0AB0FDF6">
      <w:pPr>
        <w:tabs>
          <w:tab w:val="left" w:pos="266"/>
        </w:tabs>
        <w:spacing w:line="5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养护单位：                        编号：</w:t>
      </w:r>
    </w:p>
    <w:tbl>
      <w:tblPr>
        <w:tblStyle w:val="10"/>
        <w:tblW w:w="4677" w:type="pct"/>
        <w:tblInd w:w="0" w:type="dxa"/>
        <w:tblLayout w:type="fixed"/>
        <w:tblCellMar>
          <w:top w:w="0" w:type="dxa"/>
          <w:left w:w="108" w:type="dxa"/>
          <w:bottom w:w="0" w:type="dxa"/>
          <w:right w:w="108" w:type="dxa"/>
        </w:tblCellMar>
      </w:tblPr>
      <w:tblGrid>
        <w:gridCol w:w="1799"/>
        <w:gridCol w:w="2336"/>
        <w:gridCol w:w="2143"/>
        <w:gridCol w:w="3040"/>
      </w:tblGrid>
      <w:tr w14:paraId="224DB0FB">
        <w:tblPrEx>
          <w:tblCellMar>
            <w:top w:w="0" w:type="dxa"/>
            <w:left w:w="108" w:type="dxa"/>
            <w:bottom w:w="0" w:type="dxa"/>
            <w:right w:w="108" w:type="dxa"/>
          </w:tblCellMar>
        </w:tblPrEx>
        <w:trPr>
          <w:trHeight w:val="676" w:hRule="atLeast"/>
        </w:trPr>
        <w:tc>
          <w:tcPr>
            <w:tcW w:w="965" w:type="pct"/>
            <w:tcBorders>
              <w:top w:val="single" w:color="auto" w:sz="4" w:space="0"/>
              <w:left w:val="single" w:color="auto" w:sz="4" w:space="0"/>
              <w:bottom w:val="single" w:color="auto" w:sz="4" w:space="0"/>
              <w:right w:val="single" w:color="auto" w:sz="4" w:space="0"/>
            </w:tcBorders>
            <w:noWrap/>
            <w:vAlign w:val="center"/>
          </w:tcPr>
          <w:p w14:paraId="3432322D">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检查时间</w:t>
            </w:r>
          </w:p>
        </w:tc>
        <w:tc>
          <w:tcPr>
            <w:tcW w:w="1253" w:type="pct"/>
            <w:tcBorders>
              <w:top w:val="single" w:color="auto" w:sz="4" w:space="0"/>
              <w:left w:val="single" w:color="auto" w:sz="4" w:space="0"/>
              <w:bottom w:val="single" w:color="auto" w:sz="4" w:space="0"/>
              <w:right w:val="single" w:color="auto" w:sz="4" w:space="0"/>
            </w:tcBorders>
            <w:noWrap/>
            <w:vAlign w:val="center"/>
          </w:tcPr>
          <w:p w14:paraId="2712752A">
            <w:pPr>
              <w:tabs>
                <w:tab w:val="left" w:pos="266"/>
              </w:tabs>
              <w:spacing w:line="320" w:lineRule="exact"/>
              <w:jc w:val="center"/>
              <w:rPr>
                <w:rFonts w:hint="eastAsia" w:ascii="仿宋_GB2312" w:hAnsi="仿宋_GB2312" w:eastAsia="仿宋_GB2312" w:cs="仿宋_GB2312"/>
                <w:kern w:val="0"/>
                <w:sz w:val="24"/>
                <w:szCs w:val="24"/>
              </w:rPr>
            </w:pPr>
          </w:p>
        </w:tc>
        <w:tc>
          <w:tcPr>
            <w:tcW w:w="1150" w:type="pct"/>
            <w:tcBorders>
              <w:top w:val="single" w:color="auto" w:sz="4" w:space="0"/>
              <w:left w:val="nil"/>
              <w:bottom w:val="single" w:color="auto" w:sz="4" w:space="0"/>
              <w:right w:val="single" w:color="auto" w:sz="4" w:space="0"/>
            </w:tcBorders>
            <w:noWrap/>
            <w:vAlign w:val="center"/>
          </w:tcPr>
          <w:p w14:paraId="2C290C3C">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检查人员</w:t>
            </w:r>
          </w:p>
        </w:tc>
        <w:tc>
          <w:tcPr>
            <w:tcW w:w="1630" w:type="pct"/>
            <w:tcBorders>
              <w:top w:val="single" w:color="auto" w:sz="4" w:space="0"/>
              <w:left w:val="nil"/>
              <w:bottom w:val="single" w:color="auto" w:sz="4" w:space="0"/>
              <w:right w:val="single" w:color="auto" w:sz="4" w:space="0"/>
            </w:tcBorders>
            <w:noWrap/>
            <w:vAlign w:val="center"/>
          </w:tcPr>
          <w:p w14:paraId="4CDEDC66">
            <w:pPr>
              <w:tabs>
                <w:tab w:val="left" w:pos="266"/>
              </w:tabs>
              <w:spacing w:line="320" w:lineRule="exact"/>
              <w:jc w:val="center"/>
              <w:rPr>
                <w:rFonts w:hint="eastAsia" w:ascii="仿宋_GB2312" w:hAnsi="仿宋_GB2312" w:eastAsia="仿宋_GB2312" w:cs="仿宋_GB2312"/>
                <w:kern w:val="0"/>
                <w:sz w:val="24"/>
                <w:szCs w:val="24"/>
              </w:rPr>
            </w:pPr>
          </w:p>
        </w:tc>
      </w:tr>
      <w:tr w14:paraId="11A38351">
        <w:tblPrEx>
          <w:tblCellMar>
            <w:top w:w="0" w:type="dxa"/>
            <w:left w:w="108" w:type="dxa"/>
            <w:bottom w:w="0" w:type="dxa"/>
            <w:right w:w="108" w:type="dxa"/>
          </w:tblCellMar>
        </w:tblPrEx>
        <w:trPr>
          <w:trHeight w:val="647" w:hRule="atLeast"/>
        </w:trPr>
        <w:tc>
          <w:tcPr>
            <w:tcW w:w="965" w:type="pct"/>
            <w:tcBorders>
              <w:top w:val="nil"/>
              <w:left w:val="single" w:color="auto" w:sz="4" w:space="0"/>
              <w:bottom w:val="single" w:color="auto" w:sz="4" w:space="0"/>
              <w:right w:val="single" w:color="auto" w:sz="4" w:space="0"/>
            </w:tcBorders>
            <w:noWrap/>
            <w:vAlign w:val="center"/>
          </w:tcPr>
          <w:p w14:paraId="5D6C1521">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检查地点</w:t>
            </w:r>
          </w:p>
        </w:tc>
        <w:tc>
          <w:tcPr>
            <w:tcW w:w="4034" w:type="pct"/>
            <w:gridSpan w:val="3"/>
            <w:tcBorders>
              <w:top w:val="single" w:color="auto" w:sz="4" w:space="0"/>
              <w:left w:val="nil"/>
              <w:bottom w:val="single" w:color="auto" w:sz="4" w:space="0"/>
              <w:right w:val="single" w:color="000000" w:sz="4" w:space="0"/>
            </w:tcBorders>
            <w:noWrap/>
            <w:vAlign w:val="center"/>
          </w:tcPr>
          <w:p w14:paraId="3D372D1F">
            <w:pPr>
              <w:tabs>
                <w:tab w:val="left" w:pos="266"/>
              </w:tabs>
              <w:spacing w:line="320" w:lineRule="exact"/>
              <w:jc w:val="center"/>
              <w:rPr>
                <w:rFonts w:hint="eastAsia" w:ascii="仿宋_GB2312" w:hAnsi="仿宋_GB2312" w:eastAsia="仿宋_GB2312" w:cs="仿宋_GB2312"/>
                <w:kern w:val="0"/>
                <w:sz w:val="24"/>
                <w:szCs w:val="24"/>
              </w:rPr>
            </w:pPr>
          </w:p>
        </w:tc>
      </w:tr>
      <w:tr w14:paraId="04715ECE">
        <w:tblPrEx>
          <w:tblCellMar>
            <w:top w:w="0" w:type="dxa"/>
            <w:left w:w="108" w:type="dxa"/>
            <w:bottom w:w="0" w:type="dxa"/>
            <w:right w:w="108" w:type="dxa"/>
          </w:tblCellMar>
        </w:tblPrEx>
        <w:trPr>
          <w:trHeight w:val="4909" w:hRule="atLeast"/>
        </w:trPr>
        <w:tc>
          <w:tcPr>
            <w:tcW w:w="965" w:type="pct"/>
            <w:tcBorders>
              <w:top w:val="nil"/>
              <w:left w:val="single" w:color="auto" w:sz="4" w:space="0"/>
              <w:bottom w:val="single" w:color="auto" w:sz="4" w:space="0"/>
              <w:right w:val="single" w:color="auto" w:sz="4" w:space="0"/>
            </w:tcBorders>
            <w:noWrap/>
            <w:vAlign w:val="center"/>
          </w:tcPr>
          <w:p w14:paraId="3248DD18">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存在问题</w:t>
            </w:r>
          </w:p>
        </w:tc>
        <w:tc>
          <w:tcPr>
            <w:tcW w:w="4034" w:type="pct"/>
            <w:gridSpan w:val="3"/>
            <w:tcBorders>
              <w:top w:val="single" w:color="auto" w:sz="4" w:space="0"/>
              <w:left w:val="nil"/>
              <w:bottom w:val="single" w:color="auto" w:sz="4" w:space="0"/>
              <w:right w:val="single" w:color="000000" w:sz="4" w:space="0"/>
            </w:tcBorders>
            <w:noWrap/>
            <w:vAlign w:val="center"/>
          </w:tcPr>
          <w:p w14:paraId="76FF9B74">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1.xxx处断枝未清理，有杂草。。。。</w:t>
            </w:r>
          </w:p>
          <w:p w14:paraId="7FEAB53E">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p w14:paraId="77F716CD">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w:t>
            </w:r>
          </w:p>
        </w:tc>
      </w:tr>
      <w:tr w14:paraId="4E6BFD7A">
        <w:tblPrEx>
          <w:tblCellMar>
            <w:top w:w="0" w:type="dxa"/>
            <w:left w:w="108" w:type="dxa"/>
            <w:bottom w:w="0" w:type="dxa"/>
            <w:right w:w="108" w:type="dxa"/>
          </w:tblCellMar>
        </w:tblPrEx>
        <w:trPr>
          <w:trHeight w:val="1678" w:hRule="atLeast"/>
        </w:trPr>
        <w:tc>
          <w:tcPr>
            <w:tcW w:w="965" w:type="pct"/>
            <w:tcBorders>
              <w:top w:val="nil"/>
              <w:left w:val="single" w:color="auto" w:sz="4" w:space="0"/>
              <w:bottom w:val="single" w:color="auto" w:sz="4" w:space="0"/>
              <w:right w:val="single" w:color="auto" w:sz="4" w:space="0"/>
            </w:tcBorders>
            <w:noWrap/>
            <w:vAlign w:val="center"/>
          </w:tcPr>
          <w:p w14:paraId="2FF30387">
            <w:pPr>
              <w:tabs>
                <w:tab w:val="left" w:pos="266"/>
              </w:tabs>
              <w:spacing w:line="32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整改处理</w:t>
            </w:r>
          </w:p>
          <w:p w14:paraId="3D584620">
            <w:pPr>
              <w:tabs>
                <w:tab w:val="left" w:pos="266"/>
              </w:tabs>
              <w:spacing w:line="32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意见</w:t>
            </w:r>
          </w:p>
        </w:tc>
        <w:tc>
          <w:tcPr>
            <w:tcW w:w="4034" w:type="pct"/>
            <w:gridSpan w:val="3"/>
            <w:tcBorders>
              <w:top w:val="single" w:color="auto" w:sz="4" w:space="0"/>
              <w:left w:val="nil"/>
              <w:bottom w:val="single" w:color="auto" w:sz="4" w:space="0"/>
              <w:right w:val="single" w:color="000000" w:sz="4" w:space="0"/>
            </w:tcBorders>
            <w:noWrap/>
            <w:vAlign w:val="center"/>
          </w:tcPr>
          <w:p w14:paraId="5E2415CD">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请养护单位举一反三，立即整改以上问题。并于年月日前完成整改，并将整改回复报送至城市管理局绿化部。</w:t>
            </w:r>
          </w:p>
          <w:p w14:paraId="77C5B415">
            <w:pPr>
              <w:tabs>
                <w:tab w:val="left" w:pos="266"/>
              </w:tabs>
              <w:spacing w:line="320" w:lineRule="exact"/>
              <w:rPr>
                <w:rFonts w:hint="eastAsia" w:ascii="仿宋_GB2312" w:hAnsi="仿宋_GB2312" w:eastAsia="仿宋_GB2312" w:cs="仿宋_GB2312"/>
                <w:kern w:val="0"/>
                <w:sz w:val="24"/>
                <w:szCs w:val="24"/>
              </w:rPr>
            </w:pPr>
          </w:p>
        </w:tc>
      </w:tr>
      <w:tr w14:paraId="206DF8CF">
        <w:tblPrEx>
          <w:tblCellMar>
            <w:top w:w="0" w:type="dxa"/>
            <w:left w:w="108" w:type="dxa"/>
            <w:bottom w:w="0" w:type="dxa"/>
            <w:right w:w="108" w:type="dxa"/>
          </w:tblCellMar>
        </w:tblPrEx>
        <w:trPr>
          <w:trHeight w:val="4005" w:hRule="atLeast"/>
        </w:trPr>
        <w:tc>
          <w:tcPr>
            <w:tcW w:w="965" w:type="pct"/>
            <w:tcBorders>
              <w:top w:val="nil"/>
              <w:left w:val="single" w:color="auto" w:sz="4" w:space="0"/>
              <w:bottom w:val="single" w:color="auto" w:sz="4" w:space="0"/>
              <w:right w:val="single" w:color="auto" w:sz="4" w:space="0"/>
            </w:tcBorders>
            <w:noWrap/>
            <w:vAlign w:val="center"/>
          </w:tcPr>
          <w:p w14:paraId="3AC4F0D6">
            <w:pPr>
              <w:tabs>
                <w:tab w:val="left" w:pos="266"/>
              </w:tabs>
              <w:spacing w:line="32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备注</w:t>
            </w:r>
          </w:p>
        </w:tc>
        <w:tc>
          <w:tcPr>
            <w:tcW w:w="4034" w:type="pct"/>
            <w:gridSpan w:val="3"/>
            <w:tcBorders>
              <w:top w:val="single" w:color="auto" w:sz="4" w:space="0"/>
              <w:left w:val="nil"/>
              <w:bottom w:val="single" w:color="auto" w:sz="4" w:space="0"/>
              <w:right w:val="single" w:color="000000" w:sz="4" w:space="0"/>
            </w:tcBorders>
            <w:noWrap/>
            <w:vAlign w:val="center"/>
          </w:tcPr>
          <w:p w14:paraId="0540BD45">
            <w:pPr>
              <w:tabs>
                <w:tab w:val="left" w:pos="266"/>
              </w:tabs>
              <w:spacing w:line="320" w:lineRule="exact"/>
              <w:rPr>
                <w:rFonts w:hint="eastAsia" w:ascii="仿宋_GB2312" w:hAnsi="仿宋_GB2312" w:eastAsia="仿宋_GB2312" w:cs="仿宋_GB2312"/>
                <w:kern w:val="0"/>
                <w:sz w:val="24"/>
                <w:szCs w:val="24"/>
              </w:rPr>
            </w:pPr>
          </w:p>
          <w:p w14:paraId="19326287">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周检结果以整改通知单及亮点报送体现，并计入月考核最终得分。</w:t>
            </w:r>
          </w:p>
          <w:p w14:paraId="68011F99">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扣分事项：整改单能及时完成整改并回复，扣0.5分/单；整改不合格，扣1分/单；未按时完成整改，扣2分/单；整改单弄虚作假扣5分/单。（整改完成时间以回复照片中水印时间为准）</w:t>
            </w:r>
          </w:p>
          <w:p w14:paraId="2D40EB36">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加分事项：宣传稿被城管局公众号采纳，加1分；亮点创新事项，加1分；被领导点名表扬加1分；展开技术培训，或主导互比互学活动，养护工作措施得力有效、公认值得推广的加1分。（需提供支撑资料）</w:t>
            </w:r>
          </w:p>
          <w:p w14:paraId="63ED4ADC">
            <w:pPr>
              <w:tabs>
                <w:tab w:val="left" w:pos="266"/>
              </w:tabs>
              <w:spacing w:line="320" w:lineRule="exact"/>
              <w:rPr>
                <w:rFonts w:hint="eastAsia" w:ascii="仿宋_GB2312" w:hAnsi="仿宋_GB2312" w:eastAsia="仿宋_GB2312" w:cs="仿宋_GB2312"/>
                <w:kern w:val="0"/>
                <w:sz w:val="24"/>
                <w:szCs w:val="24"/>
              </w:rPr>
            </w:pPr>
          </w:p>
        </w:tc>
      </w:tr>
    </w:tbl>
    <w:p w14:paraId="367B7018">
      <w:pPr>
        <w:tabs>
          <w:tab w:val="left" w:pos="266"/>
        </w:tabs>
        <w:spacing w:line="520" w:lineRule="exact"/>
        <w:rPr>
          <w:rFonts w:hint="eastAsia" w:ascii="仿宋_GB2312" w:hAnsi="仿宋_GB2312" w:eastAsia="仿宋_GB2312" w:cs="仿宋_GB2312"/>
          <w:kern w:val="0"/>
          <w:sz w:val="24"/>
          <w:szCs w:val="24"/>
        </w:rPr>
        <w:sectPr>
          <w:footnotePr>
            <w:numFmt w:val="decimalEnclosedCircleChinese"/>
          </w:footnotePr>
          <w:pgSz w:w="11905" w:h="16838"/>
          <w:pgMar w:top="1440" w:right="1080" w:bottom="1440" w:left="1080" w:header="850" w:footer="975" w:gutter="0"/>
          <w:cols w:space="720" w:num="1"/>
          <w:docGrid w:linePitch="312" w:charSpace="0"/>
        </w:sectPr>
      </w:pPr>
      <w:r>
        <w:rPr>
          <w:rFonts w:hint="eastAsia" w:ascii="仿宋_GB2312" w:hAnsi="仿宋_GB2312" w:eastAsia="仿宋_GB2312" w:cs="仿宋_GB2312"/>
          <w:kern w:val="0"/>
          <w:sz w:val="24"/>
          <w:szCs w:val="24"/>
        </w:rPr>
        <w:t>养护单位签字：                 检查组签字</w:t>
      </w:r>
    </w:p>
    <w:p w14:paraId="48DAE801">
      <w:pPr>
        <w:pStyle w:val="8"/>
        <w:tabs>
          <w:tab w:val="left" w:pos="266"/>
        </w:tabs>
        <w:spacing w:line="520" w:lineRule="exact"/>
        <w:outlineLvl w:val="0"/>
        <w:rPr>
          <w:rFonts w:hint="eastAsia" w:ascii="仿宋_GB2312" w:hAnsi="仿宋_GB2312" w:eastAsia="仿宋_GB2312" w:cs="仿宋_GB2312"/>
          <w:b/>
          <w:sz w:val="24"/>
          <w:szCs w:val="24"/>
        </w:rPr>
      </w:pPr>
      <w:bookmarkStart w:id="22" w:name="_Toc21246"/>
      <w:r>
        <w:rPr>
          <w:rFonts w:hint="eastAsia" w:ascii="仿宋_GB2312" w:hAnsi="仿宋_GB2312" w:eastAsia="仿宋_GB2312" w:cs="仿宋_GB2312"/>
          <w:b/>
          <w:sz w:val="24"/>
          <w:szCs w:val="24"/>
        </w:rPr>
        <w:t>附件5：</w:t>
      </w:r>
      <w:bookmarkEnd w:id="22"/>
    </w:p>
    <w:p w14:paraId="1E307AFD">
      <w:pPr>
        <w:widowControl/>
        <w:kinsoku w:val="0"/>
        <w:autoSpaceDE w:val="0"/>
        <w:autoSpaceDN w:val="0"/>
        <w:adjustRightInd w:val="0"/>
        <w:snapToGrid w:val="0"/>
        <w:spacing w:line="360" w:lineRule="auto"/>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b/>
          <w:bCs/>
          <w:sz w:val="28"/>
          <w:szCs w:val="28"/>
        </w:rPr>
        <w:t>西安高新区车辆管理办法及考核细则</w:t>
      </w:r>
    </w:p>
    <w:p w14:paraId="073E9119">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为进一步提升高新区机械化作业水平，全面提升辖区环境质量，同时确保承包 单位机动车辆安全高效运行、降低成本、杜绝事故隐患，不断扎实推进高新区市容 环境质量，现制定高新区车辆管理办法及考核细则：</w:t>
      </w:r>
    </w:p>
    <w:p w14:paraId="38E820CC">
      <w:pPr>
        <w:widowControl/>
        <w:kinsoku w:val="0"/>
        <w:autoSpaceDE w:val="0"/>
        <w:autoSpaceDN w:val="0"/>
        <w:adjustRightInd w:val="0"/>
        <w:snapToGrid w:val="0"/>
        <w:spacing w:line="360" w:lineRule="auto"/>
        <w:ind w:firstLine="482" w:firstLineChars="200"/>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一、车辆管理办法</w:t>
      </w:r>
    </w:p>
    <w:p w14:paraId="3420FF9C">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1.所有专业机动车辆由高新区环卫主管部门统一协调管理，道路清扫、冲洗作业由各环卫承包单位自行调配使用。</w:t>
      </w:r>
    </w:p>
    <w:p w14:paraId="4AC498C0">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2.各承包单位车辆主管应加强对驾驶员的安全教育和交通法规的学习，尤其是对专业车辆驾驶员的法规学习和技术培训应更加重视。每位驾驶员应严格遵 守交通法规、提高安全意识、礼貌行车、服从交警指挥。因个人违反规定驾 驶车辆所造成的损失由承包单位及当事人承担。</w:t>
      </w:r>
    </w:p>
    <w:p w14:paraId="49541741">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3.各承包单位车辆应由专职司机驾驶，一人一车未经高新区环卫主管部门同意非专职司机或其他人员不得驾驶，专业车辆严禁由非专业车辆驾驶员驾驶。如遇驾驶员请假由各环卫承包单位车队主管安排调配。</w:t>
      </w:r>
    </w:p>
    <w:p w14:paraId="2DF08087">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4.各承包单位驾驶员应精神饱满、仪表整洁、举止文明、爱岗敬业、不迟到早退、不脱岗、上班期间不做与工作无关的事。出车前后进行检查，发现问题及时解 决，始终使车辆保持良好状态并随时做好出车准备。</w:t>
      </w:r>
    </w:p>
    <w:p w14:paraId="1BA33EA6">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5.各承包单位机动车辆的户籍、审验、保险、过路费等车辆各项手续由保洁公司办理，必须保证车辆手续齐全保险及时有效、车辆性能良好。</w:t>
      </w:r>
    </w:p>
    <w:p w14:paraId="768D0F8E">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6.各承包单位应定期组织驾驶员自觉参加安全教育活动，做到警钟长鸣，时刻加强安全防范意识。</w:t>
      </w:r>
    </w:p>
    <w:p w14:paraId="6C03BE78">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7.各承包单位所有车辆实行两班制运行，每班次工作时间不少于8小时。</w:t>
      </w:r>
    </w:p>
    <w:p w14:paraId="2A6F7846">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车辆考核周期以月为单位，所有车辆因修车、审验、事故等原因造成的缺勤，必须在每月3号前由车管办理有关手续认可后交车辆监管处，由车辆考核负责人做出相应的减免标注。车辆监管处根据每月考核情况以通报形式发送各承包单位。</w:t>
      </w:r>
    </w:p>
    <w:p w14:paraId="4268C6C0">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9.各承包单位须有完整机械化作业管理规章制度和标准；完整机械化作业人员</w:t>
      </w:r>
    </w:p>
    <w:p w14:paraId="295BDA3C">
      <w:pPr>
        <w:widowControl/>
        <w:kinsoku w:val="0"/>
        <w:autoSpaceDE w:val="0"/>
        <w:autoSpaceDN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档案、管理职责、用车制度；完整的机械化车辆保养、维修、维护制度，并保证车辆外表清洁、性能完好。</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xml:space="preserve">    10.各承包单位车辆作业人员不擅离岗位、脱岗、换岗等，不酒后作业，持证上岗，并定期体检等。</w:t>
      </w:r>
    </w:p>
    <w:p w14:paraId="1E9724F6">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 各承包单位人车结合作业时，须放置安全隔离墩等防护措施，如未按规定执行，一切后果自负。</w:t>
      </w:r>
    </w:p>
    <w:p w14:paraId="0885384C">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12.各承包单位所有作业车辆必须按规定时间准时到达所属区域开始作业，未按规定执行的车辆按迟到处理。</w:t>
      </w:r>
    </w:p>
    <w:p w14:paraId="080436AB">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 各承包单位应配备有责任心、有一定车辆专业知识技能、熟悉环卫作业车辆及维修的车管人员，配合环卫主管部门开展日常工作。车管人员不能胜任工作或有重大工作失误的承包单位应及时调整更换车管人员。</w:t>
      </w:r>
    </w:p>
    <w:p w14:paraId="407C613E">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14.所有车辆按照高新区城市管理局划定网格和要求里程（水量）进行有序作业，对违法规定作业的车辆进行通报处罚。</w:t>
      </w:r>
    </w:p>
    <w:p w14:paraId="7B057F4A">
      <w:pPr>
        <w:widowControl/>
        <w:kinsoku w:val="0"/>
        <w:autoSpaceDE w:val="0"/>
        <w:autoSpaceDN w:val="0"/>
        <w:adjustRightInd w:val="0"/>
        <w:snapToGrid w:val="0"/>
        <w:spacing w:line="360" w:lineRule="auto"/>
        <w:ind w:firstLine="482" w:firstLineChars="200"/>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二、车辆考核细则</w:t>
      </w:r>
    </w:p>
    <w:p w14:paraId="0BE9DEA9">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1.饮酒后驾驶作业车辆发生交通事故的或者发生重大交通事故本人负同等责任以上的（含同等责任）每次扣除承包单位月考核10分；饮酒后驾驶专业车辆 虽未发生交通事故，但造成不良影响的每次扣除承包单位月考核5分；日常检查发现扣款100000元。</w:t>
      </w:r>
    </w:p>
    <w:p w14:paraId="6662D96D">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2.未按规定时间和路段进行保洁作业的，每次扣除承包单位月考核2分； 日常检查发现扣款500元。</w:t>
      </w:r>
    </w:p>
    <w:p w14:paraId="0DEA6197">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3.将专业车辆交由非专业司机驾驶的，每次扣除承包单位月考核2分； 日常检查发现扣款500元。</w:t>
      </w:r>
    </w:p>
    <w:p w14:paraId="778B630E">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道路保洁车辆出勤率依据北斗定位统计每降低一个百分点（机扫车90%以上、洒水车80%以上、吸尘车80%以上）扣1分。</w:t>
      </w:r>
    </w:p>
    <w:p w14:paraId="0E792766">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5.驾驶员在行车前要对车辆整体情况进行检查，驾驶中规范操作，行车后对车 辆进行日常保养、清洗，保证车容车貌整洁，机械运行正常。对于因车容车貌脏乱或不文明驾驶造成的投诉或曝光，每次扣除5分；日常检查发现扣款500元。</w:t>
      </w:r>
    </w:p>
    <w:p w14:paraId="25D70123">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6.驾驶员要爱惜车辆，提高自身职业素质和驾驶技能，减少因违规作业造成的 市民投诉或者各级领导批评的扣3分。</w:t>
      </w:r>
    </w:p>
    <w:p w14:paraId="562576EB">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7.每日对合同规定的清扫范围至少清扫两班次，并按规定进行机械化清扫，如 未按规定清扫的，每次扣除承包单位月考核2分。</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xml:space="preserve">    8.一级道路每日冲洗不得少于两次，二级道路每日冲洗不得少于一次，污染道 路随时冲洗，道路应见本色，如未按规定冲洗的，每次扣除承包单位月考核3分。</w:t>
      </w:r>
    </w:p>
    <w:p w14:paraId="748E2647">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9.所有作业车辆（</w:t>
      </w:r>
      <w:r>
        <w:rPr>
          <w:rFonts w:hint="eastAsia" w:ascii="仿宋_GB2312" w:hAnsi="仿宋_GB2312" w:eastAsia="仿宋_GB2312" w:cs="仿宋_GB2312"/>
          <w:sz w:val="24"/>
          <w:szCs w:val="24"/>
          <w:highlight w:val="none"/>
        </w:rPr>
        <w:t>含清扫车、洒水车、高压冲洗车、快速保洁车等</w:t>
      </w:r>
      <w:r>
        <w:rPr>
          <w:rFonts w:hint="eastAsia" w:ascii="仿宋_GB2312" w:hAnsi="仿宋_GB2312" w:eastAsia="仿宋_GB2312" w:cs="仿宋_GB2312"/>
          <w:sz w:val="24"/>
          <w:szCs w:val="24"/>
        </w:rPr>
        <w:t>）按城市管理局时间要求进行作业，不准迟到早退。如有迟到早退车辆每次扣除承包单位月考核3分；日常检查发现扣款500元。</w:t>
      </w:r>
    </w:p>
    <w:p w14:paraId="11AC1EE6">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10.清扫车辆不按上报路线清扫作业的，如出现漏扫、空跑等现象，每次扣除承包单位月考核5分； 日常检查发现扣款500元。</w:t>
      </w:r>
    </w:p>
    <w:p w14:paraId="043E7BC2">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11.在道路作业过程中，扫地车转速须达到1300转/分以上不落刷子，洗扫车作业不喷水、转速不够、刷子不落地被举报、投诉或巡查发现，每次扣除承包单位月考核5分； 日常检查发现扣款500元。</w:t>
      </w:r>
    </w:p>
    <w:p w14:paraId="671BBF24">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12.洒水车在半小时内完成一次加水、冲洗作业全过程的，每次扣除承包单位月考核5分；日常检查发现扣款500元。</w:t>
      </w:r>
    </w:p>
    <w:p w14:paraId="1F58BE44">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13.遇重大接待检查，需调配水车时，在规定时间不能按时到场的，每次扣除承包单位月考核5分。</w:t>
      </w:r>
    </w:p>
    <w:p w14:paraId="239E27FF">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14.各承包单位须保证车辆每天作业时间及劳动定额不低于规定定额。清扫车作业里程、时速不得违反规定要求，如未按规定要求执行的，每次扣除承包单位月考核5分。</w:t>
      </w:r>
    </w:p>
    <w:p w14:paraId="2D37A7B7">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15.各承包单位作业车辆在工作时间内无故停车、熄火时间超出30分钟的，每次扣除承包单位月考核5分；日常检查发现扣款500元。</w:t>
      </w:r>
    </w:p>
    <w:p w14:paraId="1B55E3F5">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16.各单位须保证车辆满负荷运行，车辆出勤每缺少一台/天，扣除承包单位月 考核2分。</w:t>
      </w:r>
    </w:p>
    <w:p w14:paraId="5B748BFE">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17.各承包单位车辆除去修车、加油、往返车场外，必须在本单位承包区域内运行作业。如在监控中出现车辆在作业区域以外停放、行驶的，每次扣除承包单位月考核8分；日常检查发现扣款1000元。</w:t>
      </w:r>
    </w:p>
    <w:p w14:paraId="1DFBA52A">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18.扫地车吸尘车随意排风污泥污水，被巡查发现或者被执法部门处罚的每次扣除承包单位月考核5分。</w:t>
      </w:r>
    </w:p>
    <w:p w14:paraId="55423C8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19.在道路作业过程中，扫地车转速须达到1300转/分以上，如未按规定执行，每次扣除承包单位月考核2分。</w:t>
      </w:r>
    </w:p>
    <w:p w14:paraId="031D501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20.洒水车、喷雾车在接待检查中未经车辆监管处批准私自出车的，每次扣除承包单位月考核3分。</w:t>
      </w:r>
    </w:p>
    <w:p w14:paraId="422CF015">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21.以上所扣分值根据承包单位每月环卫承包费用占比的10%，扣款总额不得超 出占比承包费用。</w:t>
      </w:r>
    </w:p>
    <w:p w14:paraId="127C145D">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br w:type="page"/>
      </w:r>
    </w:p>
    <w:p w14:paraId="5FF807E2">
      <w:pPr>
        <w:pStyle w:val="5"/>
        <w:spacing w:line="360" w:lineRule="auto"/>
        <w:ind w:firstLine="0"/>
        <w:jc w:val="center"/>
        <w:outlineLvl w:val="0"/>
        <w:rPr>
          <w:rFonts w:hint="eastAsia" w:ascii="仿宋_GB2312" w:hAnsi="仿宋_GB2312" w:eastAsia="仿宋_GB2312" w:cs="仿宋_GB2312"/>
          <w:b/>
          <w:sz w:val="44"/>
          <w:szCs w:val="44"/>
        </w:rPr>
      </w:pPr>
    </w:p>
    <w:p w14:paraId="7681CA83">
      <w:pPr>
        <w:pStyle w:val="5"/>
        <w:spacing w:line="360" w:lineRule="auto"/>
        <w:ind w:firstLine="0"/>
        <w:jc w:val="center"/>
        <w:outlineLvl w:val="0"/>
        <w:rPr>
          <w:rFonts w:hint="eastAsia" w:ascii="仿宋_GB2312" w:hAnsi="仿宋_GB2312" w:eastAsia="仿宋_GB2312" w:cs="仿宋_GB2312"/>
          <w:b/>
          <w:sz w:val="44"/>
          <w:szCs w:val="44"/>
        </w:rPr>
      </w:pPr>
      <w:r>
        <w:rPr>
          <w:rFonts w:hint="eastAsia" w:ascii="仿宋_GB2312" w:hAnsi="仿宋_GB2312" w:eastAsia="仿宋_GB2312" w:cs="仿宋_GB2312"/>
          <w:b/>
          <w:sz w:val="44"/>
          <w:szCs w:val="44"/>
        </w:rPr>
        <w:t>西安高新区市容环卫绿化综合管理服务项目</w:t>
      </w:r>
    </w:p>
    <w:p w14:paraId="3F0D0106">
      <w:pPr>
        <w:pStyle w:val="5"/>
        <w:spacing w:line="360" w:lineRule="auto"/>
        <w:ind w:firstLine="0"/>
        <w:jc w:val="center"/>
        <w:outlineLvl w:val="0"/>
        <w:rPr>
          <w:rFonts w:hint="eastAsia" w:ascii="仿宋_GB2312" w:hAnsi="仿宋_GB2312" w:eastAsia="仿宋_GB2312" w:cs="仿宋_GB2312"/>
          <w:b/>
          <w:sz w:val="44"/>
          <w:szCs w:val="44"/>
        </w:rPr>
      </w:pPr>
      <w:r>
        <w:rPr>
          <w:rFonts w:hint="eastAsia" w:ascii="仿宋_GB2312" w:hAnsi="仿宋_GB2312" w:eastAsia="仿宋_GB2312" w:cs="仿宋_GB2312"/>
          <w:b/>
          <w:sz w:val="44"/>
          <w:szCs w:val="44"/>
        </w:rPr>
        <w:t>（2025年度）</w:t>
      </w:r>
    </w:p>
    <w:p w14:paraId="39E52EA6">
      <w:pPr>
        <w:pStyle w:val="5"/>
        <w:spacing w:line="360" w:lineRule="auto"/>
        <w:ind w:firstLine="0"/>
        <w:jc w:val="center"/>
        <w:outlineLvl w:val="0"/>
        <w:rPr>
          <w:rFonts w:hint="eastAsia" w:ascii="仿宋_GB2312" w:hAnsi="仿宋_GB2312" w:eastAsia="仿宋_GB2312" w:cs="仿宋_GB2312"/>
          <w:b/>
          <w:sz w:val="44"/>
          <w:szCs w:val="44"/>
          <w:u w:val="single"/>
        </w:rPr>
      </w:pPr>
    </w:p>
    <w:p w14:paraId="3A79F9B8">
      <w:pPr>
        <w:pStyle w:val="5"/>
        <w:spacing w:line="360" w:lineRule="auto"/>
        <w:ind w:firstLine="0"/>
        <w:jc w:val="center"/>
        <w:outlineLvl w:val="0"/>
        <w:rPr>
          <w:rFonts w:hint="eastAsia" w:ascii="仿宋_GB2312" w:hAnsi="仿宋_GB2312" w:eastAsia="仿宋_GB2312" w:cs="仿宋_GB2312"/>
          <w:b/>
          <w:sz w:val="44"/>
          <w:szCs w:val="44"/>
        </w:rPr>
      </w:pPr>
      <w:bookmarkStart w:id="23" w:name="_GoBack"/>
      <w:r>
        <w:rPr>
          <w:rFonts w:hint="eastAsia" w:ascii="仿宋_GB2312" w:hAnsi="仿宋_GB2312" w:eastAsia="仿宋_GB2312" w:cs="仿宋_GB2312"/>
          <w:b/>
          <w:sz w:val="44"/>
          <w:szCs w:val="44"/>
          <w:u w:val="single"/>
          <w:lang w:val="en-US" w:eastAsia="zh-CN"/>
        </w:rPr>
        <w:t>B</w:t>
      </w:r>
      <w:bookmarkEnd w:id="23"/>
      <w:r>
        <w:rPr>
          <w:rFonts w:hint="eastAsia" w:ascii="仿宋_GB2312" w:hAnsi="仿宋_GB2312" w:eastAsia="仿宋_GB2312" w:cs="仿宋_GB2312"/>
          <w:b/>
          <w:sz w:val="44"/>
          <w:szCs w:val="44"/>
        </w:rPr>
        <w:t>标段合同</w:t>
      </w:r>
    </w:p>
    <w:p w14:paraId="38F09C22">
      <w:pPr>
        <w:tabs>
          <w:tab w:val="left" w:pos="3570"/>
        </w:tabs>
        <w:spacing w:line="560" w:lineRule="exact"/>
        <w:ind w:firstLine="211"/>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ab/>
      </w:r>
    </w:p>
    <w:p w14:paraId="14B1C4C0">
      <w:pPr>
        <w:spacing w:line="560" w:lineRule="exact"/>
        <w:ind w:firstLine="211"/>
        <w:jc w:val="center"/>
        <w:rPr>
          <w:rFonts w:hint="eastAsia" w:ascii="仿宋_GB2312" w:hAnsi="仿宋_GB2312" w:eastAsia="仿宋_GB2312" w:cs="仿宋_GB2312"/>
          <w:b/>
          <w:sz w:val="32"/>
          <w:szCs w:val="32"/>
        </w:rPr>
      </w:pPr>
    </w:p>
    <w:p w14:paraId="05BC3A1A">
      <w:pPr>
        <w:spacing w:line="560" w:lineRule="exact"/>
        <w:ind w:firstLine="211"/>
        <w:jc w:val="center"/>
        <w:rPr>
          <w:rFonts w:hint="eastAsia" w:ascii="仿宋_GB2312" w:hAnsi="仿宋_GB2312" w:eastAsia="仿宋_GB2312" w:cs="仿宋_GB2312"/>
          <w:b/>
          <w:sz w:val="32"/>
          <w:szCs w:val="32"/>
        </w:rPr>
      </w:pPr>
    </w:p>
    <w:p w14:paraId="7ED60D82">
      <w:pPr>
        <w:spacing w:line="560" w:lineRule="exact"/>
        <w:ind w:firstLine="211"/>
        <w:jc w:val="center"/>
        <w:rPr>
          <w:rFonts w:hint="eastAsia" w:ascii="仿宋_GB2312" w:hAnsi="仿宋_GB2312" w:eastAsia="仿宋_GB2312" w:cs="仿宋_GB2312"/>
          <w:b/>
          <w:sz w:val="32"/>
          <w:szCs w:val="32"/>
        </w:rPr>
      </w:pPr>
    </w:p>
    <w:p w14:paraId="24EB2FEB">
      <w:pPr>
        <w:pStyle w:val="9"/>
        <w:spacing w:line="560" w:lineRule="exact"/>
        <w:rPr>
          <w:rFonts w:hint="eastAsia" w:ascii="仿宋_GB2312" w:hAnsi="仿宋_GB2312" w:eastAsia="仿宋_GB2312" w:cs="仿宋_GB2312"/>
          <w:sz w:val="32"/>
          <w:szCs w:val="32"/>
        </w:rPr>
      </w:pPr>
    </w:p>
    <w:p w14:paraId="30AAAF35">
      <w:pPr>
        <w:pStyle w:val="9"/>
        <w:spacing w:line="560" w:lineRule="exact"/>
        <w:rPr>
          <w:rFonts w:hint="eastAsia" w:ascii="仿宋_GB2312" w:hAnsi="仿宋_GB2312" w:eastAsia="仿宋_GB2312" w:cs="仿宋_GB2312"/>
          <w:sz w:val="32"/>
          <w:szCs w:val="32"/>
        </w:rPr>
      </w:pPr>
    </w:p>
    <w:p w14:paraId="5AEA5245">
      <w:pPr>
        <w:adjustRightInd w:val="0"/>
        <w:snapToGrid w:val="0"/>
        <w:spacing w:line="360" w:lineRule="auto"/>
        <w:ind w:left="1079" w:leftChars="114" w:hanging="840" w:hangingChars="300"/>
        <w:jc w:val="left"/>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采购人（甲方）：</w:t>
      </w:r>
      <w:r>
        <w:rPr>
          <w:rFonts w:hint="eastAsia" w:ascii="仿宋_GB2312" w:hAnsi="仿宋_GB2312" w:eastAsia="仿宋_GB2312" w:cs="仿宋_GB2312"/>
          <w:sz w:val="28"/>
          <w:szCs w:val="28"/>
          <w:u w:val="single"/>
        </w:rPr>
        <w:t xml:space="preserve">西安高新技术产业开发区城市管理和综合执法局 </w:t>
      </w:r>
    </w:p>
    <w:p w14:paraId="732AD8A2">
      <w:pPr>
        <w:adjustRightInd w:val="0"/>
        <w:snapToGrid w:val="0"/>
        <w:spacing w:line="360" w:lineRule="auto"/>
        <w:ind w:left="1079" w:leftChars="114" w:hanging="840" w:hanging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28"/>
          <w:szCs w:val="28"/>
        </w:rPr>
        <w:t>中标人（乙方）：</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32"/>
          <w:szCs w:val="32"/>
          <w:u w:val="single"/>
        </w:rPr>
        <w:t xml:space="preserve">    </w:t>
      </w:r>
    </w:p>
    <w:p w14:paraId="54CEAF19">
      <w:pPr>
        <w:pStyle w:val="9"/>
        <w:spacing w:line="560" w:lineRule="exact"/>
        <w:rPr>
          <w:rFonts w:hint="eastAsia" w:ascii="仿宋_GB2312" w:hAnsi="仿宋_GB2312" w:eastAsia="仿宋_GB2312" w:cs="仿宋_GB2312"/>
          <w:sz w:val="32"/>
          <w:szCs w:val="32"/>
        </w:rPr>
      </w:pPr>
    </w:p>
    <w:p w14:paraId="5625344B">
      <w:pPr>
        <w:pStyle w:val="9"/>
        <w:spacing w:line="56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年   月   日</w:t>
      </w:r>
    </w:p>
    <w:p w14:paraId="2ACED037">
      <w:pPr>
        <w:pStyle w:val="9"/>
        <w:spacing w:line="560" w:lineRule="exact"/>
        <w:jc w:val="center"/>
        <w:rPr>
          <w:rFonts w:hint="eastAsia" w:ascii="仿宋_GB2312" w:hAnsi="仿宋_GB2312" w:eastAsia="仿宋_GB2312" w:cs="仿宋_GB2312"/>
          <w:b/>
          <w:bCs/>
          <w:sz w:val="24"/>
          <w:szCs w:val="24"/>
        </w:rPr>
      </w:pPr>
    </w:p>
    <w:p w14:paraId="349FB4DE">
      <w:pPr>
        <w:pStyle w:val="9"/>
        <w:spacing w:line="560" w:lineRule="exact"/>
        <w:jc w:val="center"/>
        <w:rPr>
          <w:rFonts w:hint="eastAsia" w:ascii="仿宋_GB2312" w:hAnsi="仿宋_GB2312" w:eastAsia="仿宋_GB2312" w:cs="仿宋_GB2312"/>
          <w:b/>
          <w:bCs/>
          <w:sz w:val="24"/>
          <w:szCs w:val="24"/>
        </w:rPr>
      </w:pPr>
    </w:p>
    <w:p w14:paraId="1CBE8A41">
      <w:pPr>
        <w:pStyle w:val="5"/>
        <w:spacing w:line="560" w:lineRule="exact"/>
        <w:ind w:firstLine="723"/>
        <w:jc w:val="center"/>
        <w:outlineLvl w:val="0"/>
        <w:rPr>
          <w:rFonts w:hint="eastAsia" w:ascii="仿宋_GB2312" w:hAnsi="仿宋_GB2312" w:eastAsia="仿宋_GB2312" w:cs="仿宋_GB2312"/>
          <w:b/>
          <w:sz w:val="24"/>
          <w:szCs w:val="24"/>
        </w:rPr>
        <w:sectPr>
          <w:footerReference r:id="rId4" w:type="default"/>
          <w:pgSz w:w="11905" w:h="16838"/>
          <w:pgMar w:top="1440" w:right="1080" w:bottom="1440" w:left="1080" w:header="850" w:footer="975" w:gutter="0"/>
          <w:cols w:space="720" w:num="1"/>
          <w:docGrid w:linePitch="312" w:charSpace="0"/>
        </w:sectPr>
      </w:pPr>
    </w:p>
    <w:p w14:paraId="41393408">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为提高西安高新区市容环境卫生、</w:t>
      </w:r>
      <w:r>
        <w:rPr>
          <w:rFonts w:hint="eastAsia" w:ascii="仿宋_GB2312" w:hAnsi="仿宋_GB2312" w:eastAsia="仿宋_GB2312" w:cs="仿宋_GB2312"/>
          <w:spacing w:val="-3"/>
          <w:sz w:val="24"/>
          <w:szCs w:val="24"/>
        </w:rPr>
        <w:t>绿化养护</w:t>
      </w:r>
      <w:r>
        <w:rPr>
          <w:rFonts w:hint="eastAsia" w:ascii="仿宋_GB2312" w:hAnsi="仿宋_GB2312" w:eastAsia="仿宋_GB2312" w:cs="仿宋_GB2312"/>
          <w:sz w:val="24"/>
          <w:szCs w:val="24"/>
        </w:rPr>
        <w:t>管理水平，营造良好的投资和人居生活环境，实现品质高新最美丽、最干净城区目标，按照《西安市市容环境卫生管理条例》、</w:t>
      </w:r>
      <w:r>
        <w:rPr>
          <w:rFonts w:hint="eastAsia" w:ascii="仿宋_GB2312" w:hAnsi="仿宋_GB2312" w:eastAsia="仿宋_GB2312" w:cs="仿宋_GB2312"/>
          <w:spacing w:val="-1"/>
          <w:sz w:val="24"/>
          <w:szCs w:val="24"/>
        </w:rPr>
        <w:t>《</w:t>
      </w:r>
      <w:r>
        <w:rPr>
          <w:rFonts w:hint="eastAsia" w:ascii="仿宋_GB2312" w:hAnsi="仿宋_GB2312" w:eastAsia="仿宋_GB2312" w:cs="仿宋_GB2312"/>
          <w:sz w:val="24"/>
          <w:szCs w:val="24"/>
        </w:rPr>
        <w:t>西安市城市绿化条例》、《西安高新区环卫保洁精细化作业指引及考核办法》、《高新区绿化养护管理标准2025版》，经甲、乙双方在平等自愿的基础上，本着公平、公正的原则共同协商，就乙方承揽甲方高新区市容环卫、绿化养护项目的事宜达成一致，通过招标程序最终确定由为本项目承包方。特订立本合同，以资共同遵守。</w:t>
      </w:r>
    </w:p>
    <w:p w14:paraId="67CE43E6">
      <w:pPr>
        <w:adjustRightInd w:val="0"/>
        <w:snapToGrid w:val="0"/>
        <w:spacing w:line="360" w:lineRule="auto"/>
        <w:ind w:left="964" w:hanging="964" w:hangingChars="4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第一章</w:t>
      </w:r>
      <w:r>
        <w:rPr>
          <w:rFonts w:hint="eastAsia" w:ascii="仿宋_GB2312" w:hAnsi="仿宋_GB2312" w:eastAsia="仿宋_GB2312" w:cs="仿宋_GB2312"/>
          <w:b/>
          <w:sz w:val="24"/>
          <w:szCs w:val="24"/>
        </w:rPr>
        <w:tab/>
      </w:r>
      <w:r>
        <w:rPr>
          <w:rFonts w:hint="eastAsia" w:ascii="仿宋_GB2312" w:hAnsi="仿宋_GB2312" w:eastAsia="仿宋_GB2312" w:cs="仿宋_GB2312"/>
          <w:b/>
          <w:sz w:val="24"/>
          <w:szCs w:val="24"/>
        </w:rPr>
        <w:t>总    则</w:t>
      </w:r>
    </w:p>
    <w:p w14:paraId="303A7536">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第一条 承包单位必须坚决贯彻《西安市市容环境卫生管理条例》、</w:t>
      </w:r>
      <w:r>
        <w:rPr>
          <w:rFonts w:hint="eastAsia" w:ascii="仿宋_GB2312" w:hAnsi="仿宋_GB2312" w:eastAsia="仿宋_GB2312" w:cs="仿宋_GB2312"/>
          <w:spacing w:val="-1"/>
          <w:sz w:val="24"/>
          <w:szCs w:val="24"/>
        </w:rPr>
        <w:t>《</w:t>
      </w:r>
      <w:r>
        <w:rPr>
          <w:rFonts w:hint="eastAsia" w:ascii="仿宋_GB2312" w:hAnsi="仿宋_GB2312" w:eastAsia="仿宋_GB2312" w:cs="仿宋_GB2312"/>
          <w:sz w:val="24"/>
          <w:szCs w:val="24"/>
        </w:rPr>
        <w:t>西安市城市绿化条例》、《城市道路清扫保洁技术规范》、《高新区绿化养护管理标准2025版》、《西安高新区环卫保洁精细化作业指引及考核办法》、《西安高新区城市道路清扫保洁质量考核办法》、《西安市城市园林绿化植物修剪技术规程》《中华人民共和国农药管理条例》、《中华人民共和国城市容貌标准》等各项内容由并遵守省、市及高新区制定的其它各项市容环卫、绿化养护管理规定。</w:t>
      </w:r>
    </w:p>
    <w:p w14:paraId="6D33FA6C">
      <w:pPr>
        <w:adjustRightInd w:val="0"/>
        <w:snapToGrid w:val="0"/>
        <w:spacing w:line="360" w:lineRule="auto"/>
        <w:ind w:left="964" w:hanging="964" w:hangingChars="4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第二章  承包的主要指标</w:t>
      </w:r>
    </w:p>
    <w:p w14:paraId="288F1DC4">
      <w:pPr>
        <w:adjustRightInd w:val="0"/>
        <w:snapToGrid w:val="0"/>
        <w:spacing w:line="360" w:lineRule="auto"/>
        <w:ind w:left="210" w:firstLine="240" w:firstLineChars="1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第二条 承包项目</w:t>
      </w:r>
    </w:p>
    <w:p w14:paraId="34088198">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1、道路清扫保洁服务</w:t>
      </w:r>
    </w:p>
    <w:p w14:paraId="462A81D9">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条（段）道路共计</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 m</w:t>
      </w:r>
      <w:r>
        <w:rPr>
          <w:rFonts w:hint="eastAsia" w:ascii="仿宋_GB2312" w:hAnsi="仿宋_GB2312" w:eastAsia="仿宋_GB2312" w:cs="仿宋_GB2312"/>
          <w:sz w:val="24"/>
          <w:szCs w:val="24"/>
          <w:vertAlign w:val="superscript"/>
        </w:rPr>
        <w:t xml:space="preserve">2 </w:t>
      </w:r>
      <w:r>
        <w:rPr>
          <w:rFonts w:hint="eastAsia" w:ascii="仿宋_GB2312" w:hAnsi="仿宋_GB2312" w:eastAsia="仿宋_GB2312" w:cs="仿宋_GB2312"/>
          <w:sz w:val="24"/>
          <w:szCs w:val="24"/>
        </w:rPr>
        <w:t>的道路清扫保洁服务。</w:t>
      </w:r>
    </w:p>
    <w:p w14:paraId="37476379">
      <w:pPr>
        <w:pStyle w:val="7"/>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2、公厕管理养护服务</w:t>
      </w:r>
    </w:p>
    <w:p w14:paraId="4DF0EB15">
      <w:pPr>
        <w:adjustRightInd w:val="0"/>
        <w:snapToGrid w:val="0"/>
        <w:spacing w:line="360" w:lineRule="auto"/>
        <w:ind w:firstLine="480" w:firstLineChars="200"/>
        <w:jc w:val="left"/>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座公厕的日常管理养护服务。</w:t>
      </w:r>
    </w:p>
    <w:p w14:paraId="1E946FEE">
      <w:pPr>
        <w:pStyle w:val="7"/>
        <w:adjustRightInd w:val="0"/>
        <w:snapToGrid w:val="0"/>
        <w:spacing w:line="360" w:lineRule="auto"/>
        <w:ind w:firstLine="439"/>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3、道路绿化养护服务</w:t>
      </w:r>
    </w:p>
    <w:p w14:paraId="08C88FFC">
      <w:pPr>
        <w:pStyle w:val="7"/>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条道路共计</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m</w:t>
      </w:r>
      <w:r>
        <w:rPr>
          <w:rFonts w:hint="eastAsia" w:ascii="仿宋_GB2312" w:hAnsi="仿宋_GB2312" w:eastAsia="仿宋_GB2312" w:cs="仿宋_GB2312"/>
          <w:sz w:val="24"/>
          <w:szCs w:val="24"/>
          <w:vertAlign w:val="superscript"/>
        </w:rPr>
        <w:t>2</w:t>
      </w:r>
      <w:r>
        <w:rPr>
          <w:rFonts w:hint="eastAsia" w:ascii="仿宋_GB2312" w:hAnsi="仿宋_GB2312" w:eastAsia="仿宋_GB2312" w:cs="仿宋_GB2312"/>
          <w:sz w:val="24"/>
          <w:szCs w:val="24"/>
        </w:rPr>
        <w:t xml:space="preserve"> 的道路绿化（含侧绿带）养护服务。</w:t>
      </w:r>
    </w:p>
    <w:p w14:paraId="60F99B90">
      <w:pPr>
        <w:adjustRightInd w:val="0"/>
        <w:snapToGrid w:val="0"/>
        <w:spacing w:line="360" w:lineRule="auto"/>
        <w:ind w:left="210" w:firstLine="240" w:firstLineChars="1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第三条 主要指标要求</w:t>
      </w:r>
    </w:p>
    <w:p w14:paraId="6F555114">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1、承包区域的核定清扫保洁工作量的保洁员人数：</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人（其中</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人为双班制，</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人为单班制）；</w:t>
      </w:r>
    </w:p>
    <w:p w14:paraId="4691BA70">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2、用于清扫保洁车辆共</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辆，其中大中型清扫保洁车辆</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辆，中型除雪车</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辆，小型扫地机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台，小型高压清洗车</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辆；</w:t>
      </w:r>
    </w:p>
    <w:p w14:paraId="12E099DC">
      <w:pPr>
        <w:pStyle w:val="7"/>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3、道路绿化养护服务人员设备最低配置：</w:t>
      </w:r>
    </w:p>
    <w:p w14:paraId="07F31AFF">
      <w:pPr>
        <w:pStyle w:val="7"/>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（1）人员配置要求：</w:t>
      </w:r>
    </w:p>
    <w:p w14:paraId="1F6ECA2C">
      <w:pPr>
        <w:pStyle w:val="7"/>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养护工</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人，技术员</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人；区域负责人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人；巡查员</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人；专职安全员</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人；司机（水车、打药车）</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w:t>
      </w:r>
    </w:p>
    <w:p w14:paraId="100A498B">
      <w:pPr>
        <w:pStyle w:val="7"/>
        <w:numPr>
          <w:ilvl w:val="0"/>
          <w:numId w:val="1"/>
        </w:num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机械配置要求：</w:t>
      </w:r>
    </w:p>
    <w:p w14:paraId="482EA596">
      <w:pPr>
        <w:pStyle w:val="7"/>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绿篱修剪机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台；割灌机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台；剪草机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台；打孔机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台；疏草机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台；打药机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台；打药车</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辆；吹风机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台；油锯</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台；高枝油锯</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台；浇水车</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辆。</w:t>
      </w:r>
    </w:p>
    <w:p w14:paraId="6E5A65B5">
      <w:pPr>
        <w:adjustRightInd w:val="0"/>
        <w:snapToGrid w:val="0"/>
        <w:spacing w:line="360" w:lineRule="auto"/>
        <w:ind w:left="210" w:firstLine="240" w:firstLineChars="100"/>
        <w:jc w:val="left"/>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第四条 承包经费情况</w:t>
      </w:r>
    </w:p>
    <w:p w14:paraId="489EF8E5">
      <w:pPr>
        <w:pStyle w:val="9"/>
        <w:adjustRightInd w:val="0"/>
        <w:spacing w:line="360" w:lineRule="auto"/>
        <w:ind w:firstLine="482"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承包总经费：暂定</w:t>
      </w:r>
      <w:r>
        <w:rPr>
          <w:rFonts w:hint="eastAsia" w:ascii="仿宋_GB2312" w:hAnsi="仿宋_GB2312" w:eastAsia="仿宋_GB2312" w:cs="仿宋_GB2312"/>
          <w:b/>
          <w:sz w:val="24"/>
          <w:szCs w:val="24"/>
          <w:u w:val="single"/>
        </w:rPr>
        <w:t xml:space="preserve">             </w:t>
      </w:r>
      <w:r>
        <w:rPr>
          <w:rFonts w:hint="eastAsia" w:ascii="仿宋_GB2312" w:hAnsi="仿宋_GB2312" w:eastAsia="仿宋_GB2312" w:cs="仿宋_GB2312"/>
          <w:b/>
          <w:sz w:val="24"/>
          <w:szCs w:val="24"/>
        </w:rPr>
        <w:t>元/年；</w:t>
      </w:r>
    </w:p>
    <w:p w14:paraId="4886502B">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1、道路清扫保洁项目</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元，综合单价</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年。费用包含：人员工资、社会劳动保险、人身意外保险、劳保福利、周末法定节假日费用、道路范围内无主生活垃圾清运费、夏季降温费及高温补贴、冬季取暖及补助费、劳动工器具及保洁三轮车购置、工服等相关各项费用、设备配置及运营维护；清扫保洁车辆加油、维修、水费、电费、保险、司机工资等一切运行费用，加水点维修及新开户费用，一切因安全事故及人身意外产生的费用。</w:t>
      </w:r>
    </w:p>
    <w:p w14:paraId="5A109623">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2、公厕养护项目</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元，综合单价</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座/年。费用包含：管理人员工资、社会劳动保险、人身意外保险、劳保福利、周末法定节假日费用、夏季降温费及高温补助费、冬季取暖及补助费、劳动工器具购置、工服等相关各项费用、水电费缴纳、小型维修（漏水、堵塞、门窗、顶棚、地面、墙壁、隔断板、大便池、小便池、各类洁器具等设施设备损坏）、中型维修（水路、电路、供水、下水、供电、线缆维修更换）养护等。</w:t>
      </w:r>
    </w:p>
    <w:p w14:paraId="021BA277">
      <w:pPr>
        <w:adjustRightInd w:val="0"/>
        <w:snapToGrid w:val="0"/>
        <w:spacing w:line="360" w:lineRule="auto"/>
        <w:ind w:firstLine="600" w:firstLineChars="250"/>
        <w:jc w:val="left"/>
        <w:rPr>
          <w:rFonts w:hint="eastAsia" w:ascii="仿宋_GB2312" w:hAnsi="仿宋_GB2312" w:eastAsia="仿宋_GB2312" w:cs="仿宋_GB2312"/>
          <w:color w:val="FF0000"/>
          <w:sz w:val="24"/>
          <w:szCs w:val="24"/>
        </w:rPr>
      </w:pPr>
      <w:r>
        <w:rPr>
          <w:rFonts w:hint="eastAsia" w:ascii="仿宋_GB2312" w:hAnsi="仿宋_GB2312" w:eastAsia="仿宋_GB2312" w:cs="仿宋_GB2312"/>
          <w:sz w:val="24"/>
          <w:szCs w:val="24"/>
        </w:rPr>
        <w:t>3、道路绿化养护</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元，综合单价</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年。费用包括：人工费（包含但不限于保洁人员、绿化养护人员、各工种维修人员、安保人员等相关工资、社保、保险、福利等）、管理费、机械费、水费（含硬化、绿化保洁冲洗、绿化养护浇灌等产生的全部自来水费或中水水费）、电费（含现已交付正常使用的照明、设备等运行产生的全部电费）、建筑物及设备设施的小型维护维修费、垃圾清运及处理费，农药费、油料费、肥料费、库房租赁费、利润、税金、风险等。</w:t>
      </w:r>
    </w:p>
    <w:p w14:paraId="6B353677">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4、其他费用：应急保障经费</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元，其中用于市容环卫领域应急保障事项</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包含大风、大雨后的环境面貌恢复，扫雪除冰保畅，秋冬季落叶集中清扫，重大接待活动保障，新增面积临时保洁，上级交办或重大舆情处理等事项，公共卫生间中修及存在安全隐患的维修，费用据实据实结算；用于绿化养护领域应急保障事项</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元：因重大接待和不可预见事故等产生的绿化养护作业频次或范围以外的临时用工、设施设备的抢修、保障安全的设施中修等。</w:t>
      </w:r>
    </w:p>
    <w:p w14:paraId="74C37B81">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应急保障费用计算方法：据实结算，纳入月服务费按月核算支付。</w:t>
      </w:r>
    </w:p>
    <w:p w14:paraId="2EB28B72">
      <w:pPr>
        <w:adjustRightInd w:val="0"/>
        <w:snapToGrid w:val="0"/>
        <w:spacing w:line="360" w:lineRule="auto"/>
        <w:ind w:firstLine="602"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临时用工费</w:t>
      </w:r>
      <w:r>
        <w:rPr>
          <w:rFonts w:hint="eastAsia" w:ascii="仿宋_GB2312" w:hAnsi="仿宋_GB2312" w:eastAsia="仿宋_GB2312" w:cs="仿宋_GB2312"/>
          <w:sz w:val="24"/>
          <w:szCs w:val="24"/>
        </w:rPr>
        <w:t>用核算按照《陕西省最低工资规定》非全日制用工的小时最低工资标准一类区21元、二类区20元，其中原雁塔、长安行政辖区执行一类标准、原鄠邑行政辖区执行二类标准；涉及公厕/驿站、设施设备维护范围外的</w:t>
      </w:r>
      <w:r>
        <w:rPr>
          <w:rFonts w:hint="eastAsia" w:ascii="仿宋_GB2312" w:hAnsi="仿宋_GB2312" w:eastAsia="仿宋_GB2312" w:cs="仿宋_GB2312"/>
          <w:b/>
          <w:sz w:val="24"/>
          <w:szCs w:val="24"/>
        </w:rPr>
        <w:t>中修、抢修</w:t>
      </w:r>
      <w:r>
        <w:rPr>
          <w:rFonts w:hint="eastAsia" w:ascii="仿宋_GB2312" w:hAnsi="仿宋_GB2312" w:eastAsia="仿宋_GB2312" w:cs="仿宋_GB2312"/>
          <w:sz w:val="24"/>
          <w:szCs w:val="24"/>
        </w:rPr>
        <w:t>等急险工作内容，结算价格确认参照工程定额及同期材料市场价，人工费参考陕建发〔2021〕1097号文执行，维修费用经评审审定后计入养护费用结算。苗木补栽费用按照中标服务单价*经验收合格确认的补栽数量据实结算。</w:t>
      </w:r>
    </w:p>
    <w:p w14:paraId="000F4042">
      <w:pPr>
        <w:numPr>
          <w:ilvl w:val="0"/>
          <w:numId w:val="2"/>
        </w:num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承包周期</w:t>
      </w:r>
    </w:p>
    <w:p w14:paraId="43D86FA0">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壹年（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按年签定合同，年度考核合格者，在双方自愿、合同内容不变的情况下可以进行续签，续签不超过2次。每年合同期满前30天，经高新区市容环卫直接管理部门对乙方在合同期内合同履行情况进行考核，考核合格后，在原合同内容不变的前提下可与乙方续签合同。</w:t>
      </w:r>
    </w:p>
    <w:p w14:paraId="614D8B9B">
      <w:pPr>
        <w:adjustRightInd w:val="0"/>
        <w:snapToGrid w:val="0"/>
        <w:spacing w:line="360" w:lineRule="auto"/>
        <w:ind w:left="210" w:firstLine="240" w:firstLineChars="100"/>
        <w:jc w:val="left"/>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第六条 承包的主要作业内容</w:t>
      </w:r>
    </w:p>
    <w:p w14:paraId="2ED93A2F">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（一）道路清扫保洁作业内容</w:t>
      </w:r>
    </w:p>
    <w:p w14:paraId="4E5D51A0">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1、承包区域内所有市政道路红线内（含人行道、快慢行车道、绿化带等）的清扫、保洁、洒水、冲洗及清扫保洁产生垃圾的收集清运工作。</w:t>
      </w:r>
    </w:p>
    <w:p w14:paraId="4B33384C">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2、承包区域可视范围内的道路隔车带、公共绿地、树坑的环卫保洁、垃圾收集及野广告清理工作。</w:t>
      </w:r>
    </w:p>
    <w:p w14:paraId="49589494">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3、承包区域内城市家具的保洁清洗及周边垃圾收集，道路可视范围内零星散落生活垃圾的收集，路牌、灯杆等市政设施的保洁、野广告清除等工作。</w:t>
      </w:r>
    </w:p>
    <w:p w14:paraId="31E56A26">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4、区域内冬季扫雪除冰及后续清运处理工作。</w:t>
      </w:r>
    </w:p>
    <w:p w14:paraId="3F2431F4">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5、清除因不可抗力造成的垃圾抛洒、暴雨洪水造成的积水垃圾等（包括交通事故）。</w:t>
      </w:r>
    </w:p>
    <w:p w14:paraId="044B41A7">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6、所有渠道投诉、舆情的处理。</w:t>
      </w:r>
    </w:p>
    <w:p w14:paraId="737478B0">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7、贯彻落实高新区“精细化保洁”、“大气污染治理”等工作的相关要求。</w:t>
      </w:r>
    </w:p>
    <w:p w14:paraId="7EBE8DCB">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8、甲方安排的其它工作。</w:t>
      </w:r>
    </w:p>
    <w:p w14:paraId="7041A38F">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（二）公厕管理养护服务</w:t>
      </w:r>
    </w:p>
    <w:p w14:paraId="1C3FBF39">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1、区内</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座公厕的日常管理养护工作，包含看护、保洁、清污、水电费缴纳、小型维修（漏水、堵塞、门窗、顶棚、地面、墙壁、隔断板、大便池、小便池、各类洁器具等设施损坏）、中型维修（水路、电路、供水、下水、供电、线缆维修更换）养护等。</w:t>
      </w:r>
    </w:p>
    <w:p w14:paraId="693D95C3">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2、贯彻落实高新区“厕所革命”等工作的相关要求。</w:t>
      </w:r>
    </w:p>
    <w:p w14:paraId="42DAF257">
      <w:pPr>
        <w:adjustRightInd w:val="0"/>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3、甲方安排的其它工作。</w:t>
      </w:r>
    </w:p>
    <w:p w14:paraId="3167CC29">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（三）绿化养护作业内容</w:t>
      </w:r>
    </w:p>
    <w:p w14:paraId="51CD67DC">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承包区域内浇水、施肥、修剪、整形、除杂草、苗木补植、病虫害防治、松土、高台土清理(按照规定落土低于道牙10cm)、绿化养护作业产生的垃圾清理、公共设施的小修、维护与保养(如城市家具、园林小品、挡土墙等)、影音资料的制作、数字化城管等相关投诉的处理、接待工作的环境保障等；采取相应措施维护现有绿化苗木长势良好，并保障区域内道路绿化不出现缺株断垄、死苗留置现象，保证成活率95%。</w:t>
      </w:r>
    </w:p>
    <w:p w14:paraId="6C004D91">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2、作业标准：本合同所有道路按照《高新区绿化养护管理标准2025版》执行。</w:t>
      </w:r>
    </w:p>
    <w:p w14:paraId="31770917">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3、甲方安排的其他工作。</w:t>
      </w:r>
    </w:p>
    <w:p w14:paraId="37E3A183">
      <w:pPr>
        <w:adjustRightInd w:val="0"/>
        <w:snapToGrid w:val="0"/>
        <w:spacing w:line="360" w:lineRule="auto"/>
        <w:ind w:left="210" w:firstLine="240" w:firstLineChars="100"/>
        <w:jc w:val="left"/>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第七条 承包费用的结算依据和付款办法：</w:t>
      </w:r>
    </w:p>
    <w:p w14:paraId="49664F44">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1、付款方式：按照当月养护面积与养护单价据实结算基数，根据每月考评得分分值计算本月应付服务费用。</w:t>
      </w:r>
    </w:p>
    <w:p w14:paraId="0BF5AD7C">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2、依据：据实养护面积、公厕或驿站养护数量、综合养护单价、应急事项处理情况、考核结果。</w:t>
      </w:r>
    </w:p>
    <w:p w14:paraId="0503C517">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道路清扫保洁、生活垃圾清运服务、绿化养护作业的质量标准及工作程序、考核打分、评分结果作为当月付款结算的依据，详见各考核办法。</w:t>
      </w:r>
    </w:p>
    <w:p w14:paraId="7EE8748A">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3、养护费组成及结算方式：</w:t>
      </w:r>
    </w:p>
    <w:p w14:paraId="4F05994C">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保洁单价*当月实际保洁面积+公厕维护单价*当月实际养护数量+绿化养护单价*当月实际养护面积+垃圾清运服务费用+当月应急保障费用=当月承包养护费用。</w:t>
      </w:r>
    </w:p>
    <w:p w14:paraId="437062AE">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每月按照实际核对养护面积，对于新增加或减少的管理面积，双方签字确认的数量为准，并按本合同约定单价增减管理费用。</w:t>
      </w:r>
    </w:p>
    <w:p w14:paraId="7ECFE4C0">
      <w:pPr>
        <w:adjustRightInd w:val="0"/>
        <w:snapToGrid w:val="0"/>
        <w:spacing w:line="360" w:lineRule="auto"/>
        <w:ind w:firstLine="480" w:firstLineChars="200"/>
        <w:jc w:val="left"/>
        <w:rPr>
          <w:rFonts w:hint="eastAsia" w:ascii="仿宋_GB2312" w:hAnsi="仿宋_GB2312" w:eastAsia="仿宋_GB2312" w:cs="仿宋_GB2312"/>
          <w:color w:val="FF0000"/>
          <w:sz w:val="24"/>
          <w:szCs w:val="24"/>
        </w:rPr>
      </w:pPr>
      <w:r>
        <w:rPr>
          <w:rFonts w:hint="eastAsia" w:ascii="仿宋_GB2312" w:hAnsi="仿宋_GB2312" w:eastAsia="仿宋_GB2312" w:cs="仿宋_GB2312"/>
          <w:sz w:val="24"/>
          <w:szCs w:val="24"/>
        </w:rPr>
        <w:t>4、乙方单位对“费用结算单”领取确认后，根据结算单金额开具合法的正式发票办理结算手续。</w:t>
      </w:r>
    </w:p>
    <w:p w14:paraId="36C37619">
      <w:pPr>
        <w:adjustRightInd w:val="0"/>
        <w:snapToGrid w:val="0"/>
        <w:spacing w:line="360" w:lineRule="auto"/>
        <w:ind w:left="964" w:hanging="964" w:hangingChars="4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第三章  甲方的权利与义务</w:t>
      </w:r>
    </w:p>
    <w:p w14:paraId="53DE81CD">
      <w:pPr>
        <w:numPr>
          <w:ilvl w:val="0"/>
          <w:numId w:val="3"/>
        </w:numPr>
        <w:adjustRightInd w:val="0"/>
        <w:snapToGrid w:val="0"/>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甲方的权利如下：</w:t>
      </w:r>
    </w:p>
    <w:p w14:paraId="72E727C4">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1、甲方有权根据省、市上级相关规定，及时修订道路清扫保洁、生活垃圾清运服务、</w:t>
      </w:r>
      <w:r>
        <w:rPr>
          <w:rFonts w:hint="eastAsia" w:ascii="仿宋_GB2312" w:hAnsi="仿宋_GB2312" w:eastAsia="仿宋_GB2312" w:cs="仿宋_GB2312"/>
          <w:spacing w:val="10"/>
          <w:sz w:val="24"/>
          <w:szCs w:val="24"/>
        </w:rPr>
        <w:t>道路绿化养护</w:t>
      </w:r>
      <w:r>
        <w:rPr>
          <w:rFonts w:hint="eastAsia" w:ascii="仿宋_GB2312" w:hAnsi="仿宋_GB2312" w:eastAsia="仿宋_GB2312" w:cs="仿宋_GB2312"/>
          <w:sz w:val="24"/>
          <w:szCs w:val="24"/>
        </w:rPr>
        <w:t>考核标准，按道路等级考核结算承包费用。</w:t>
      </w:r>
    </w:p>
    <w:p w14:paraId="46E8B5C1">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2、甲方有权委托管理单位对乙方的清扫保洁、绿化养护工作进行监督检查和考核。</w:t>
      </w:r>
    </w:p>
    <w:p w14:paraId="431048B4">
      <w:pPr>
        <w:tabs>
          <w:tab w:val="left" w:pos="851"/>
        </w:tabs>
        <w:adjustRightInd w:val="0"/>
        <w:snapToGrid w:val="0"/>
        <w:spacing w:line="360" w:lineRule="auto"/>
        <w:ind w:firstLine="480" w:firstLineChars="200"/>
        <w:jc w:val="left"/>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3、甲方不预付承包费，乙方承包道路保洁、绿化养护劳务期间所产生的费用由乙方承担。乙方须有垫付两个月费用的能力。甲方对各中标单位的工作质量进行监督检查，并按照</w:t>
      </w:r>
      <w:r>
        <w:rPr>
          <w:rFonts w:hint="eastAsia" w:ascii="仿宋_GB2312" w:hAnsi="仿宋_GB2312" w:eastAsia="仿宋_GB2312" w:cs="仿宋_GB2312"/>
          <w:b/>
          <w:spacing w:val="1"/>
          <w:sz w:val="24"/>
          <w:szCs w:val="24"/>
        </w:rPr>
        <w:t>《西</w:t>
      </w:r>
      <w:r>
        <w:rPr>
          <w:rFonts w:hint="eastAsia" w:ascii="仿宋_GB2312" w:hAnsi="仿宋_GB2312" w:eastAsia="仿宋_GB2312" w:cs="仿宋_GB2312"/>
          <w:b/>
          <w:spacing w:val="16"/>
          <w:sz w:val="24"/>
          <w:szCs w:val="24"/>
        </w:rPr>
        <w:t>安高新区绿化养护管理考评办法2025版》</w:t>
      </w:r>
      <w:r>
        <w:rPr>
          <w:rFonts w:hint="eastAsia" w:ascii="仿宋_GB2312" w:hAnsi="仿宋_GB2312" w:eastAsia="仿宋_GB2312" w:cs="仿宋_GB2312"/>
          <w:b/>
          <w:bCs/>
          <w:sz w:val="24"/>
          <w:szCs w:val="24"/>
        </w:rPr>
        <w:t>《西安高新区车辆管理办法及考核细则》《西安高新区环卫保洁精细化作业指引及考核办法》对乙方进行考核。</w:t>
      </w:r>
    </w:p>
    <w:p w14:paraId="6442A8C2">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4、甲方支付乙方承包费用涉及项目的发放和工服、反光背心、工器具配备进行监督检查，未按规定要求执行的甲方有权根据情节轻重给予相应批评教育、扣除一定月承包费用。</w:t>
      </w:r>
    </w:p>
    <w:p w14:paraId="7B0627DB">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5、如遇重大接待、检查及应急预案的紧急启动，甲方有权调用车辆，并监督乙方车辆的使用情况。</w:t>
      </w:r>
    </w:p>
    <w:p w14:paraId="7E8B0AC1">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甲方为提升高新区市容环境整体形象，有权要求乙方以统一标准自行采购工人及其他人员的工作服装（含：春秋两套、夏季两套、冬季防寒服（棉大衣）一套、雨衣一套、反光背心、红袖章），根据承包单位核定人数制作，由承包方承担费用，在签订承包合同前配置完毕，甲方采取不定期方式进行监督考核。</w:t>
      </w:r>
    </w:p>
    <w:p w14:paraId="2D99197A">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7、有权委派道路巡查督导乙方的保洁、绿化管理工作，每日监督检查保洁、绿化养护质量,对存在问题列入限时督办整改。</w:t>
      </w:r>
    </w:p>
    <w:p w14:paraId="2426FD34">
      <w:pPr>
        <w:pStyle w:val="7"/>
        <w:tabs>
          <w:tab w:val="left" w:pos="567"/>
        </w:tabs>
        <w:adjustRightInd w:val="0"/>
        <w:snapToGrid w:val="0"/>
        <w:spacing w:line="360" w:lineRule="auto"/>
        <w:ind w:right="17" w:firstLine="520" w:firstLineChars="200"/>
        <w:jc w:val="left"/>
        <w:rPr>
          <w:rFonts w:hint="eastAsia" w:ascii="仿宋_GB2312" w:hAnsi="仿宋_GB2312" w:eastAsia="仿宋_GB2312" w:cs="仿宋_GB2312"/>
          <w:spacing w:val="-3"/>
          <w:sz w:val="24"/>
          <w:szCs w:val="24"/>
        </w:rPr>
      </w:pPr>
      <w:r>
        <w:rPr>
          <w:rFonts w:hint="eastAsia" w:ascii="仿宋_GB2312" w:hAnsi="仿宋_GB2312" w:eastAsia="仿宋_GB2312" w:cs="仿宋_GB2312"/>
          <w:spacing w:val="10"/>
          <w:sz w:val="24"/>
          <w:szCs w:val="24"/>
        </w:rPr>
        <w:t>8、核定因市政施工、交通事故及不可抗力造成的绿化苗木及园林小品、园林设施</w:t>
      </w:r>
      <w:r>
        <w:rPr>
          <w:rFonts w:hint="eastAsia" w:ascii="仿宋_GB2312" w:hAnsi="仿宋_GB2312" w:eastAsia="仿宋_GB2312" w:cs="仿宋_GB2312"/>
          <w:spacing w:val="9"/>
          <w:sz w:val="24"/>
          <w:szCs w:val="24"/>
        </w:rPr>
        <w:t>设备损</w:t>
      </w:r>
      <w:r>
        <w:rPr>
          <w:rFonts w:hint="eastAsia" w:ascii="仿宋_GB2312" w:hAnsi="仿宋_GB2312" w:eastAsia="仿宋_GB2312" w:cs="仿宋_GB2312"/>
          <w:spacing w:val="-3"/>
          <w:sz w:val="24"/>
          <w:szCs w:val="24"/>
        </w:rPr>
        <w:t>失。</w:t>
      </w:r>
    </w:p>
    <w:p w14:paraId="60B20599">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9、乙方连续三次以上对督办整改问题不予执行或执行不力，且警告无效者，甲方有权终止本合同。</w:t>
      </w:r>
    </w:p>
    <w:p w14:paraId="5F7B7350">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10、甲方有权对本合同涉及附件根据实际情况变化进行补充修订。</w:t>
      </w:r>
    </w:p>
    <w:p w14:paraId="14D583AC">
      <w:pPr>
        <w:numPr>
          <w:ilvl w:val="0"/>
          <w:numId w:val="3"/>
        </w:numPr>
        <w:adjustRightInd w:val="0"/>
        <w:snapToGrid w:val="0"/>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甲方的义务如下：</w:t>
      </w:r>
    </w:p>
    <w:p w14:paraId="1204BB49">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1、甲方应按合同约定支付乙方承包费用，在收到乙方送达合法票据后办理上月费用支付手续。</w:t>
      </w:r>
    </w:p>
    <w:p w14:paraId="7CBAFA41">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2、为乙方提供《城市道路清扫保洁技术规范》、《西安市城市精细化管理标准》《西安高新区绿化养护管理考评办法》2025版《西安高新区绿化养护管理标准》2025版等技术管理文件，提供专业技术支持。</w:t>
      </w:r>
    </w:p>
    <w:p w14:paraId="6062584C">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3、审核乙方上报的管理方案、应急方案、安全文明管理办法等规章制度是否合理可行，提供技术指导和修改意见。</w:t>
      </w:r>
    </w:p>
    <w:p w14:paraId="0D96E82A">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4、甲方将清理绿化、保洁垃圾、野广告相关费用含在月结承包费用内，不另做单独支付，乙方在日常巡检中发现上述问题须自行及时处理。</w:t>
      </w:r>
    </w:p>
    <w:p w14:paraId="469399DD">
      <w:pPr>
        <w:adjustRightInd w:val="0"/>
        <w:snapToGrid w:val="0"/>
        <w:spacing w:line="360" w:lineRule="auto"/>
        <w:ind w:left="964" w:hanging="964" w:hangingChars="400"/>
        <w:jc w:val="left"/>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第四章  乙方的权利与义务</w:t>
      </w:r>
    </w:p>
    <w:p w14:paraId="12B802DD">
      <w:pPr>
        <w:numPr>
          <w:ilvl w:val="0"/>
          <w:numId w:val="3"/>
        </w:numPr>
        <w:adjustRightInd w:val="0"/>
        <w:snapToGrid w:val="0"/>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乙方在承包期间享有如下权利：</w:t>
      </w:r>
    </w:p>
    <w:p w14:paraId="36EA4579">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1、乙方在签订承包合同前须自行购买足够数量的新型高效机械作业设备。以上资产的所有权为乙方所有，日常产生的更换、维修、人员费用由乙方承担。</w:t>
      </w:r>
    </w:p>
    <w:p w14:paraId="27576EA7">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2、决定各自公司的机构设置、人事任免和专业技术人员的聘任，依照有关规定奖惩、招用职工和辞退违纪职工。</w:t>
      </w:r>
    </w:p>
    <w:p w14:paraId="35A7AC00">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3、制定内部分配制度，在符合法律规定的范围内自选工资形式，自定工资标准且不得低于所在市和管辖区规定最低标准。</w:t>
      </w:r>
    </w:p>
    <w:p w14:paraId="458278AA">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4、未经甲方同意，乙方不得擅自变更本保洁在投标文件中认定的承包范围。</w:t>
      </w:r>
    </w:p>
    <w:p w14:paraId="022E0D9A">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5、乙方对签订合同区域必须自行保洁，不得转让、拆分、改变；如出现转让、拆分等情况，甲方有权立即终止承包合同。</w:t>
      </w:r>
    </w:p>
    <w:p w14:paraId="7AACD170">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6、为确保保洁质量，乙方应组织一支技术骨干队伍，建立严格的质量管理体系，操作规范，成效突出。</w:t>
      </w:r>
    </w:p>
    <w:p w14:paraId="099126FF">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7、负责对保洁工人进行安全教育，岗前培训，提供安全作业的一切措施，并承担相应的安全责任及费用。</w:t>
      </w:r>
    </w:p>
    <w:p w14:paraId="13E470E1">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8、服从甲方制定的保洁管理标准和考核评分办法等相关规定。</w:t>
      </w:r>
    </w:p>
    <w:p w14:paraId="1E33AD17">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9、配合甲方完成高新区创卫、创文、ISO14000环保体系认证等重大检查审核工作。</w:t>
      </w:r>
    </w:p>
    <w:p w14:paraId="7BF71244">
      <w:pPr>
        <w:numPr>
          <w:ilvl w:val="0"/>
          <w:numId w:val="3"/>
        </w:numPr>
        <w:adjustRightInd w:val="0"/>
        <w:snapToGrid w:val="0"/>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乙方在承包期间履行的责任和义务：</w:t>
      </w:r>
    </w:p>
    <w:p w14:paraId="517B9DC2">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1、合法从事承包经营，响应政策号召及西安市和高新区相关领导部门的管理规定。</w:t>
      </w:r>
    </w:p>
    <w:p w14:paraId="1525F99C">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2、建立体系齐全的内部管理机制体制及管理架构，报甲方审核后严格执行，保障高水平管理效能。</w:t>
      </w:r>
    </w:p>
    <w:p w14:paraId="15E06671">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3、制定切实可行的管理方案、应急方案、安全文明管理办法等规章制度，报甲方审核后严格执行。</w:t>
      </w:r>
    </w:p>
    <w:p w14:paraId="181EC801">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4、制定符合实际工作需要、科学合理可行的清扫保洁、绿化养护方案，设置管理，人员配置明确，报甲方审核后严格执行。</w:t>
      </w:r>
    </w:p>
    <w:p w14:paraId="0FCD2560">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5、乙方需建立工人工资专项账户，不得拖欠工人工资，同时加强对人员的管理，一切劳资纠纷隐患，必须主动积极协调处理，不得推诿，绝不允许发生员工上访事件。</w:t>
      </w:r>
    </w:p>
    <w:p w14:paraId="14140E8C">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6、承担所属公司员工的工资（不低于西安市规定的最低工资）及与承包经营直接相关的成本费用。</w:t>
      </w:r>
    </w:p>
    <w:p w14:paraId="786AE1B1">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7、必须依照国家有关规定，按期如数缴纳应缴纳的各种税、费和统筹基金。</w:t>
      </w:r>
    </w:p>
    <w:p w14:paraId="458DF6EE">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8、制定具体规章制度，实施合理措施，定期组织员工、专业司机学习业务、安全知识和交通法规，进行业务培训、安全教育，严格要求员工安全作业操作，保证员工及国家财产的安全并形成材料定期上报甲方。</w:t>
      </w:r>
    </w:p>
    <w:p w14:paraId="56A1EBF8">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乙方对一级道路采取两班制进行道路保洁。日常人员出勤不得低于定编人员总数的86%，节假日人员出勤不得低于定编人员总数的80%（遇重大接待检查除外）。乙方为甲方提供保洁员工花名册及身份证明和人员分布图，遇有人员变动应及时变更。甲方根据乙方提供保洁员工花名册不定时、不定点进行人员核查。如日常人员出勤低于定编人员的86%，将按市城市管理局最新标准扣去当月差额百分比的人员工资费用；如节假日人员出勤低于定编人员的80%，将按市城市管理局最新标准扣去差额百分比的环卫人员双倍或三倍当月工资费用。</w:t>
      </w:r>
    </w:p>
    <w:p w14:paraId="160BA06A">
      <w:pPr>
        <w:pStyle w:val="7"/>
        <w:adjustRightInd w:val="0"/>
        <w:snapToGrid w:val="0"/>
        <w:spacing w:line="360" w:lineRule="auto"/>
        <w:ind w:right="21" w:firstLine="480" w:firstLineChars="200"/>
        <w:jc w:val="left"/>
        <w:rPr>
          <w:rFonts w:hint="eastAsia" w:ascii="仿宋_GB2312" w:hAnsi="仿宋_GB2312" w:eastAsia="仿宋_GB2312" w:cs="仿宋_GB2312"/>
          <w:color w:val="FF0000"/>
          <w:sz w:val="24"/>
          <w:szCs w:val="24"/>
        </w:rPr>
      </w:pPr>
      <w:r>
        <w:rPr>
          <w:rFonts w:hint="eastAsia" w:ascii="仿宋_GB2312" w:hAnsi="仿宋_GB2312" w:eastAsia="仿宋_GB2312" w:cs="仿宋_GB2312"/>
          <w:sz w:val="24"/>
          <w:szCs w:val="24"/>
        </w:rPr>
        <w:t>10、乙方进行道路绿化养护日常工作。日常人员出勤不得低于定编人员总数的90%,节假日人员出勤不得低于定编人员总数的75%(遇重大接待检查除外)。 乙方为甲方提供绿化养护员工花名册、身份证明、社保缴纳证明和人员分布图，遇有人员变动应及时变更，并上报城市管理和综合执法局。甲方根据乙方提供绿化养护工花名册不定时、不定点进行人员核查。如日常人员出勤低于定编人员的90%,将按市城市管理和综合执法局最新标准扣去差额百分比的人员工资费用；如节假日人员出勤低于定编人员的75%,将按市城市管理和综合执法局最新标准扣去差额百分比的养护人员双倍或三倍工资费用。</w:t>
      </w:r>
    </w:p>
    <w:p w14:paraId="20D3A126">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11、乙方每日春夏季6:30/秋冬季7:00前完成道路普扫工作，未完成道路普扫、道路漏扫、垃圾收集不及时和其他空挡时间出现保洁不到位情况，甲方在取证后直接给予通报问责。</w:t>
      </w:r>
    </w:p>
    <w:p w14:paraId="16DCA4E1">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12、如遇交通事故等意外情况发生，应立即保护现场、救治伤员、并拨打保险公司报案电话和报警电话，并上报甲方。</w:t>
      </w:r>
    </w:p>
    <w:p w14:paraId="2A844F1D">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13、作为独立法人的公司全部负责处理工作过程中的各类安全事故，并承担相应的责任和费用。因乙方原因造成甲方、乙方或任意第三方人身或财产遭受损害的，由乙方承担赔偿责任。</w:t>
      </w:r>
    </w:p>
    <w:p w14:paraId="0CE0DFEE">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14、享有承包收益，承担承包亏损；承担交通事故由保险公司赔偿后的差额费用。</w:t>
      </w:r>
    </w:p>
    <w:p w14:paraId="20BCAC8F">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15、乙方必须为员工购买人身意外伤害保险。</w:t>
      </w:r>
    </w:p>
    <w:p w14:paraId="65B1BD09">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16、严格遵守并执行甲方的质量标准和考核办法，服从甲方对环境卫生、绿化养护质量的检查监督，切实采取有效措施保证清扫保洁、</w:t>
      </w:r>
      <w:r>
        <w:rPr>
          <w:rFonts w:hint="eastAsia" w:ascii="仿宋_GB2312" w:hAnsi="仿宋_GB2312" w:eastAsia="仿宋_GB2312" w:cs="仿宋_GB2312"/>
          <w:spacing w:val="2"/>
          <w:sz w:val="24"/>
          <w:szCs w:val="24"/>
        </w:rPr>
        <w:t>绿化养护</w:t>
      </w:r>
      <w:r>
        <w:rPr>
          <w:rFonts w:hint="eastAsia" w:ascii="仿宋_GB2312" w:hAnsi="仿宋_GB2312" w:eastAsia="仿宋_GB2312" w:cs="仿宋_GB2312"/>
          <w:sz w:val="24"/>
          <w:szCs w:val="24"/>
        </w:rPr>
        <w:t>质量符合甲方考核标准。</w:t>
      </w:r>
    </w:p>
    <w:p w14:paraId="027CD567">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17、按期完成本合同规定的工作内容和各项临时任务。有义务配合甲方遇重大接待、卫生检查、及应急预案的紧急启动时车辆、人员的集中调配。</w:t>
      </w:r>
    </w:p>
    <w:p w14:paraId="73B5DFF4">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18、合同期满后及时向甲方交回国有资产使用权并确保国有资产的完整。</w:t>
      </w:r>
    </w:p>
    <w:p w14:paraId="227DE1DD">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19、备有物资仓库，生产物资需满足日常作业需求和突发事件应急需求储备;物资仓库需满足相关规定和标准，杜绝安全隐患。</w:t>
      </w:r>
    </w:p>
    <w:p w14:paraId="02B435F6">
      <w:pPr>
        <w:tabs>
          <w:tab w:val="left" w:pos="851"/>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20、乙方保洁工器具须按规定存入保洁工具箱，严禁将工器具乱堆乱放。</w:t>
      </w:r>
    </w:p>
    <w:p w14:paraId="09F4F3A3">
      <w:pPr>
        <w:pStyle w:val="7"/>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21、农药、肥料的保管、使用，农药保管、包装废弃物的回收处理符合《农药管理条例》，肥料包装废弃物可参照实施。</w:t>
      </w:r>
    </w:p>
    <w:p w14:paraId="09BC9DC9">
      <w:pPr>
        <w:pStyle w:val="17"/>
        <w:tabs>
          <w:tab w:val="left" w:pos="851"/>
          <w:tab w:val="left" w:pos="1146"/>
        </w:tabs>
        <w:adjustRightInd w:val="0"/>
        <w:snapToGrid w:val="0"/>
        <w:spacing w:line="360" w:lineRule="auto"/>
        <w:ind w:firstLine="480"/>
        <w:jc w:val="left"/>
        <w:rPr>
          <w:rFonts w:hint="eastAsia" w:ascii="仿宋_GB2312" w:hAnsi="仿宋_GB2312" w:eastAsia="仿宋_GB2312" w:cs="仿宋_GB2312"/>
          <w:sz w:val="24"/>
        </w:rPr>
      </w:pPr>
      <w:r>
        <w:rPr>
          <w:rFonts w:hint="eastAsia" w:ascii="仿宋_GB2312" w:hAnsi="仿宋_GB2312" w:eastAsia="仿宋_GB2312" w:cs="仿宋_GB2312"/>
          <w:sz w:val="24"/>
        </w:rPr>
        <w:t>22、乙方不得在道路、绿化带内私自摆放垃圾桶、设置临时垃圾点，垃圾随产随清。</w:t>
      </w:r>
    </w:p>
    <w:p w14:paraId="6455EE61">
      <w:pPr>
        <w:tabs>
          <w:tab w:val="left" w:pos="851"/>
          <w:tab w:val="left" w:pos="1146"/>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23、本项目拟派项目负责人不得随意更换，乙方如需更换需经甲方同意。如甲方在合同履行过程中对项目负责人不满意，通知乙方更换后，乙方需在5日内更换。乙方拟派的作业人员须身心健康，年龄符合人社部门规定（男性年龄小于60周岁，女性年龄小于50周岁）。</w:t>
      </w:r>
    </w:p>
    <w:p w14:paraId="06C32BBA">
      <w:pPr>
        <w:tabs>
          <w:tab w:val="left" w:pos="851"/>
          <w:tab w:val="left" w:pos="1146"/>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24、承包人自行配备的环卫车辆及设备以保障承包单位项目实施方案的机械化程度及清扫保洁效果。</w:t>
      </w:r>
    </w:p>
    <w:p w14:paraId="62849718">
      <w:pPr>
        <w:tabs>
          <w:tab w:val="left" w:pos="851"/>
          <w:tab w:val="left" w:pos="1146"/>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25、积极响应、贯彻落实高新区“厕所革命”、 “精细化保洁”、“治污减霾”等工作的相关要求。</w:t>
      </w:r>
    </w:p>
    <w:p w14:paraId="09DD97CF">
      <w:pPr>
        <w:tabs>
          <w:tab w:val="left" w:pos="851"/>
          <w:tab w:val="left" w:pos="1146"/>
        </w:tabs>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26、乙方须配备三支应急队伍，每支应急队伍不少于20名精干人员，配备相应的应急车辆和应急工具，处理应急事件，应急预案启动时，甲方有权调派使用。</w:t>
      </w:r>
    </w:p>
    <w:p w14:paraId="1EE777F6">
      <w:pPr>
        <w:pStyle w:val="7"/>
        <w:adjustRightInd w:val="0"/>
        <w:snapToGrid w:val="0"/>
        <w:spacing w:line="360" w:lineRule="auto"/>
        <w:ind w:right="21"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27、绿化养护苗木用水应节约，多采用喷灌、淋灌。积极响应省市区关于中水使用的要求。</w:t>
      </w:r>
    </w:p>
    <w:p w14:paraId="750460EF">
      <w:pPr>
        <w:pStyle w:val="7"/>
        <w:adjustRightInd w:val="0"/>
        <w:snapToGrid w:val="0"/>
        <w:spacing w:line="360" w:lineRule="auto"/>
        <w:ind w:right="21"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28、在承包期内，乙方应特别加强对树木的看护管理，为树木购买大树保险(此费用包含在养护费内),确保在养护区域内的人员、车辆等的安全。发生意外理赔时，负责理赔事项的协调处理。</w:t>
      </w:r>
    </w:p>
    <w:p w14:paraId="17A909B5">
      <w:pPr>
        <w:pStyle w:val="7"/>
        <w:adjustRightInd w:val="0"/>
        <w:snapToGrid w:val="0"/>
        <w:spacing w:line="360" w:lineRule="auto"/>
        <w:ind w:right="21"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29、养护设备应符合国家园林、绿化有关规范和标准。</w:t>
      </w:r>
    </w:p>
    <w:p w14:paraId="7552B293">
      <w:pPr>
        <w:adjustRightInd w:val="0"/>
        <w:snapToGrid w:val="0"/>
        <w:spacing w:line="360" w:lineRule="auto"/>
        <w:ind w:left="964" w:hanging="964" w:hangingChars="4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第五章   合同的变更、解除或终止</w:t>
      </w:r>
    </w:p>
    <w:p w14:paraId="3A832F77">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第十二条 本合同需要变更或解除时，须经双方协商一致达成新的书面协议，在新的书面协议未达成之前，可参照本合同相关条款。</w:t>
      </w:r>
    </w:p>
    <w:p w14:paraId="2B8AD916">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第十三条 本合同履行期间，如国家有关政策与本合同签订时相比使发包方、承包方任何一方利益受到重大影响，受影响的一方需提前一个月提出变更或解除本合同。</w:t>
      </w:r>
    </w:p>
    <w:p w14:paraId="6535DEF9">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第十四条 乙方如管理不善或严重失误导致国有资产无法使用并造成重大损失的甲方有权收回资产，不负违约责任，并保留向乙方要求赔偿损失的权利。如果造成重大损失，则按照实际产生的经济损失要求乙方赔偿。</w:t>
      </w:r>
    </w:p>
    <w:p w14:paraId="05D00EAA">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第十五条 乙方应严格按照国家、省市、相关政策法规执行劳资、劳保、安全等制度，并高度重视维稳工作，如出现乙方员工队伍不稳定、上访等事件，同时造成工作或舆论影响的，甲方有权解除合同。</w:t>
      </w:r>
    </w:p>
    <w:p w14:paraId="79FEA374">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第十六条 乙方不能足额安排道路保洁人员或有意克扣保洁人员工资、福利时（或因甲方扣除乙方承包费而乙方额外扣除保洁员工资及劳保福利等），乙方必须在一日内上齐补足，若不按期补足，甲方有权介入处理。情节严重时甲方有权使用承包费用直接支付工人工资。</w:t>
      </w:r>
    </w:p>
    <w:p w14:paraId="144EEE52">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第十七条 乙方连续两个月道路质量考核不达标，甲方有权解除合同。</w:t>
      </w:r>
    </w:p>
    <w:p w14:paraId="26F2C0ED">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第十八条 乙方连续两个月未规定足额安排保洁人员的，甲方有权解除合同。</w:t>
      </w:r>
    </w:p>
    <w:p w14:paraId="57C16700">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第十九条 由于不可抗力的原因使本合同无法履行或无法完全履行时，甲、乙双方协商一致可以变更或解除本合同。</w:t>
      </w:r>
    </w:p>
    <w:p w14:paraId="3EFE123A">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第二十条 本合同规定的承包期满，甲乙双方的权利、义务履行完毕后，本合同自行终止。</w:t>
      </w:r>
    </w:p>
    <w:p w14:paraId="792D5B05">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第二十一条 因质量原因、保洁管理不到位，违反西安高新区 “厕所革命”、“精细化保洁”、“铁腕治霾”等管理规定管理规定，被媒体曝光，造成重大不良影响的，甲方有权解除合同。</w:t>
      </w:r>
    </w:p>
    <w:p w14:paraId="66901F0D">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第二十二条 由于工作失误造成的安全事故，对社会稳定性产生恶劣影响的，甲方有权解除合同。</w:t>
      </w:r>
    </w:p>
    <w:p w14:paraId="2CE72C7D">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第二十三条 本合同一切解释权归甲方所有。</w:t>
      </w:r>
    </w:p>
    <w:p w14:paraId="1D51378D">
      <w:pPr>
        <w:adjustRightInd w:val="0"/>
        <w:snapToGrid w:val="0"/>
        <w:spacing w:line="360" w:lineRule="auto"/>
        <w:ind w:left="964" w:hanging="964" w:hangingChars="4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第六章    违约责任</w:t>
      </w:r>
    </w:p>
    <w:p w14:paraId="2958435E">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第二十四条 甲、乙双方在履行本合同中产生争议，双方应当先行协商。协商不成的，任一方可向甲方所在地人民法院提起诉讼。</w:t>
      </w:r>
    </w:p>
    <w:p w14:paraId="068F9B9B">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第二十五条 甲方违反合同，未按本合同约定的收费标准和时间付费的，乙方有权要求甲方限期补交并从逾期之日起加收应缴费用的千分之二的滞纳金，逾期仍不交纳的，乙方有权停止相关服务。</w:t>
      </w:r>
    </w:p>
    <w:p w14:paraId="056AC497">
      <w:pPr>
        <w:pStyle w:val="7"/>
        <w:adjustRightInd w:val="0"/>
        <w:snapToGrid w:val="0"/>
        <w:spacing w:line="360" w:lineRule="auto"/>
        <w:ind w:right="86" w:firstLine="488" w:firstLineChars="200"/>
        <w:jc w:val="left"/>
        <w:rPr>
          <w:rFonts w:hint="eastAsia" w:ascii="仿宋_GB2312" w:hAnsi="仿宋_GB2312" w:eastAsia="仿宋_GB2312" w:cs="仿宋_GB2312"/>
          <w:spacing w:val="2"/>
          <w:sz w:val="24"/>
          <w:szCs w:val="24"/>
        </w:rPr>
      </w:pPr>
      <w:r>
        <w:rPr>
          <w:rFonts w:hint="eastAsia" w:ascii="仿宋_GB2312" w:hAnsi="仿宋_GB2312" w:eastAsia="仿宋_GB2312" w:cs="仿宋_GB2312"/>
          <w:spacing w:val="2"/>
          <w:sz w:val="24"/>
          <w:szCs w:val="24"/>
        </w:rPr>
        <w:t>第二十六条 因甲方行为违约导致乙方未能完成管理服务内容和质量标准的，乙方有权要求甲方在一定期限内解决，逾期不解决的，乙方有权终止合同。造成乙方经济损失的，</w:t>
      </w:r>
      <w:r>
        <w:rPr>
          <w:rFonts w:hint="eastAsia" w:ascii="仿宋_GB2312" w:hAnsi="仿宋_GB2312" w:eastAsia="仿宋_GB2312" w:cs="仿宋_GB2312"/>
          <w:spacing w:val="7"/>
          <w:sz w:val="24"/>
          <w:szCs w:val="24"/>
        </w:rPr>
        <w:t>则按照实际产</w:t>
      </w:r>
      <w:r>
        <w:rPr>
          <w:rFonts w:hint="eastAsia" w:ascii="仿宋_GB2312" w:hAnsi="仿宋_GB2312" w:eastAsia="仿宋_GB2312" w:cs="仿宋_GB2312"/>
          <w:spacing w:val="6"/>
          <w:sz w:val="24"/>
          <w:szCs w:val="24"/>
        </w:rPr>
        <w:t>生的经济损失要求甲方赔偿。</w:t>
      </w:r>
    </w:p>
    <w:p w14:paraId="1896B6B1">
      <w:pPr>
        <w:pStyle w:val="7"/>
        <w:adjustRightInd w:val="0"/>
        <w:snapToGrid w:val="0"/>
        <w:spacing w:line="360" w:lineRule="auto"/>
        <w:ind w:right="86" w:firstLine="488"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第二十七条 因乙方行为违约造成甲方利益受到侵害或造成社会影响的，甲方有权要求乙方在一定期限内解决，逾期不解决的，甲方有权终止合同。造成甲方经济损失的，</w:t>
      </w:r>
      <w:r>
        <w:rPr>
          <w:rFonts w:hint="eastAsia" w:ascii="仿宋_GB2312" w:hAnsi="仿宋_GB2312" w:eastAsia="仿宋_GB2312" w:cs="仿宋_GB2312"/>
          <w:spacing w:val="7"/>
          <w:sz w:val="24"/>
          <w:szCs w:val="24"/>
        </w:rPr>
        <w:t>则按照实际产</w:t>
      </w:r>
      <w:r>
        <w:rPr>
          <w:rFonts w:hint="eastAsia" w:ascii="仿宋_GB2312" w:hAnsi="仿宋_GB2312" w:eastAsia="仿宋_GB2312" w:cs="仿宋_GB2312"/>
          <w:spacing w:val="6"/>
          <w:sz w:val="24"/>
          <w:szCs w:val="24"/>
        </w:rPr>
        <w:t>生的经济损失要求乙方赔偿。</w:t>
      </w:r>
    </w:p>
    <w:p w14:paraId="4B6D1E7E">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第二十八条 因乙方质量不达标或保洁工作不到位，甲方下达整改通知，乙方无故不及时响应的，甲方有权指派其他单位进行整改，整改产生的一切费用均由乙方承担，乙方拒不承担时甲方有权直接从乙方报酬中予以扣除。</w:t>
      </w:r>
    </w:p>
    <w:p w14:paraId="42BD4593">
      <w:pPr>
        <w:pStyle w:val="7"/>
        <w:adjustRightInd w:val="0"/>
        <w:snapToGrid w:val="0"/>
        <w:spacing w:line="360" w:lineRule="auto"/>
        <w:ind w:left="-76" w:right="21"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第二十九条 乙方应严格按照国家、省市、相关政策法规执行劳资、劳保、安全等制度，并高度重视维稳工作，如出现乙方员工队伍不稳定、上访等事件，同时造成工作或舆论恶劣影响的，甲方有权解除合同。</w:t>
      </w:r>
    </w:p>
    <w:p w14:paraId="6E43955A">
      <w:pPr>
        <w:adjustRightInd w:val="0"/>
        <w:snapToGrid w:val="0"/>
        <w:spacing w:line="360" w:lineRule="auto"/>
        <w:ind w:left="964" w:hanging="964" w:hangingChars="4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第七章   附   则</w:t>
      </w:r>
    </w:p>
    <w:p w14:paraId="73FCCE36">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第三十条 乙方须优先考虑原有承包区域的保洁人员、</w:t>
      </w:r>
      <w:r>
        <w:rPr>
          <w:rFonts w:hint="eastAsia" w:ascii="仿宋_GB2312" w:hAnsi="仿宋_GB2312" w:eastAsia="仿宋_GB2312" w:cs="仿宋_GB2312"/>
          <w:spacing w:val="10"/>
          <w:sz w:val="24"/>
          <w:szCs w:val="24"/>
        </w:rPr>
        <w:t>绿化养护人员</w:t>
      </w:r>
      <w:r>
        <w:rPr>
          <w:rFonts w:hint="eastAsia" w:ascii="仿宋_GB2312" w:hAnsi="仿宋_GB2312" w:eastAsia="仿宋_GB2312" w:cs="仿宋_GB2312"/>
          <w:sz w:val="24"/>
          <w:szCs w:val="24"/>
        </w:rPr>
        <w:t>劳动就业，在不违反其公司制度的情况下不得无故辞退。乙方作为独立法人的公司，在合同期内产生的劳动争议、安全事故及经济纠纷需自行独立予以解决。</w:t>
      </w:r>
    </w:p>
    <w:p w14:paraId="3963BA47">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第三十一条 发包方的《招标书》、承包方的《投标书》、均为本合同附件，上述文件材料如与本合同正文有矛盾之处，以本合同正文为准。</w:t>
      </w:r>
    </w:p>
    <w:p w14:paraId="475968EA">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第三十二条 本合同由甲乙双方代表签字后生效，合同期满后自动失效。</w:t>
      </w:r>
    </w:p>
    <w:p w14:paraId="7232B3D9">
      <w:pPr>
        <w:adjustRightInd w:val="0"/>
        <w:snapToGrid w:val="0"/>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第三十三条 本合同一式捌份，甲、乙双方各执肆份。</w:t>
      </w:r>
    </w:p>
    <w:p w14:paraId="4E8DB611">
      <w:pPr>
        <w:adjustRightInd w:val="0"/>
        <w:snapToGrid w:val="0"/>
        <w:spacing w:line="360" w:lineRule="auto"/>
        <w:ind w:left="960" w:hanging="960" w:hangingChars="4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（以下无正文）</w:t>
      </w:r>
    </w:p>
    <w:p w14:paraId="51B4563D">
      <w:pPr>
        <w:adjustRightInd w:val="0"/>
        <w:snapToGrid w:val="0"/>
        <w:spacing w:line="360" w:lineRule="auto"/>
        <w:ind w:left="960" w:hanging="960" w:hangingChars="400"/>
        <w:jc w:val="left"/>
        <w:rPr>
          <w:rFonts w:hint="eastAsia" w:ascii="仿宋_GB2312" w:hAnsi="仿宋_GB2312" w:eastAsia="仿宋_GB2312" w:cs="仿宋_GB2312"/>
          <w:sz w:val="24"/>
          <w:szCs w:val="24"/>
        </w:rPr>
      </w:pPr>
    </w:p>
    <w:p w14:paraId="044A7685">
      <w:pPr>
        <w:adjustRightInd w:val="0"/>
        <w:snapToGrid w:val="0"/>
        <w:spacing w:line="360" w:lineRule="auto"/>
        <w:ind w:left="960" w:hanging="960" w:hangingChars="4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甲方（盖章）：                 乙方（盖章）：</w:t>
      </w:r>
    </w:p>
    <w:p w14:paraId="113BD72F">
      <w:pPr>
        <w:adjustRightInd w:val="0"/>
        <w:snapToGrid w:val="0"/>
        <w:spacing w:line="360" w:lineRule="auto"/>
        <w:ind w:left="960" w:hanging="960" w:hangingChars="4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法人代表或                     法人代表或</w:t>
      </w:r>
    </w:p>
    <w:p w14:paraId="571D39A1">
      <w:pPr>
        <w:adjustRightInd w:val="0"/>
        <w:snapToGrid w:val="0"/>
        <w:spacing w:line="360" w:lineRule="auto"/>
        <w:ind w:left="960" w:hanging="960" w:hangingChars="4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委托代理人                     委托代理人</w:t>
      </w:r>
    </w:p>
    <w:p w14:paraId="5B4F91AB">
      <w:pPr>
        <w:adjustRightInd w:val="0"/>
        <w:snapToGrid w:val="0"/>
        <w:spacing w:line="360" w:lineRule="auto"/>
        <w:ind w:left="960" w:hanging="960" w:hangingChars="4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（签字或盖章）：               （签字或盖章）：</w:t>
      </w:r>
    </w:p>
    <w:p w14:paraId="60A5F8E6">
      <w:pPr>
        <w:adjustRightInd w:val="0"/>
        <w:snapToGrid w:val="0"/>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联系电话：                     联系电话：</w:t>
      </w:r>
    </w:p>
    <w:p w14:paraId="7C8FB2FD">
      <w:pPr>
        <w:adjustRightInd w:val="0"/>
        <w:snapToGrid w:val="0"/>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签约时间： 年 月 日</w:t>
      </w:r>
    </w:p>
    <w:p w14:paraId="151813CD">
      <w:pPr>
        <w:spacing w:line="360" w:lineRule="auto"/>
        <w:ind w:left="964" w:hanging="964" w:hangingChars="400"/>
        <w:jc w:val="left"/>
        <w:rPr>
          <w:rFonts w:hint="eastAsia" w:ascii="仿宋_GB2312" w:hAnsi="仿宋_GB2312" w:eastAsia="仿宋_GB2312" w:cs="仿宋_GB2312"/>
          <w:b/>
          <w:sz w:val="24"/>
          <w:szCs w:val="24"/>
        </w:rPr>
      </w:pPr>
    </w:p>
    <w:p w14:paraId="08251B06">
      <w:pPr>
        <w:adjustRightInd w:val="0"/>
        <w:snapToGrid w:val="0"/>
        <w:spacing w:line="360" w:lineRule="auto"/>
        <w:ind w:firstLine="482" w:firstLineChars="2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附件1：西安高新区城市道路清扫保洁质量考核办法</w:t>
      </w:r>
    </w:p>
    <w:p w14:paraId="0522F5FF">
      <w:pPr>
        <w:adjustRightInd w:val="0"/>
        <w:snapToGrid w:val="0"/>
        <w:spacing w:line="360" w:lineRule="auto"/>
        <w:ind w:firstLine="482" w:firstLineChars="2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附件2：西安高新区“厕所革命”检查考核办法</w:t>
      </w:r>
    </w:p>
    <w:p w14:paraId="5DAEE599">
      <w:pPr>
        <w:pStyle w:val="7"/>
        <w:adjustRightInd w:val="0"/>
        <w:snapToGrid w:val="0"/>
        <w:spacing w:line="360" w:lineRule="auto"/>
        <w:ind w:right="2" w:firstLine="482" w:firstLineChars="200"/>
        <w:jc w:val="both"/>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附件3：西安高新区城市绿地管理养护考核办法（2025版）</w:t>
      </w:r>
    </w:p>
    <w:p w14:paraId="3E4F5788">
      <w:pPr>
        <w:adjustRightInd w:val="0"/>
        <w:snapToGrid w:val="0"/>
        <w:spacing w:line="360" w:lineRule="auto"/>
        <w:ind w:firstLine="482" w:firstLineChars="200"/>
        <w:jc w:val="left"/>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附件4：西安高新区车辆管理办法及考核细则</w:t>
      </w:r>
    </w:p>
    <w:p w14:paraId="471A103A">
      <w:pPr>
        <w:pStyle w:val="7"/>
        <w:rPr>
          <w:rFonts w:hint="eastAsia"/>
        </w:rPr>
        <w:sectPr>
          <w:headerReference r:id="rId5" w:type="default"/>
          <w:pgSz w:w="11905" w:h="16838"/>
          <w:pgMar w:top="1440" w:right="1080" w:bottom="1440" w:left="1080" w:header="850" w:footer="975" w:gutter="0"/>
          <w:cols w:space="720" w:num="1"/>
          <w:docGrid w:linePitch="312" w:charSpace="0"/>
        </w:sectPr>
      </w:pPr>
    </w:p>
    <w:p w14:paraId="587147CF">
      <w:pPr>
        <w:spacing w:line="360" w:lineRule="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附件1</w:t>
      </w:r>
    </w:p>
    <w:p w14:paraId="55ABD17C">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8"/>
          <w:szCs w:val="28"/>
        </w:rPr>
        <w:t>西安高新区城市道路清扫保洁质量考核办法</w:t>
      </w:r>
    </w:p>
    <w:p w14:paraId="638287EC">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为全力打造高新区国际化大都市新形象和最佳投资环境，坚持公平、公开、公正的原则,全面、客观做好高新区城市道路清扫保洁质量评比工作。</w:t>
      </w:r>
    </w:p>
    <w:p w14:paraId="75D0BDF1">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（一）考评对象</w:t>
      </w:r>
    </w:p>
    <w:p w14:paraId="1C0DE3A6">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高新区城市道路清扫保洁实施单位。</w:t>
      </w:r>
    </w:p>
    <w:p w14:paraId="4CB03877">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（二）考评范围</w:t>
      </w:r>
    </w:p>
    <w:p w14:paraId="0947030C">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高新区所有已移交的城市道路。</w:t>
      </w:r>
    </w:p>
    <w:p w14:paraId="203BEA4A">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（三）考评方式及内容</w:t>
      </w:r>
    </w:p>
    <w:p w14:paraId="64C4BCB0">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日常检查：由高新区环卫主管部门和城市管理运行平台现场管理人员常态化巡查，发现一般问题通过工作群督办、平台线上派发或者现场督办，严重问题依据保洁公司处罚奖补条款下发处罚通报。</w:t>
      </w:r>
    </w:p>
    <w:p w14:paraId="1CA83AEA">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月度排名：由高新区环卫主管部门和城市管理运行平台联合现场检查、相关保洁公司交叉检查等方式进行月度考核，主要内容为抽取被考核单位3条城市道路进行打分（参照高新区城市道路清扫保洁质量评价表）。</w:t>
      </w:r>
    </w:p>
    <w:p w14:paraId="349B52AB">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（四）评分等次</w:t>
      </w:r>
    </w:p>
    <w:p w14:paraId="4279389E">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优秀（90分以上）</w:t>
      </w:r>
    </w:p>
    <w:p w14:paraId="7B2FCDF4">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良好（85分-90分）</w:t>
      </w:r>
    </w:p>
    <w:p w14:paraId="3C2D904D">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合格（75分-85分）</w:t>
      </w:r>
    </w:p>
    <w:p w14:paraId="37A21888">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差（75分以下）</w:t>
      </w:r>
    </w:p>
    <w:p w14:paraId="4C868087">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（五）考核结果运用</w:t>
      </w:r>
    </w:p>
    <w:p w14:paraId="0F1C586A">
      <w:pPr>
        <w:spacing w:line="360" w:lineRule="auto"/>
        <w:ind w:left="780" w:leftChars="200" w:hanging="360" w:hangingChars="15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日常检查按照保洁公司处罚奖补条款执行。</w:t>
      </w:r>
    </w:p>
    <w:p w14:paraId="22E11840">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月度考核为优秀的，高于90分的分值，每分奖励承包费用的1％；月度考核为良好的不扣不奖；月度考核为合格的，低于85分的分值，每分扣除承包费的1％。连续3个月考核为合格及以下等次的直接终止合同。</w:t>
      </w:r>
    </w:p>
    <w:p w14:paraId="491F4907">
      <w:pPr>
        <w:spacing w:line="360" w:lineRule="auto"/>
        <w:ind w:left="780" w:leftChars="200" w:hanging="360" w:hangingChars="15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br w:type="page"/>
      </w:r>
      <w:r>
        <w:rPr>
          <w:rFonts w:hint="eastAsia" w:ascii="仿宋_GB2312" w:hAnsi="仿宋_GB2312" w:eastAsia="仿宋_GB2312" w:cs="仿宋_GB2312"/>
          <w:b/>
          <w:bCs/>
          <w:sz w:val="24"/>
          <w:szCs w:val="24"/>
        </w:rPr>
        <w:t>1、保洁公司处罚奖补条款</w:t>
      </w:r>
    </w:p>
    <w:tbl>
      <w:tblPr>
        <w:tblStyle w:val="10"/>
        <w:tblW w:w="10100" w:type="dxa"/>
        <w:jc w:val="center"/>
        <w:tblLayout w:type="fixed"/>
        <w:tblCellMar>
          <w:top w:w="0" w:type="dxa"/>
          <w:left w:w="108" w:type="dxa"/>
          <w:bottom w:w="0" w:type="dxa"/>
          <w:right w:w="108" w:type="dxa"/>
        </w:tblCellMar>
      </w:tblPr>
      <w:tblGrid>
        <w:gridCol w:w="863"/>
        <w:gridCol w:w="9237"/>
      </w:tblGrid>
      <w:tr w14:paraId="70A693C6">
        <w:tblPrEx>
          <w:tblCellMar>
            <w:top w:w="0" w:type="dxa"/>
            <w:left w:w="108" w:type="dxa"/>
            <w:bottom w:w="0" w:type="dxa"/>
            <w:right w:w="108" w:type="dxa"/>
          </w:tblCellMar>
        </w:tblPrEx>
        <w:trPr>
          <w:trHeight w:val="669" w:hRule="atLeast"/>
          <w:tblHeader/>
          <w:jc w:val="center"/>
        </w:trPr>
        <w:tc>
          <w:tcPr>
            <w:tcW w:w="863" w:type="dxa"/>
            <w:vMerge w:val="restart"/>
            <w:tcBorders>
              <w:top w:val="single" w:color="auto" w:sz="4" w:space="0"/>
              <w:left w:val="single" w:color="auto" w:sz="4" w:space="0"/>
              <w:bottom w:val="single" w:color="auto" w:sz="4" w:space="0"/>
              <w:right w:val="single" w:color="auto" w:sz="4" w:space="0"/>
            </w:tcBorders>
            <w:noWrap/>
            <w:vAlign w:val="center"/>
          </w:tcPr>
          <w:p w14:paraId="6A0DCEC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9237" w:type="dxa"/>
            <w:vMerge w:val="restart"/>
            <w:tcBorders>
              <w:top w:val="single" w:color="auto" w:sz="4" w:space="0"/>
              <w:left w:val="single" w:color="auto" w:sz="4" w:space="0"/>
              <w:bottom w:val="single" w:color="auto" w:sz="4" w:space="0"/>
              <w:right w:val="single" w:color="auto" w:sz="4" w:space="0"/>
            </w:tcBorders>
            <w:noWrap/>
            <w:vAlign w:val="center"/>
          </w:tcPr>
          <w:p w14:paraId="7D3C52A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细则</w:t>
            </w:r>
          </w:p>
        </w:tc>
      </w:tr>
      <w:tr w14:paraId="7345FEF5">
        <w:tblPrEx>
          <w:tblCellMar>
            <w:top w:w="0" w:type="dxa"/>
            <w:left w:w="108" w:type="dxa"/>
            <w:bottom w:w="0" w:type="dxa"/>
            <w:right w:w="108" w:type="dxa"/>
          </w:tblCellMar>
        </w:tblPrEx>
        <w:trPr>
          <w:trHeight w:val="312" w:hRule="atLeast"/>
          <w:jc w:val="center"/>
        </w:trPr>
        <w:tc>
          <w:tcPr>
            <w:tcW w:w="863" w:type="dxa"/>
            <w:vMerge w:val="continue"/>
            <w:tcBorders>
              <w:top w:val="single" w:color="auto" w:sz="4" w:space="0"/>
              <w:left w:val="single" w:color="auto" w:sz="4" w:space="0"/>
              <w:bottom w:val="single" w:color="auto" w:sz="4" w:space="0"/>
              <w:right w:val="single" w:color="auto" w:sz="4" w:space="0"/>
            </w:tcBorders>
            <w:noWrap/>
            <w:vAlign w:val="center"/>
          </w:tcPr>
          <w:p w14:paraId="0C416D57">
            <w:pPr>
              <w:jc w:val="center"/>
              <w:rPr>
                <w:rFonts w:hint="eastAsia" w:ascii="仿宋_GB2312" w:hAnsi="仿宋_GB2312" w:eastAsia="仿宋_GB2312" w:cs="仿宋_GB2312"/>
                <w:sz w:val="24"/>
                <w:szCs w:val="24"/>
              </w:rPr>
            </w:pPr>
          </w:p>
        </w:tc>
        <w:tc>
          <w:tcPr>
            <w:tcW w:w="9237" w:type="dxa"/>
            <w:vMerge w:val="continue"/>
            <w:tcBorders>
              <w:top w:val="single" w:color="auto" w:sz="4" w:space="0"/>
              <w:left w:val="single" w:color="auto" w:sz="4" w:space="0"/>
              <w:bottom w:val="single" w:color="auto" w:sz="4" w:space="0"/>
              <w:right w:val="single" w:color="auto" w:sz="4" w:space="0"/>
            </w:tcBorders>
            <w:noWrap/>
            <w:vAlign w:val="center"/>
          </w:tcPr>
          <w:p w14:paraId="64BC4F00">
            <w:pPr>
              <w:rPr>
                <w:rFonts w:hint="eastAsia" w:ascii="仿宋_GB2312" w:hAnsi="仿宋_GB2312" w:eastAsia="仿宋_GB2312" w:cs="仿宋_GB2312"/>
                <w:sz w:val="24"/>
                <w:szCs w:val="24"/>
              </w:rPr>
            </w:pPr>
          </w:p>
        </w:tc>
      </w:tr>
      <w:tr w14:paraId="6562D578">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20C6F3D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9237" w:type="dxa"/>
            <w:tcBorders>
              <w:top w:val="nil"/>
              <w:left w:val="nil"/>
              <w:bottom w:val="single" w:color="auto" w:sz="4" w:space="0"/>
              <w:right w:val="single" w:color="auto" w:sz="4" w:space="0"/>
            </w:tcBorders>
            <w:noWrap/>
            <w:vAlign w:val="center"/>
          </w:tcPr>
          <w:p w14:paraId="175198A8">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高新区环卫主管部门现场管理人员在日常巡查中发现严重问题的，下发处罚通报，每个通报处罚2000元。</w:t>
            </w:r>
          </w:p>
        </w:tc>
      </w:tr>
      <w:tr w14:paraId="44BB0AE3">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1AD224AA">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9237" w:type="dxa"/>
            <w:tcBorders>
              <w:top w:val="single" w:color="auto" w:sz="4" w:space="0"/>
              <w:left w:val="single" w:color="auto" w:sz="4" w:space="0"/>
              <w:bottom w:val="single" w:color="auto" w:sz="4" w:space="0"/>
              <w:right w:val="single" w:color="auto" w:sz="4" w:space="0"/>
            </w:tcBorders>
            <w:noWrap/>
            <w:vAlign w:val="center"/>
          </w:tcPr>
          <w:p w14:paraId="5695243F">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高新区组织的 “铁腕治霾”工作检查发现市容环境相关问题，根据情节扣除所在区域承包单位月考核1000—10000元；市级领导部门组织的 “铁腕治霾”工作检查发现市容环境相关问题，根据情节扣除所在区域承包单位月考核5000—20000元。</w:t>
            </w:r>
          </w:p>
        </w:tc>
      </w:tr>
      <w:tr w14:paraId="7AC23645">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023D99D1">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9237" w:type="dxa"/>
            <w:tcBorders>
              <w:top w:val="single" w:color="auto" w:sz="4" w:space="0"/>
              <w:left w:val="single" w:color="auto" w:sz="4" w:space="0"/>
              <w:bottom w:val="single" w:color="auto" w:sz="4" w:space="0"/>
              <w:right w:val="single" w:color="auto" w:sz="4" w:space="0"/>
            </w:tcBorders>
            <w:noWrap/>
            <w:vAlign w:val="center"/>
          </w:tcPr>
          <w:p w14:paraId="2843B5EF">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市容环境问题被高新区内媒体或报刊曝光，扣除所在区域承包单位5000元；市容环境问题被市级媒体或报刊曝光，扣除所在区域承包单位10000元。</w:t>
            </w:r>
          </w:p>
        </w:tc>
      </w:tr>
      <w:tr w14:paraId="4E00435C">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2C650E1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9237" w:type="dxa"/>
            <w:tcBorders>
              <w:top w:val="single" w:color="auto" w:sz="4" w:space="0"/>
              <w:left w:val="single" w:color="auto" w:sz="4" w:space="0"/>
              <w:bottom w:val="single" w:color="auto" w:sz="4" w:space="0"/>
              <w:right w:val="single" w:color="auto" w:sz="4" w:space="0"/>
            </w:tcBorders>
            <w:noWrap/>
            <w:vAlign w:val="center"/>
          </w:tcPr>
          <w:p w14:paraId="17395BEC">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高新区相关部门督办单督办整改问题，扣除所在区域承包单位2000元；市级相关部门督办单督办整改问题，扣除所在区域承包单位5000元。</w:t>
            </w:r>
          </w:p>
        </w:tc>
      </w:tr>
      <w:tr w14:paraId="31F27F86">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1453F72D">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9237" w:type="dxa"/>
            <w:tcBorders>
              <w:top w:val="single" w:color="auto" w:sz="4" w:space="0"/>
              <w:left w:val="single" w:color="auto" w:sz="4" w:space="0"/>
              <w:bottom w:val="single" w:color="auto" w:sz="4" w:space="0"/>
              <w:right w:val="single" w:color="auto" w:sz="4" w:space="0"/>
            </w:tcBorders>
            <w:noWrap/>
            <w:vAlign w:val="center"/>
          </w:tcPr>
          <w:p w14:paraId="60AC77E6">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创卫、创文等重大迎复审工作检查出的市容环境相关问题，或思想不重视，行动不积极，措施不得力，整改不认真，扣除所在区域承包单位月考核50000元。</w:t>
            </w:r>
          </w:p>
        </w:tc>
      </w:tr>
      <w:tr w14:paraId="4BCCABB2">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01E317C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9237" w:type="dxa"/>
            <w:tcBorders>
              <w:top w:val="single" w:color="auto" w:sz="4" w:space="0"/>
              <w:left w:val="single" w:color="auto" w:sz="4" w:space="0"/>
              <w:bottom w:val="single" w:color="auto" w:sz="4" w:space="0"/>
              <w:right w:val="single" w:color="auto" w:sz="4" w:space="0"/>
            </w:tcBorders>
            <w:noWrap/>
            <w:vAlign w:val="center"/>
          </w:tcPr>
          <w:p w14:paraId="767F498B">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在正常作业安排和接待检查时，不听从上级部门主管调遣、安排或落实工作不及时、整治不得力，扣除所区域在承包单位月考核5000元。</w:t>
            </w:r>
          </w:p>
        </w:tc>
      </w:tr>
      <w:tr w14:paraId="62162E66">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3370E11D">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9237" w:type="dxa"/>
            <w:tcBorders>
              <w:top w:val="single" w:color="auto" w:sz="4" w:space="0"/>
              <w:left w:val="single" w:color="auto" w:sz="4" w:space="0"/>
              <w:bottom w:val="single" w:color="auto" w:sz="4" w:space="0"/>
              <w:right w:val="single" w:color="auto" w:sz="4" w:space="0"/>
            </w:tcBorders>
            <w:noWrap/>
            <w:vAlign w:val="center"/>
          </w:tcPr>
          <w:p w14:paraId="0645F3BB">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环卫工存在拾荒或不在工作状态现象，扣除所在区域承包单位月考核1000元。</w:t>
            </w:r>
          </w:p>
        </w:tc>
      </w:tr>
      <w:tr w14:paraId="4D783F7C">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7C2B13A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9237" w:type="dxa"/>
            <w:tcBorders>
              <w:top w:val="single" w:color="auto" w:sz="4" w:space="0"/>
              <w:left w:val="single" w:color="auto" w:sz="4" w:space="0"/>
              <w:bottom w:val="single" w:color="auto" w:sz="4" w:space="0"/>
              <w:right w:val="single" w:color="auto" w:sz="4" w:space="0"/>
            </w:tcBorders>
            <w:noWrap/>
            <w:vAlign w:val="center"/>
          </w:tcPr>
          <w:p w14:paraId="346509A5">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在检查中发现道路严重缺员，根据情节扣除所在区域承包单位月考核10000—50000元。</w:t>
            </w:r>
          </w:p>
        </w:tc>
      </w:tr>
      <w:tr w14:paraId="40E49304">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24F781B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9237" w:type="dxa"/>
            <w:tcBorders>
              <w:top w:val="single" w:color="auto" w:sz="4" w:space="0"/>
              <w:left w:val="single" w:color="auto" w:sz="4" w:space="0"/>
              <w:bottom w:val="single" w:color="auto" w:sz="4" w:space="0"/>
              <w:right w:val="single" w:color="auto" w:sz="4" w:space="0"/>
            </w:tcBorders>
            <w:noWrap/>
            <w:vAlign w:val="center"/>
          </w:tcPr>
          <w:p w14:paraId="5F080763">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同一条道路经常出现保洁不到位现象，扣除所在区域承包单位月考核5000元。</w:t>
            </w:r>
          </w:p>
        </w:tc>
      </w:tr>
      <w:tr w14:paraId="0C632D9F">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4A84CB3E">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9237" w:type="dxa"/>
            <w:tcBorders>
              <w:top w:val="single" w:color="auto" w:sz="4" w:space="0"/>
              <w:left w:val="single" w:color="auto" w:sz="4" w:space="0"/>
              <w:bottom w:val="single" w:color="auto" w:sz="4" w:space="0"/>
              <w:right w:val="single" w:color="auto" w:sz="4" w:space="0"/>
            </w:tcBorders>
            <w:noWrap/>
            <w:vAlign w:val="center"/>
          </w:tcPr>
          <w:p w14:paraId="7D92531E">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环卫工将树叶、垃圾、尘土等扫入绿化带、下水井，扣除所在区域承包单位月考核2000元。</w:t>
            </w:r>
          </w:p>
        </w:tc>
      </w:tr>
      <w:tr w14:paraId="3BC81B2E">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01E2911B">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9237" w:type="dxa"/>
            <w:tcBorders>
              <w:top w:val="single" w:color="auto" w:sz="4" w:space="0"/>
              <w:left w:val="single" w:color="auto" w:sz="4" w:space="0"/>
              <w:bottom w:val="single" w:color="auto" w:sz="4" w:space="0"/>
              <w:right w:val="single" w:color="auto" w:sz="4" w:space="0"/>
            </w:tcBorders>
            <w:noWrap/>
            <w:vAlign w:val="center"/>
          </w:tcPr>
          <w:p w14:paraId="656AF5C5">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焚烧垃圾、落叶、杂物或对焚烧垃圾、落叶、杂物的扣除所在区域承包单位月考核10000元。</w:t>
            </w:r>
          </w:p>
        </w:tc>
      </w:tr>
      <w:tr w14:paraId="1CC28A1F">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30FA89E1">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9237" w:type="dxa"/>
            <w:tcBorders>
              <w:top w:val="single" w:color="auto" w:sz="4" w:space="0"/>
              <w:left w:val="nil"/>
              <w:bottom w:val="single" w:color="auto" w:sz="4" w:space="0"/>
              <w:right w:val="single" w:color="auto" w:sz="4" w:space="0"/>
            </w:tcBorders>
            <w:noWrap/>
            <w:vAlign w:val="center"/>
          </w:tcPr>
          <w:p w14:paraId="3F5C05F5">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道路灰带、扬尘冲洗降尘不及时，扣除所在区域承包单位月考核5000元。</w:t>
            </w:r>
          </w:p>
        </w:tc>
      </w:tr>
      <w:tr w14:paraId="4001A183">
        <w:tblPrEx>
          <w:tblCellMar>
            <w:top w:w="0" w:type="dxa"/>
            <w:left w:w="108" w:type="dxa"/>
            <w:bottom w:w="0" w:type="dxa"/>
            <w:right w:w="108" w:type="dxa"/>
          </w:tblCellMar>
        </w:tblPrEx>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200DC175">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c>
          <w:tcPr>
            <w:tcW w:w="9237" w:type="dxa"/>
            <w:tcBorders>
              <w:top w:val="nil"/>
              <w:left w:val="nil"/>
              <w:bottom w:val="single" w:color="auto" w:sz="4" w:space="0"/>
              <w:right w:val="single" w:color="auto" w:sz="4" w:space="0"/>
            </w:tcBorders>
            <w:noWrap/>
            <w:vAlign w:val="center"/>
          </w:tcPr>
          <w:p w14:paraId="6F68257B">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市级各部门月考核检查通报问题，轻微的扣除该承包单位月考核5000元，严重的扣除所在区域承包单位月考核10000元。</w:t>
            </w:r>
          </w:p>
        </w:tc>
      </w:tr>
      <w:tr w14:paraId="15100E24">
        <w:tblPrEx>
          <w:tblCellMar>
            <w:top w:w="0" w:type="dxa"/>
            <w:left w:w="108" w:type="dxa"/>
            <w:bottom w:w="0" w:type="dxa"/>
            <w:right w:w="108" w:type="dxa"/>
          </w:tblCellMar>
        </w:tblPrEx>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054A8F8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w:t>
            </w:r>
          </w:p>
        </w:tc>
        <w:tc>
          <w:tcPr>
            <w:tcW w:w="9237" w:type="dxa"/>
            <w:tcBorders>
              <w:top w:val="nil"/>
              <w:left w:val="nil"/>
              <w:bottom w:val="single" w:color="auto" w:sz="4" w:space="0"/>
              <w:right w:val="single" w:color="auto" w:sz="4" w:space="0"/>
            </w:tcBorders>
            <w:noWrap/>
            <w:vAlign w:val="center"/>
          </w:tcPr>
          <w:p w14:paraId="0D30281A">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接到上级部门指示，遇到火灾火情各承包单位应无条件执行，必须在30分钟内到达火灾现场，无未按规定执行或未按时到达的，扣除所在区域承包单位月考核10000元。</w:t>
            </w:r>
          </w:p>
        </w:tc>
      </w:tr>
      <w:tr w14:paraId="2268533A">
        <w:tblPrEx>
          <w:tblCellMar>
            <w:top w:w="0" w:type="dxa"/>
            <w:left w:w="108" w:type="dxa"/>
            <w:bottom w:w="0" w:type="dxa"/>
            <w:right w:w="108" w:type="dxa"/>
          </w:tblCellMar>
        </w:tblPrEx>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0D2ACF7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c>
          <w:tcPr>
            <w:tcW w:w="9237" w:type="dxa"/>
            <w:tcBorders>
              <w:top w:val="nil"/>
              <w:left w:val="nil"/>
              <w:bottom w:val="single" w:color="auto" w:sz="4" w:space="0"/>
              <w:right w:val="single" w:color="auto" w:sz="4" w:space="0"/>
            </w:tcBorders>
            <w:noWrap/>
            <w:vAlign w:val="center"/>
          </w:tcPr>
          <w:p w14:paraId="6D16D9DA">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环卫工私自上访，聚众闹事的，根据情节扣除所在区域承包单位月考核10000—50000元。</w:t>
            </w:r>
          </w:p>
        </w:tc>
      </w:tr>
      <w:tr w14:paraId="06C8ECF5">
        <w:tblPrEx>
          <w:tblCellMar>
            <w:top w:w="0" w:type="dxa"/>
            <w:left w:w="108" w:type="dxa"/>
            <w:bottom w:w="0" w:type="dxa"/>
            <w:right w:w="108" w:type="dxa"/>
          </w:tblCellMar>
        </w:tblPrEx>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3B8BB881">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w:t>
            </w:r>
          </w:p>
        </w:tc>
        <w:tc>
          <w:tcPr>
            <w:tcW w:w="9237" w:type="dxa"/>
            <w:tcBorders>
              <w:top w:val="nil"/>
              <w:left w:val="nil"/>
              <w:bottom w:val="single" w:color="auto" w:sz="4" w:space="0"/>
              <w:right w:val="single" w:color="auto" w:sz="4" w:space="0"/>
            </w:tcBorders>
            <w:noWrap/>
            <w:vAlign w:val="center"/>
          </w:tcPr>
          <w:p w14:paraId="1EEC864B">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遇下雨、下雪等特殊天气，应急工作开展不及时或不得力，扣除所在区域承包单位月考核10000元。</w:t>
            </w:r>
          </w:p>
        </w:tc>
      </w:tr>
      <w:tr w14:paraId="3927BCBC">
        <w:tblPrEx>
          <w:tblCellMar>
            <w:top w:w="0" w:type="dxa"/>
            <w:left w:w="108" w:type="dxa"/>
            <w:bottom w:w="0" w:type="dxa"/>
            <w:right w:w="108" w:type="dxa"/>
          </w:tblCellMar>
        </w:tblPrEx>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7042BAB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w:t>
            </w:r>
          </w:p>
        </w:tc>
        <w:tc>
          <w:tcPr>
            <w:tcW w:w="9237" w:type="dxa"/>
            <w:tcBorders>
              <w:top w:val="nil"/>
              <w:left w:val="nil"/>
              <w:bottom w:val="single" w:color="auto" w:sz="4" w:space="0"/>
              <w:right w:val="single" w:color="auto" w:sz="4" w:space="0"/>
            </w:tcBorders>
            <w:noWrap/>
            <w:vAlign w:val="center"/>
          </w:tcPr>
          <w:p w14:paraId="35B2055C">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每月开展2次大冲洗、大擦洗、大清理活动，如未按规定执行或活动开展不力，每次扣除所在区域承包单位月考核5000元。</w:t>
            </w:r>
          </w:p>
        </w:tc>
      </w:tr>
      <w:tr w14:paraId="3C50CC5B">
        <w:tblPrEx>
          <w:tblCellMar>
            <w:top w:w="0" w:type="dxa"/>
            <w:left w:w="108" w:type="dxa"/>
            <w:bottom w:w="0" w:type="dxa"/>
            <w:right w:w="108" w:type="dxa"/>
          </w:tblCellMar>
        </w:tblPrEx>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393DE95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w:t>
            </w:r>
          </w:p>
        </w:tc>
        <w:tc>
          <w:tcPr>
            <w:tcW w:w="9237" w:type="dxa"/>
            <w:tcBorders>
              <w:top w:val="nil"/>
              <w:left w:val="nil"/>
              <w:bottom w:val="single" w:color="auto" w:sz="4" w:space="0"/>
              <w:right w:val="single" w:color="auto" w:sz="4" w:space="0"/>
            </w:tcBorders>
            <w:noWrap/>
            <w:vAlign w:val="center"/>
          </w:tcPr>
          <w:p w14:paraId="58213F66">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不按指定加水点加水，在他处乱取水被投诉或媒体曝光的，扣除所在区域承包单位月考核5000元。</w:t>
            </w:r>
          </w:p>
        </w:tc>
      </w:tr>
      <w:tr w14:paraId="51A1D095">
        <w:tblPrEx>
          <w:tblCellMar>
            <w:top w:w="0" w:type="dxa"/>
            <w:left w:w="108" w:type="dxa"/>
            <w:bottom w:w="0" w:type="dxa"/>
            <w:right w:w="108" w:type="dxa"/>
          </w:tblCellMar>
        </w:tblPrEx>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65D47C2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w:t>
            </w:r>
          </w:p>
        </w:tc>
        <w:tc>
          <w:tcPr>
            <w:tcW w:w="9237" w:type="dxa"/>
            <w:tcBorders>
              <w:top w:val="nil"/>
              <w:left w:val="nil"/>
              <w:bottom w:val="single" w:color="auto" w:sz="4" w:space="0"/>
              <w:right w:val="single" w:color="auto" w:sz="4" w:space="0"/>
            </w:tcBorders>
            <w:noWrap/>
            <w:vAlign w:val="center"/>
          </w:tcPr>
          <w:p w14:paraId="32CD2924">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各承包单位须有专人监管、派发、回复数字化案卷，对转派的数字化待办案卷须及时处理，处理过程计入时效考核，从信息中心派发案卷起1.5小时内处理回复视为有效处理。超出1.5小时回复处理的视为超时处理，每个案卷扣除该承包单位月考核500元；如隔天有未处理回复的待办案卷，每个案卷扣除该承包单位月考核1000元；如出现有压置不处理待办案卷的承包单位，每个案卷扣除该承包单位月考核2000元。</w:t>
            </w:r>
          </w:p>
        </w:tc>
      </w:tr>
      <w:tr w14:paraId="1A502F4D">
        <w:tblPrEx>
          <w:tblCellMar>
            <w:top w:w="0" w:type="dxa"/>
            <w:left w:w="108" w:type="dxa"/>
            <w:bottom w:w="0" w:type="dxa"/>
            <w:right w:w="108" w:type="dxa"/>
          </w:tblCellMar>
        </w:tblPrEx>
        <w:trPr>
          <w:trHeight w:val="540" w:hRule="atLeast"/>
          <w:jc w:val="center"/>
        </w:trPr>
        <w:tc>
          <w:tcPr>
            <w:tcW w:w="863" w:type="dxa"/>
            <w:tcBorders>
              <w:top w:val="nil"/>
              <w:left w:val="single" w:color="auto" w:sz="4" w:space="0"/>
              <w:bottom w:val="single" w:color="auto" w:sz="4" w:space="0"/>
              <w:right w:val="single" w:color="auto" w:sz="4" w:space="0"/>
            </w:tcBorders>
            <w:noWrap/>
            <w:vAlign w:val="center"/>
          </w:tcPr>
          <w:p w14:paraId="18BFE07E">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c>
          <w:tcPr>
            <w:tcW w:w="9237" w:type="dxa"/>
            <w:tcBorders>
              <w:top w:val="nil"/>
              <w:left w:val="nil"/>
              <w:bottom w:val="single" w:color="auto" w:sz="4" w:space="0"/>
              <w:right w:val="single" w:color="auto" w:sz="4" w:space="0"/>
            </w:tcBorders>
            <w:noWrap/>
            <w:vAlign w:val="center"/>
          </w:tcPr>
          <w:p w14:paraId="60C73FC2">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各承包单位在收到待办案卷后，须无条件在规定时效内处理回复。如出现有案卷不在保洁范围内或职责内，需说明具体原因并驳回；如出现属于自身职责范围内的案卷而驳回的承包单位，视为压置不处理案卷，每个案卷扣除该承包单位月考核2000元。</w:t>
            </w:r>
          </w:p>
        </w:tc>
      </w:tr>
      <w:tr w14:paraId="00D50CBB">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5417E60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w:t>
            </w:r>
          </w:p>
        </w:tc>
        <w:tc>
          <w:tcPr>
            <w:tcW w:w="9237" w:type="dxa"/>
            <w:tcBorders>
              <w:top w:val="single" w:color="auto" w:sz="4" w:space="0"/>
              <w:left w:val="single" w:color="auto" w:sz="4" w:space="0"/>
              <w:bottom w:val="single" w:color="auto" w:sz="4" w:space="0"/>
              <w:right w:val="single" w:color="auto" w:sz="4" w:space="0"/>
            </w:tcBorders>
            <w:noWrap/>
            <w:vAlign w:val="center"/>
          </w:tcPr>
          <w:p w14:paraId="3B296B75">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各承包单位在待办案卷处理完成后，须及时上传处理后照片（如一张不能说明问题，须上传有效数量的照片以说明问题），上传照片须清晰并与原图片相符。如出现未上传照片或上传照片与原图片不符提交案卷被中心平台驳回的承包单位，每个案卷扣除该承包单位月考核1000元。</w:t>
            </w:r>
          </w:p>
        </w:tc>
      </w:tr>
      <w:tr w14:paraId="33122E3C">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7377613F">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22</w:t>
            </w:r>
          </w:p>
        </w:tc>
        <w:tc>
          <w:tcPr>
            <w:tcW w:w="9237" w:type="dxa"/>
            <w:tcBorders>
              <w:top w:val="single" w:color="auto" w:sz="4" w:space="0"/>
              <w:left w:val="single" w:color="auto" w:sz="4" w:space="0"/>
              <w:bottom w:val="single" w:color="auto" w:sz="4" w:space="0"/>
              <w:right w:val="single" w:color="auto" w:sz="4" w:space="0"/>
            </w:tcBorders>
            <w:noWrap/>
            <w:vAlign w:val="center"/>
          </w:tcPr>
          <w:p w14:paraId="5F720E79">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各承包单位收到的待办案卷如有地址描述不清楚或未附整改图片的，须及时联系环卫部业务主管核实情况，严禁随意驳回，如出现随意驳回案卷的承包单位，每个案卷扣除该承包单位月考核1000元。</w:t>
            </w:r>
          </w:p>
        </w:tc>
      </w:tr>
      <w:tr w14:paraId="29E1EEFA">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5F79F50D">
            <w:pPr>
              <w:jc w:val="center"/>
              <w:rPr>
                <w:rFonts w:hint="eastAsia" w:ascii="仿宋_GB2312" w:hAnsi="仿宋_GB2312" w:eastAsia="仿宋_GB2312" w:cs="仿宋_GB2312"/>
                <w:sz w:val="24"/>
                <w:szCs w:val="24"/>
              </w:rPr>
            </w:pPr>
          </w:p>
        </w:tc>
        <w:tc>
          <w:tcPr>
            <w:tcW w:w="9237" w:type="dxa"/>
            <w:tcBorders>
              <w:top w:val="single" w:color="auto" w:sz="4" w:space="0"/>
              <w:left w:val="single" w:color="auto" w:sz="4" w:space="0"/>
              <w:bottom w:val="single" w:color="auto" w:sz="4" w:space="0"/>
              <w:right w:val="single" w:color="auto" w:sz="4" w:space="0"/>
            </w:tcBorders>
            <w:noWrap/>
            <w:vAlign w:val="center"/>
          </w:tcPr>
          <w:p w14:paraId="6ACEE801">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奖补加分</w:t>
            </w:r>
          </w:p>
        </w:tc>
      </w:tr>
      <w:tr w14:paraId="20CADBA6">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57C0FE3E">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9237" w:type="dxa"/>
            <w:tcBorders>
              <w:top w:val="single" w:color="auto" w:sz="4" w:space="0"/>
              <w:left w:val="single" w:color="auto" w:sz="4" w:space="0"/>
              <w:bottom w:val="single" w:color="auto" w:sz="4" w:space="0"/>
              <w:right w:val="single" w:color="auto" w:sz="4" w:space="0"/>
            </w:tcBorders>
            <w:noWrap/>
            <w:vAlign w:val="center"/>
          </w:tcPr>
          <w:p w14:paraId="7D35AB7F">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道路保洁车辆（中大型机扫或冲洗车辆）每年年终数量比上一年车辆每增加一辆加1分（购车发票或采购合同）奖励20000元，小型保洁车辆每增加一辆加0.5分奖励10000元（以购车发票或采购合同为准），车辆更新不得分。</w:t>
            </w:r>
          </w:p>
        </w:tc>
      </w:tr>
      <w:tr w14:paraId="51A187F5">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4C2FE606">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9237" w:type="dxa"/>
            <w:tcBorders>
              <w:top w:val="single" w:color="auto" w:sz="4" w:space="0"/>
              <w:left w:val="single" w:color="auto" w:sz="4" w:space="0"/>
              <w:bottom w:val="single" w:color="auto" w:sz="4" w:space="0"/>
              <w:right w:val="single" w:color="auto" w:sz="4" w:space="0"/>
            </w:tcBorders>
            <w:noWrap/>
            <w:vAlign w:val="center"/>
          </w:tcPr>
          <w:p w14:paraId="24F0C8E8">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召开全市性城市道路清扫保洁标准执行工作现场会推广先进工作经验的加5分，奖励100000元。</w:t>
            </w:r>
          </w:p>
        </w:tc>
      </w:tr>
      <w:tr w14:paraId="0EAC76C1">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193BE099">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9237" w:type="dxa"/>
            <w:tcBorders>
              <w:top w:val="single" w:color="auto" w:sz="4" w:space="0"/>
              <w:left w:val="single" w:color="auto" w:sz="4" w:space="0"/>
              <w:bottom w:val="single" w:color="auto" w:sz="4" w:space="0"/>
              <w:right w:val="single" w:color="auto" w:sz="4" w:space="0"/>
            </w:tcBorders>
            <w:noWrap/>
            <w:vAlign w:val="center"/>
          </w:tcPr>
          <w:p w14:paraId="5182AAB2">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开展城市道路清扫保洁工作被我市主流媒体报道的每次加0.5分，每次奖励10000元。</w:t>
            </w:r>
          </w:p>
        </w:tc>
      </w:tr>
      <w:tr w14:paraId="7CAE960F">
        <w:tblPrEx>
          <w:tblCellMar>
            <w:top w:w="0" w:type="dxa"/>
            <w:left w:w="108" w:type="dxa"/>
            <w:bottom w:w="0" w:type="dxa"/>
            <w:right w:w="108" w:type="dxa"/>
          </w:tblCellMar>
        </w:tblPrEx>
        <w:trPr>
          <w:trHeight w:val="540" w:hRule="atLeast"/>
          <w:jc w:val="center"/>
        </w:trPr>
        <w:tc>
          <w:tcPr>
            <w:tcW w:w="863" w:type="dxa"/>
            <w:tcBorders>
              <w:top w:val="single" w:color="auto" w:sz="4" w:space="0"/>
              <w:left w:val="single" w:color="auto" w:sz="4" w:space="0"/>
              <w:bottom w:val="single" w:color="auto" w:sz="4" w:space="0"/>
              <w:right w:val="single" w:color="auto" w:sz="4" w:space="0"/>
            </w:tcBorders>
            <w:noWrap/>
            <w:vAlign w:val="center"/>
          </w:tcPr>
          <w:p w14:paraId="07D24A04">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9237" w:type="dxa"/>
            <w:tcBorders>
              <w:top w:val="single" w:color="auto" w:sz="4" w:space="0"/>
              <w:left w:val="single" w:color="auto" w:sz="4" w:space="0"/>
              <w:bottom w:val="single" w:color="auto" w:sz="4" w:space="0"/>
              <w:right w:val="single" w:color="auto" w:sz="4" w:space="0"/>
            </w:tcBorders>
            <w:noWrap/>
            <w:vAlign w:val="center"/>
          </w:tcPr>
          <w:p w14:paraId="5C8E9F7B">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当月全市清扫保洁月度考核排名：第一名奖励100000元，第二名奖励50000元，第三名奖励30000元。（按照抽取道路数量及得分占比进行奖励）</w:t>
            </w:r>
          </w:p>
        </w:tc>
      </w:tr>
    </w:tbl>
    <w:p w14:paraId="18E3D053">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br w:type="page"/>
      </w:r>
      <w:r>
        <w:rPr>
          <w:rFonts w:hint="eastAsia" w:ascii="仿宋_GB2312" w:hAnsi="仿宋_GB2312" w:eastAsia="仿宋_GB2312" w:cs="仿宋_GB2312"/>
          <w:b/>
          <w:bCs/>
          <w:sz w:val="24"/>
          <w:szCs w:val="24"/>
        </w:rPr>
        <w:t>2、高新区城市道路清扫保洁质量评价表</w:t>
      </w:r>
    </w:p>
    <w:p w14:paraId="3AF1B955">
      <w:pPr>
        <w:rPr>
          <w:rFonts w:hint="eastAsia" w:ascii="仿宋_GB2312" w:hAnsi="仿宋_GB2312" w:eastAsia="仿宋_GB2312" w:cs="仿宋_GB2312"/>
          <w:b/>
          <w:bCs/>
          <w:sz w:val="24"/>
          <w:szCs w:val="24"/>
        </w:rPr>
      </w:pPr>
    </w:p>
    <w:tbl>
      <w:tblPr>
        <w:tblStyle w:val="10"/>
        <w:tblW w:w="1042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2"/>
        <w:gridCol w:w="400"/>
        <w:gridCol w:w="697"/>
        <w:gridCol w:w="709"/>
        <w:gridCol w:w="613"/>
        <w:gridCol w:w="505"/>
        <w:gridCol w:w="586"/>
        <w:gridCol w:w="437"/>
        <w:gridCol w:w="750"/>
        <w:gridCol w:w="491"/>
        <w:gridCol w:w="709"/>
        <w:gridCol w:w="559"/>
        <w:gridCol w:w="720"/>
        <w:gridCol w:w="460"/>
        <w:gridCol w:w="749"/>
        <w:gridCol w:w="501"/>
        <w:gridCol w:w="761"/>
        <w:gridCol w:w="480"/>
      </w:tblGrid>
      <w:tr w14:paraId="09B29D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21" w:hRule="atLeast"/>
          <w:jc w:val="center"/>
        </w:trPr>
        <w:tc>
          <w:tcPr>
            <w:tcW w:w="302" w:type="dxa"/>
            <w:vMerge w:val="restart"/>
            <w:noWrap w:val="0"/>
            <w:vAlign w:val="center"/>
          </w:tcPr>
          <w:p w14:paraId="464B074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道路等级</w:t>
            </w:r>
          </w:p>
        </w:tc>
        <w:tc>
          <w:tcPr>
            <w:tcW w:w="400" w:type="dxa"/>
            <w:vMerge w:val="restart"/>
            <w:noWrap w:val="0"/>
            <w:vAlign w:val="center"/>
          </w:tcPr>
          <w:p w14:paraId="460B797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类别</w:t>
            </w:r>
          </w:p>
        </w:tc>
        <w:tc>
          <w:tcPr>
            <w:tcW w:w="1406" w:type="dxa"/>
            <w:gridSpan w:val="2"/>
            <w:noWrap w:val="0"/>
            <w:vAlign w:val="center"/>
          </w:tcPr>
          <w:p w14:paraId="10AE205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果皮纸屑塑料袋等垃圾</w:t>
            </w:r>
          </w:p>
          <w:p w14:paraId="7E9FA7F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（路面污染物）</w:t>
            </w:r>
          </w:p>
          <w:p w14:paraId="6BBE10D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（10分）</w:t>
            </w:r>
          </w:p>
        </w:tc>
        <w:tc>
          <w:tcPr>
            <w:tcW w:w="1118" w:type="dxa"/>
            <w:gridSpan w:val="2"/>
            <w:noWrap w:val="0"/>
            <w:vAlign w:val="center"/>
          </w:tcPr>
          <w:p w14:paraId="7F818B6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积泥</w:t>
            </w:r>
          </w:p>
          <w:p w14:paraId="7DCFA74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（10分）</w:t>
            </w:r>
          </w:p>
        </w:tc>
        <w:tc>
          <w:tcPr>
            <w:tcW w:w="1023" w:type="dxa"/>
            <w:gridSpan w:val="2"/>
            <w:noWrap w:val="0"/>
            <w:vAlign w:val="center"/>
          </w:tcPr>
          <w:p w14:paraId="392AA8E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污水</w:t>
            </w:r>
          </w:p>
          <w:p w14:paraId="7EF0FBF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（10分）</w:t>
            </w:r>
          </w:p>
        </w:tc>
        <w:tc>
          <w:tcPr>
            <w:tcW w:w="1241" w:type="dxa"/>
            <w:gridSpan w:val="2"/>
            <w:noWrap w:val="0"/>
            <w:vAlign w:val="center"/>
          </w:tcPr>
          <w:p w14:paraId="14A3565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路面积尘</w:t>
            </w:r>
          </w:p>
          <w:p w14:paraId="773AD1D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（25分)</w:t>
            </w:r>
          </w:p>
        </w:tc>
        <w:tc>
          <w:tcPr>
            <w:tcW w:w="1268" w:type="dxa"/>
            <w:gridSpan w:val="2"/>
            <w:noWrap w:val="0"/>
            <w:vAlign w:val="center"/>
          </w:tcPr>
          <w:p w14:paraId="5F59974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 xml:space="preserve"> 烟头</w:t>
            </w:r>
          </w:p>
          <w:p w14:paraId="3421EAB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（15分）</w:t>
            </w:r>
          </w:p>
        </w:tc>
        <w:tc>
          <w:tcPr>
            <w:tcW w:w="1180" w:type="dxa"/>
            <w:gridSpan w:val="2"/>
            <w:noWrap w:val="0"/>
            <w:vAlign w:val="center"/>
          </w:tcPr>
          <w:p w14:paraId="53D3CF4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痰迹</w:t>
            </w:r>
          </w:p>
          <w:p w14:paraId="6EE4A22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（10分）</w:t>
            </w:r>
          </w:p>
        </w:tc>
        <w:tc>
          <w:tcPr>
            <w:tcW w:w="1250" w:type="dxa"/>
            <w:gridSpan w:val="2"/>
            <w:noWrap w:val="0"/>
            <w:vAlign w:val="center"/>
          </w:tcPr>
          <w:p w14:paraId="61C73C9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小广告</w:t>
            </w:r>
          </w:p>
          <w:p w14:paraId="76ECA95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（10分）</w:t>
            </w:r>
          </w:p>
        </w:tc>
        <w:tc>
          <w:tcPr>
            <w:tcW w:w="1241" w:type="dxa"/>
            <w:gridSpan w:val="2"/>
            <w:noWrap w:val="0"/>
            <w:vAlign w:val="center"/>
          </w:tcPr>
          <w:p w14:paraId="5DEE049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停留时间</w:t>
            </w:r>
          </w:p>
          <w:p w14:paraId="4239D3E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（10分）</w:t>
            </w:r>
          </w:p>
        </w:tc>
      </w:tr>
      <w:tr w14:paraId="0E273E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6" w:hRule="atLeast"/>
          <w:jc w:val="center"/>
        </w:trPr>
        <w:tc>
          <w:tcPr>
            <w:tcW w:w="302" w:type="dxa"/>
            <w:vMerge w:val="continue"/>
            <w:tcBorders>
              <w:top w:val="nil"/>
            </w:tcBorders>
            <w:noWrap w:val="0"/>
            <w:vAlign w:val="center"/>
          </w:tcPr>
          <w:p w14:paraId="2803E38B">
            <w:pPr>
              <w:jc w:val="center"/>
              <w:rPr>
                <w:rFonts w:hint="eastAsia" w:ascii="仿宋_GB2312" w:hAnsi="仿宋_GB2312" w:eastAsia="仿宋_GB2312" w:cs="仿宋_GB2312"/>
                <w:szCs w:val="21"/>
              </w:rPr>
            </w:pPr>
          </w:p>
        </w:tc>
        <w:tc>
          <w:tcPr>
            <w:tcW w:w="400" w:type="dxa"/>
            <w:vMerge w:val="continue"/>
            <w:tcBorders>
              <w:top w:val="nil"/>
            </w:tcBorders>
            <w:noWrap w:val="0"/>
            <w:vAlign w:val="center"/>
          </w:tcPr>
          <w:p w14:paraId="5E21AEF7">
            <w:pPr>
              <w:jc w:val="center"/>
              <w:rPr>
                <w:rFonts w:hint="eastAsia" w:ascii="仿宋_GB2312" w:hAnsi="仿宋_GB2312" w:eastAsia="仿宋_GB2312" w:cs="仿宋_GB2312"/>
                <w:szCs w:val="21"/>
              </w:rPr>
            </w:pPr>
          </w:p>
        </w:tc>
        <w:tc>
          <w:tcPr>
            <w:tcW w:w="697" w:type="dxa"/>
            <w:noWrap w:val="0"/>
            <w:vAlign w:val="center"/>
          </w:tcPr>
          <w:p w14:paraId="1F73969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检测</w:t>
            </w:r>
          </w:p>
          <w:p w14:paraId="390C742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结果</w:t>
            </w:r>
          </w:p>
          <w:p w14:paraId="47BE6D3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（处</w:t>
            </w:r>
          </w:p>
          <w:p w14:paraId="74D17F2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/1000m2）</w:t>
            </w:r>
          </w:p>
        </w:tc>
        <w:tc>
          <w:tcPr>
            <w:tcW w:w="709" w:type="dxa"/>
            <w:noWrap w:val="0"/>
            <w:vAlign w:val="center"/>
          </w:tcPr>
          <w:p w14:paraId="6DE5862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得分</w:t>
            </w:r>
          </w:p>
        </w:tc>
        <w:tc>
          <w:tcPr>
            <w:tcW w:w="613" w:type="dxa"/>
            <w:noWrap w:val="0"/>
            <w:vAlign w:val="center"/>
          </w:tcPr>
          <w:p w14:paraId="5A294FF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检测结果</w:t>
            </w:r>
          </w:p>
          <w:p w14:paraId="6792C91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（处</w:t>
            </w:r>
          </w:p>
          <w:p w14:paraId="67DE2CA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/1000m2）</w:t>
            </w:r>
          </w:p>
        </w:tc>
        <w:tc>
          <w:tcPr>
            <w:tcW w:w="505" w:type="dxa"/>
            <w:noWrap w:val="0"/>
            <w:vAlign w:val="center"/>
          </w:tcPr>
          <w:p w14:paraId="1D32C4B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得分</w:t>
            </w:r>
          </w:p>
        </w:tc>
        <w:tc>
          <w:tcPr>
            <w:tcW w:w="586" w:type="dxa"/>
            <w:noWrap w:val="0"/>
            <w:vAlign w:val="center"/>
          </w:tcPr>
          <w:p w14:paraId="17D093A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检测结果</w:t>
            </w:r>
          </w:p>
          <w:p w14:paraId="4862CB0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（处/1000 m2）</w:t>
            </w:r>
          </w:p>
        </w:tc>
        <w:tc>
          <w:tcPr>
            <w:tcW w:w="437" w:type="dxa"/>
            <w:noWrap w:val="0"/>
            <w:vAlign w:val="center"/>
          </w:tcPr>
          <w:p w14:paraId="5FB37CC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得分</w:t>
            </w:r>
          </w:p>
        </w:tc>
        <w:tc>
          <w:tcPr>
            <w:tcW w:w="750" w:type="dxa"/>
            <w:noWrap w:val="0"/>
            <w:vAlign w:val="center"/>
          </w:tcPr>
          <w:p w14:paraId="38A7C668">
            <w:pPr>
              <w:jc w:val="center"/>
              <w:rPr>
                <w:rFonts w:hint="eastAsia" w:ascii="仿宋_GB2312" w:hAnsi="仿宋_GB2312" w:eastAsia="仿宋_GB2312" w:cs="仿宋_GB2312"/>
                <w:szCs w:val="21"/>
              </w:rPr>
            </w:pPr>
          </w:p>
          <w:p w14:paraId="737A6ED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检测</w:t>
            </w:r>
          </w:p>
          <w:p w14:paraId="76C9C41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结果</w:t>
            </w:r>
          </w:p>
          <w:p w14:paraId="418C964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（g/m2）</w:t>
            </w:r>
          </w:p>
        </w:tc>
        <w:tc>
          <w:tcPr>
            <w:tcW w:w="491" w:type="dxa"/>
            <w:noWrap w:val="0"/>
            <w:vAlign w:val="center"/>
          </w:tcPr>
          <w:p w14:paraId="7DC7BA7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得分</w:t>
            </w:r>
          </w:p>
        </w:tc>
        <w:tc>
          <w:tcPr>
            <w:tcW w:w="709" w:type="dxa"/>
            <w:noWrap w:val="0"/>
            <w:vAlign w:val="center"/>
          </w:tcPr>
          <w:p w14:paraId="17F9E87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检测</w:t>
            </w:r>
          </w:p>
          <w:p w14:paraId="1BCD6DC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结果</w:t>
            </w:r>
          </w:p>
          <w:p w14:paraId="0679FDA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（个</w:t>
            </w:r>
          </w:p>
          <w:p w14:paraId="149CD26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/100m）</w:t>
            </w:r>
          </w:p>
        </w:tc>
        <w:tc>
          <w:tcPr>
            <w:tcW w:w="559" w:type="dxa"/>
            <w:noWrap w:val="0"/>
            <w:vAlign w:val="center"/>
          </w:tcPr>
          <w:p w14:paraId="4A24799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得分</w:t>
            </w:r>
          </w:p>
        </w:tc>
        <w:tc>
          <w:tcPr>
            <w:tcW w:w="720" w:type="dxa"/>
            <w:noWrap w:val="0"/>
            <w:vAlign w:val="center"/>
          </w:tcPr>
          <w:p w14:paraId="14E57AB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检测</w:t>
            </w:r>
          </w:p>
          <w:p w14:paraId="6C36005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结果</w:t>
            </w:r>
          </w:p>
          <w:p w14:paraId="3AB70DE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（个</w:t>
            </w:r>
          </w:p>
          <w:p w14:paraId="74F4DF3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/100m）</w:t>
            </w:r>
          </w:p>
        </w:tc>
        <w:tc>
          <w:tcPr>
            <w:tcW w:w="460" w:type="dxa"/>
            <w:noWrap w:val="0"/>
            <w:vAlign w:val="center"/>
          </w:tcPr>
          <w:p w14:paraId="562EC83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得分</w:t>
            </w:r>
          </w:p>
        </w:tc>
        <w:tc>
          <w:tcPr>
            <w:tcW w:w="749" w:type="dxa"/>
            <w:noWrap w:val="0"/>
            <w:vAlign w:val="center"/>
          </w:tcPr>
          <w:p w14:paraId="7C80830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检测</w:t>
            </w:r>
          </w:p>
          <w:p w14:paraId="37CD3EA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结果</w:t>
            </w:r>
          </w:p>
          <w:p w14:paraId="2B1B333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（个</w:t>
            </w:r>
          </w:p>
          <w:p w14:paraId="3D2EED8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/100m）</w:t>
            </w:r>
          </w:p>
        </w:tc>
        <w:tc>
          <w:tcPr>
            <w:tcW w:w="501" w:type="dxa"/>
            <w:noWrap w:val="0"/>
            <w:vAlign w:val="center"/>
          </w:tcPr>
          <w:p w14:paraId="61F9D71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得分</w:t>
            </w:r>
          </w:p>
        </w:tc>
        <w:tc>
          <w:tcPr>
            <w:tcW w:w="761" w:type="dxa"/>
            <w:noWrap w:val="0"/>
            <w:vAlign w:val="center"/>
          </w:tcPr>
          <w:p w14:paraId="2AB9639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检测</w:t>
            </w:r>
          </w:p>
          <w:p w14:paraId="1120DC7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结果</w:t>
            </w:r>
          </w:p>
          <w:p w14:paraId="651D5B4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（分）</w:t>
            </w:r>
          </w:p>
        </w:tc>
        <w:tc>
          <w:tcPr>
            <w:tcW w:w="480" w:type="dxa"/>
            <w:noWrap w:val="0"/>
            <w:vAlign w:val="center"/>
          </w:tcPr>
          <w:p w14:paraId="3D5ECF3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得分</w:t>
            </w:r>
          </w:p>
        </w:tc>
      </w:tr>
      <w:tr w14:paraId="1B924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jc w:val="center"/>
        </w:trPr>
        <w:tc>
          <w:tcPr>
            <w:tcW w:w="302" w:type="dxa"/>
            <w:vMerge w:val="restart"/>
            <w:noWrap w:val="0"/>
            <w:vAlign w:val="center"/>
          </w:tcPr>
          <w:p w14:paraId="3E0E41F8">
            <w:pPr>
              <w:jc w:val="center"/>
              <w:rPr>
                <w:rFonts w:hint="eastAsia" w:ascii="仿宋_GB2312" w:hAnsi="仿宋_GB2312" w:eastAsia="仿宋_GB2312" w:cs="仿宋_GB2312"/>
                <w:szCs w:val="21"/>
              </w:rPr>
            </w:pPr>
          </w:p>
          <w:p w14:paraId="362A0BE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特级</w:t>
            </w:r>
          </w:p>
        </w:tc>
        <w:tc>
          <w:tcPr>
            <w:tcW w:w="400" w:type="dxa"/>
            <w:vMerge w:val="restart"/>
            <w:noWrap w:val="0"/>
            <w:vAlign w:val="center"/>
          </w:tcPr>
          <w:p w14:paraId="6980FC8E">
            <w:pPr>
              <w:jc w:val="center"/>
              <w:rPr>
                <w:rFonts w:hint="eastAsia" w:ascii="仿宋_GB2312" w:hAnsi="仿宋_GB2312" w:eastAsia="仿宋_GB2312" w:cs="仿宋_GB2312"/>
                <w:szCs w:val="21"/>
              </w:rPr>
            </w:pPr>
          </w:p>
          <w:p w14:paraId="4DEDE19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车行道</w:t>
            </w:r>
          </w:p>
        </w:tc>
        <w:tc>
          <w:tcPr>
            <w:tcW w:w="697" w:type="dxa"/>
            <w:noWrap w:val="0"/>
            <w:vAlign w:val="center"/>
          </w:tcPr>
          <w:p w14:paraId="7D20A09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709" w:type="dxa"/>
            <w:noWrap w:val="0"/>
            <w:vAlign w:val="center"/>
          </w:tcPr>
          <w:p w14:paraId="1AA1AAC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613" w:type="dxa"/>
            <w:noWrap w:val="0"/>
            <w:vAlign w:val="center"/>
          </w:tcPr>
          <w:p w14:paraId="2652B96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5" w:type="dxa"/>
            <w:noWrap w:val="0"/>
            <w:vAlign w:val="center"/>
          </w:tcPr>
          <w:p w14:paraId="570B031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86" w:type="dxa"/>
            <w:noWrap w:val="0"/>
            <w:vAlign w:val="center"/>
          </w:tcPr>
          <w:p w14:paraId="084972C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437" w:type="dxa"/>
            <w:noWrap w:val="0"/>
            <w:vAlign w:val="center"/>
          </w:tcPr>
          <w:p w14:paraId="4FF2C9F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50" w:type="dxa"/>
            <w:noWrap w:val="0"/>
            <w:vAlign w:val="center"/>
          </w:tcPr>
          <w:p w14:paraId="0B8A592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91" w:type="dxa"/>
            <w:noWrap w:val="0"/>
            <w:vAlign w:val="center"/>
          </w:tcPr>
          <w:p w14:paraId="4760094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709" w:type="dxa"/>
            <w:noWrap w:val="0"/>
            <w:vAlign w:val="center"/>
          </w:tcPr>
          <w:p w14:paraId="2D532E6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59" w:type="dxa"/>
            <w:noWrap w:val="0"/>
            <w:vAlign w:val="center"/>
          </w:tcPr>
          <w:p w14:paraId="16CD1D3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20" w:type="dxa"/>
            <w:noWrap w:val="0"/>
            <w:vAlign w:val="center"/>
          </w:tcPr>
          <w:p w14:paraId="2B8E89C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60" w:type="dxa"/>
            <w:noWrap w:val="0"/>
            <w:vAlign w:val="center"/>
          </w:tcPr>
          <w:p w14:paraId="00F4FAF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49" w:type="dxa"/>
            <w:noWrap w:val="0"/>
            <w:vAlign w:val="center"/>
          </w:tcPr>
          <w:p w14:paraId="04FDF07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1" w:type="dxa"/>
            <w:noWrap w:val="0"/>
            <w:vAlign w:val="center"/>
          </w:tcPr>
          <w:p w14:paraId="39838C3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 分</w:t>
            </w:r>
          </w:p>
        </w:tc>
        <w:tc>
          <w:tcPr>
            <w:tcW w:w="761" w:type="dxa"/>
            <w:noWrap w:val="0"/>
            <w:vAlign w:val="center"/>
          </w:tcPr>
          <w:p w14:paraId="3FFEA34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80" w:type="dxa"/>
            <w:noWrap w:val="0"/>
            <w:vAlign w:val="center"/>
          </w:tcPr>
          <w:p w14:paraId="0BCCA1C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14:paraId="1EC127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jc w:val="center"/>
        </w:trPr>
        <w:tc>
          <w:tcPr>
            <w:tcW w:w="302" w:type="dxa"/>
            <w:vMerge w:val="continue"/>
            <w:tcBorders>
              <w:top w:val="nil"/>
            </w:tcBorders>
            <w:noWrap w:val="0"/>
            <w:vAlign w:val="center"/>
          </w:tcPr>
          <w:p w14:paraId="0547949D">
            <w:pPr>
              <w:jc w:val="center"/>
              <w:rPr>
                <w:rFonts w:hint="eastAsia" w:ascii="仿宋_GB2312" w:hAnsi="仿宋_GB2312" w:eastAsia="仿宋_GB2312" w:cs="仿宋_GB2312"/>
                <w:szCs w:val="21"/>
              </w:rPr>
            </w:pPr>
          </w:p>
        </w:tc>
        <w:tc>
          <w:tcPr>
            <w:tcW w:w="400" w:type="dxa"/>
            <w:vMerge w:val="continue"/>
            <w:tcBorders>
              <w:top w:val="nil"/>
            </w:tcBorders>
            <w:noWrap w:val="0"/>
            <w:vAlign w:val="center"/>
          </w:tcPr>
          <w:p w14:paraId="605F1001">
            <w:pPr>
              <w:jc w:val="center"/>
              <w:rPr>
                <w:rFonts w:hint="eastAsia" w:ascii="仿宋_GB2312" w:hAnsi="仿宋_GB2312" w:eastAsia="仿宋_GB2312" w:cs="仿宋_GB2312"/>
                <w:szCs w:val="21"/>
              </w:rPr>
            </w:pPr>
          </w:p>
        </w:tc>
        <w:tc>
          <w:tcPr>
            <w:tcW w:w="697" w:type="dxa"/>
            <w:vMerge w:val="restart"/>
            <w:noWrap w:val="0"/>
            <w:vAlign w:val="center"/>
          </w:tcPr>
          <w:p w14:paraId="4E33289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709" w:type="dxa"/>
            <w:vMerge w:val="restart"/>
            <w:noWrap w:val="0"/>
            <w:vAlign w:val="center"/>
          </w:tcPr>
          <w:p w14:paraId="4E0BEC8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613" w:type="dxa"/>
            <w:vMerge w:val="restart"/>
            <w:noWrap w:val="0"/>
            <w:vAlign w:val="center"/>
          </w:tcPr>
          <w:p w14:paraId="1FD84E6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5" w:type="dxa"/>
            <w:vMerge w:val="restart"/>
            <w:noWrap w:val="0"/>
            <w:vAlign w:val="center"/>
          </w:tcPr>
          <w:p w14:paraId="484971D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586" w:type="dxa"/>
            <w:vMerge w:val="restart"/>
            <w:noWrap w:val="0"/>
            <w:vAlign w:val="center"/>
          </w:tcPr>
          <w:p w14:paraId="7B456F7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437" w:type="dxa"/>
            <w:vMerge w:val="restart"/>
            <w:noWrap w:val="0"/>
            <w:vAlign w:val="center"/>
          </w:tcPr>
          <w:p w14:paraId="0FD0FAB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50" w:type="dxa"/>
            <w:vMerge w:val="restart"/>
            <w:noWrap w:val="0"/>
            <w:vAlign w:val="center"/>
          </w:tcPr>
          <w:p w14:paraId="6D0F677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91" w:type="dxa"/>
            <w:vMerge w:val="restart"/>
            <w:noWrap w:val="0"/>
            <w:vAlign w:val="center"/>
          </w:tcPr>
          <w:p w14:paraId="6157D85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09" w:type="dxa"/>
            <w:vMerge w:val="restart"/>
            <w:noWrap w:val="0"/>
            <w:vAlign w:val="center"/>
          </w:tcPr>
          <w:p w14:paraId="77F0EB6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559" w:type="dxa"/>
            <w:vMerge w:val="restart"/>
            <w:noWrap w:val="0"/>
            <w:vAlign w:val="center"/>
          </w:tcPr>
          <w:p w14:paraId="530921C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20" w:type="dxa"/>
            <w:vMerge w:val="restart"/>
            <w:noWrap w:val="0"/>
            <w:vAlign w:val="center"/>
          </w:tcPr>
          <w:p w14:paraId="2B899BB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460" w:type="dxa"/>
            <w:vMerge w:val="restart"/>
            <w:noWrap w:val="0"/>
            <w:vAlign w:val="center"/>
          </w:tcPr>
          <w:p w14:paraId="5D87E89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49" w:type="dxa"/>
            <w:vMerge w:val="restart"/>
            <w:noWrap w:val="0"/>
            <w:vAlign w:val="center"/>
          </w:tcPr>
          <w:p w14:paraId="5A6AC2F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w:t>
            </w:r>
          </w:p>
        </w:tc>
        <w:tc>
          <w:tcPr>
            <w:tcW w:w="501" w:type="dxa"/>
            <w:vMerge w:val="restart"/>
            <w:noWrap w:val="0"/>
            <w:vAlign w:val="center"/>
          </w:tcPr>
          <w:p w14:paraId="18EFFAA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61" w:type="dxa"/>
            <w:noWrap w:val="0"/>
            <w:vAlign w:val="center"/>
          </w:tcPr>
          <w:p w14:paraId="0977360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5∽10</w:t>
            </w:r>
          </w:p>
        </w:tc>
        <w:tc>
          <w:tcPr>
            <w:tcW w:w="480" w:type="dxa"/>
            <w:noWrap w:val="0"/>
            <w:vAlign w:val="center"/>
          </w:tcPr>
          <w:p w14:paraId="1881DD6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r>
      <w:tr w14:paraId="00987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jc w:val="center"/>
        </w:trPr>
        <w:tc>
          <w:tcPr>
            <w:tcW w:w="302" w:type="dxa"/>
            <w:vMerge w:val="continue"/>
            <w:tcBorders>
              <w:top w:val="nil"/>
            </w:tcBorders>
            <w:noWrap w:val="0"/>
            <w:vAlign w:val="center"/>
          </w:tcPr>
          <w:p w14:paraId="54167A98">
            <w:pPr>
              <w:jc w:val="center"/>
              <w:rPr>
                <w:rFonts w:hint="eastAsia" w:ascii="仿宋_GB2312" w:hAnsi="仿宋_GB2312" w:eastAsia="仿宋_GB2312" w:cs="仿宋_GB2312"/>
                <w:szCs w:val="21"/>
              </w:rPr>
            </w:pPr>
          </w:p>
        </w:tc>
        <w:tc>
          <w:tcPr>
            <w:tcW w:w="400" w:type="dxa"/>
            <w:vMerge w:val="continue"/>
            <w:tcBorders>
              <w:top w:val="nil"/>
            </w:tcBorders>
            <w:noWrap w:val="0"/>
            <w:vAlign w:val="center"/>
          </w:tcPr>
          <w:p w14:paraId="5F8CC05D">
            <w:pPr>
              <w:jc w:val="center"/>
              <w:rPr>
                <w:rFonts w:hint="eastAsia" w:ascii="仿宋_GB2312" w:hAnsi="仿宋_GB2312" w:eastAsia="仿宋_GB2312" w:cs="仿宋_GB2312"/>
                <w:szCs w:val="21"/>
              </w:rPr>
            </w:pPr>
          </w:p>
        </w:tc>
        <w:tc>
          <w:tcPr>
            <w:tcW w:w="697" w:type="dxa"/>
            <w:vMerge w:val="continue"/>
            <w:tcBorders>
              <w:top w:val="nil"/>
            </w:tcBorders>
            <w:noWrap w:val="0"/>
            <w:vAlign w:val="center"/>
          </w:tcPr>
          <w:p w14:paraId="7A61ADB9">
            <w:pPr>
              <w:jc w:val="center"/>
              <w:rPr>
                <w:rFonts w:hint="eastAsia" w:ascii="仿宋_GB2312" w:hAnsi="仿宋_GB2312" w:eastAsia="仿宋_GB2312" w:cs="仿宋_GB2312"/>
                <w:szCs w:val="21"/>
              </w:rPr>
            </w:pPr>
          </w:p>
        </w:tc>
        <w:tc>
          <w:tcPr>
            <w:tcW w:w="709" w:type="dxa"/>
            <w:vMerge w:val="continue"/>
            <w:tcBorders>
              <w:top w:val="nil"/>
            </w:tcBorders>
            <w:noWrap w:val="0"/>
            <w:vAlign w:val="center"/>
          </w:tcPr>
          <w:p w14:paraId="233856B7">
            <w:pPr>
              <w:jc w:val="center"/>
              <w:rPr>
                <w:rFonts w:hint="eastAsia" w:ascii="仿宋_GB2312" w:hAnsi="仿宋_GB2312" w:eastAsia="仿宋_GB2312" w:cs="仿宋_GB2312"/>
                <w:szCs w:val="21"/>
              </w:rPr>
            </w:pPr>
          </w:p>
        </w:tc>
        <w:tc>
          <w:tcPr>
            <w:tcW w:w="613" w:type="dxa"/>
            <w:vMerge w:val="continue"/>
            <w:tcBorders>
              <w:top w:val="nil"/>
            </w:tcBorders>
            <w:noWrap w:val="0"/>
            <w:vAlign w:val="center"/>
          </w:tcPr>
          <w:p w14:paraId="1BC57019">
            <w:pPr>
              <w:jc w:val="center"/>
              <w:rPr>
                <w:rFonts w:hint="eastAsia" w:ascii="仿宋_GB2312" w:hAnsi="仿宋_GB2312" w:eastAsia="仿宋_GB2312" w:cs="仿宋_GB2312"/>
                <w:szCs w:val="21"/>
              </w:rPr>
            </w:pPr>
          </w:p>
        </w:tc>
        <w:tc>
          <w:tcPr>
            <w:tcW w:w="505" w:type="dxa"/>
            <w:vMerge w:val="continue"/>
            <w:tcBorders>
              <w:top w:val="nil"/>
            </w:tcBorders>
            <w:noWrap w:val="0"/>
            <w:vAlign w:val="center"/>
          </w:tcPr>
          <w:p w14:paraId="59B4C2DB">
            <w:pPr>
              <w:jc w:val="center"/>
              <w:rPr>
                <w:rFonts w:hint="eastAsia" w:ascii="仿宋_GB2312" w:hAnsi="仿宋_GB2312" w:eastAsia="仿宋_GB2312" w:cs="仿宋_GB2312"/>
                <w:szCs w:val="21"/>
              </w:rPr>
            </w:pPr>
          </w:p>
        </w:tc>
        <w:tc>
          <w:tcPr>
            <w:tcW w:w="586" w:type="dxa"/>
            <w:vMerge w:val="continue"/>
            <w:tcBorders>
              <w:top w:val="nil"/>
            </w:tcBorders>
            <w:noWrap w:val="0"/>
            <w:vAlign w:val="center"/>
          </w:tcPr>
          <w:p w14:paraId="3735EB09">
            <w:pPr>
              <w:jc w:val="center"/>
              <w:rPr>
                <w:rFonts w:hint="eastAsia" w:ascii="仿宋_GB2312" w:hAnsi="仿宋_GB2312" w:eastAsia="仿宋_GB2312" w:cs="仿宋_GB2312"/>
                <w:szCs w:val="21"/>
              </w:rPr>
            </w:pPr>
          </w:p>
        </w:tc>
        <w:tc>
          <w:tcPr>
            <w:tcW w:w="437" w:type="dxa"/>
            <w:vMerge w:val="continue"/>
            <w:tcBorders>
              <w:top w:val="nil"/>
            </w:tcBorders>
            <w:noWrap w:val="0"/>
            <w:vAlign w:val="center"/>
          </w:tcPr>
          <w:p w14:paraId="2C413960">
            <w:pPr>
              <w:jc w:val="center"/>
              <w:rPr>
                <w:rFonts w:hint="eastAsia" w:ascii="仿宋_GB2312" w:hAnsi="仿宋_GB2312" w:eastAsia="仿宋_GB2312" w:cs="仿宋_GB2312"/>
                <w:szCs w:val="21"/>
              </w:rPr>
            </w:pPr>
          </w:p>
        </w:tc>
        <w:tc>
          <w:tcPr>
            <w:tcW w:w="750" w:type="dxa"/>
            <w:vMerge w:val="continue"/>
            <w:tcBorders>
              <w:top w:val="nil"/>
            </w:tcBorders>
            <w:noWrap w:val="0"/>
            <w:vAlign w:val="center"/>
          </w:tcPr>
          <w:p w14:paraId="4E458910">
            <w:pPr>
              <w:jc w:val="center"/>
              <w:rPr>
                <w:rFonts w:hint="eastAsia" w:ascii="仿宋_GB2312" w:hAnsi="仿宋_GB2312" w:eastAsia="仿宋_GB2312" w:cs="仿宋_GB2312"/>
                <w:szCs w:val="21"/>
              </w:rPr>
            </w:pPr>
          </w:p>
        </w:tc>
        <w:tc>
          <w:tcPr>
            <w:tcW w:w="491" w:type="dxa"/>
            <w:vMerge w:val="continue"/>
            <w:tcBorders>
              <w:top w:val="nil"/>
            </w:tcBorders>
            <w:noWrap w:val="0"/>
            <w:vAlign w:val="center"/>
          </w:tcPr>
          <w:p w14:paraId="3A06857A">
            <w:pPr>
              <w:jc w:val="center"/>
              <w:rPr>
                <w:rFonts w:hint="eastAsia" w:ascii="仿宋_GB2312" w:hAnsi="仿宋_GB2312" w:eastAsia="仿宋_GB2312" w:cs="仿宋_GB2312"/>
                <w:szCs w:val="21"/>
              </w:rPr>
            </w:pPr>
          </w:p>
        </w:tc>
        <w:tc>
          <w:tcPr>
            <w:tcW w:w="709" w:type="dxa"/>
            <w:vMerge w:val="continue"/>
            <w:tcBorders>
              <w:top w:val="nil"/>
            </w:tcBorders>
            <w:noWrap w:val="0"/>
            <w:vAlign w:val="center"/>
          </w:tcPr>
          <w:p w14:paraId="2A46EA88">
            <w:pPr>
              <w:jc w:val="center"/>
              <w:rPr>
                <w:rFonts w:hint="eastAsia" w:ascii="仿宋_GB2312" w:hAnsi="仿宋_GB2312" w:eastAsia="仿宋_GB2312" w:cs="仿宋_GB2312"/>
                <w:szCs w:val="21"/>
              </w:rPr>
            </w:pPr>
          </w:p>
        </w:tc>
        <w:tc>
          <w:tcPr>
            <w:tcW w:w="559" w:type="dxa"/>
            <w:vMerge w:val="continue"/>
            <w:tcBorders>
              <w:top w:val="nil"/>
            </w:tcBorders>
            <w:noWrap w:val="0"/>
            <w:vAlign w:val="center"/>
          </w:tcPr>
          <w:p w14:paraId="473FD677">
            <w:pPr>
              <w:jc w:val="center"/>
              <w:rPr>
                <w:rFonts w:hint="eastAsia" w:ascii="仿宋_GB2312" w:hAnsi="仿宋_GB2312" w:eastAsia="仿宋_GB2312" w:cs="仿宋_GB2312"/>
                <w:szCs w:val="21"/>
              </w:rPr>
            </w:pPr>
          </w:p>
        </w:tc>
        <w:tc>
          <w:tcPr>
            <w:tcW w:w="720" w:type="dxa"/>
            <w:vMerge w:val="continue"/>
            <w:tcBorders>
              <w:top w:val="nil"/>
            </w:tcBorders>
            <w:noWrap w:val="0"/>
            <w:vAlign w:val="center"/>
          </w:tcPr>
          <w:p w14:paraId="77538C6D">
            <w:pPr>
              <w:jc w:val="center"/>
              <w:rPr>
                <w:rFonts w:hint="eastAsia" w:ascii="仿宋_GB2312" w:hAnsi="仿宋_GB2312" w:eastAsia="仿宋_GB2312" w:cs="仿宋_GB2312"/>
                <w:szCs w:val="21"/>
              </w:rPr>
            </w:pPr>
          </w:p>
        </w:tc>
        <w:tc>
          <w:tcPr>
            <w:tcW w:w="460" w:type="dxa"/>
            <w:vMerge w:val="continue"/>
            <w:tcBorders>
              <w:top w:val="nil"/>
            </w:tcBorders>
            <w:noWrap w:val="0"/>
            <w:vAlign w:val="center"/>
          </w:tcPr>
          <w:p w14:paraId="18ABC8C1">
            <w:pPr>
              <w:jc w:val="center"/>
              <w:rPr>
                <w:rFonts w:hint="eastAsia" w:ascii="仿宋_GB2312" w:hAnsi="仿宋_GB2312" w:eastAsia="仿宋_GB2312" w:cs="仿宋_GB2312"/>
                <w:szCs w:val="21"/>
              </w:rPr>
            </w:pPr>
          </w:p>
        </w:tc>
        <w:tc>
          <w:tcPr>
            <w:tcW w:w="749" w:type="dxa"/>
            <w:vMerge w:val="continue"/>
            <w:tcBorders>
              <w:top w:val="nil"/>
            </w:tcBorders>
            <w:noWrap w:val="0"/>
            <w:vAlign w:val="center"/>
          </w:tcPr>
          <w:p w14:paraId="267E86EF">
            <w:pPr>
              <w:jc w:val="center"/>
              <w:rPr>
                <w:rFonts w:hint="eastAsia" w:ascii="仿宋_GB2312" w:hAnsi="仿宋_GB2312" w:eastAsia="仿宋_GB2312" w:cs="仿宋_GB2312"/>
                <w:szCs w:val="21"/>
              </w:rPr>
            </w:pPr>
          </w:p>
        </w:tc>
        <w:tc>
          <w:tcPr>
            <w:tcW w:w="501" w:type="dxa"/>
            <w:vMerge w:val="continue"/>
            <w:tcBorders>
              <w:top w:val="nil"/>
            </w:tcBorders>
            <w:noWrap w:val="0"/>
            <w:vAlign w:val="center"/>
          </w:tcPr>
          <w:p w14:paraId="553C72BF">
            <w:pPr>
              <w:jc w:val="center"/>
              <w:rPr>
                <w:rFonts w:hint="eastAsia" w:ascii="仿宋_GB2312" w:hAnsi="仿宋_GB2312" w:eastAsia="仿宋_GB2312" w:cs="仿宋_GB2312"/>
                <w:szCs w:val="21"/>
              </w:rPr>
            </w:pPr>
          </w:p>
        </w:tc>
        <w:tc>
          <w:tcPr>
            <w:tcW w:w="761" w:type="dxa"/>
            <w:noWrap w:val="0"/>
            <w:vAlign w:val="center"/>
          </w:tcPr>
          <w:p w14:paraId="1004B82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&gt;10</w:t>
            </w:r>
          </w:p>
        </w:tc>
        <w:tc>
          <w:tcPr>
            <w:tcW w:w="480" w:type="dxa"/>
            <w:noWrap w:val="0"/>
            <w:vAlign w:val="center"/>
          </w:tcPr>
          <w:p w14:paraId="72DA8D4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r>
      <w:tr w14:paraId="1199E8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jc w:val="center"/>
        </w:trPr>
        <w:tc>
          <w:tcPr>
            <w:tcW w:w="302" w:type="dxa"/>
            <w:vMerge w:val="continue"/>
            <w:tcBorders>
              <w:top w:val="nil"/>
            </w:tcBorders>
            <w:noWrap w:val="0"/>
            <w:vAlign w:val="center"/>
          </w:tcPr>
          <w:p w14:paraId="7C0055D4">
            <w:pPr>
              <w:jc w:val="center"/>
              <w:rPr>
                <w:rFonts w:hint="eastAsia" w:ascii="仿宋_GB2312" w:hAnsi="仿宋_GB2312" w:eastAsia="仿宋_GB2312" w:cs="仿宋_GB2312"/>
                <w:szCs w:val="21"/>
              </w:rPr>
            </w:pPr>
          </w:p>
        </w:tc>
        <w:tc>
          <w:tcPr>
            <w:tcW w:w="400" w:type="dxa"/>
            <w:vMerge w:val="restart"/>
            <w:noWrap w:val="0"/>
            <w:vAlign w:val="center"/>
          </w:tcPr>
          <w:p w14:paraId="15A681AA">
            <w:pPr>
              <w:jc w:val="center"/>
              <w:rPr>
                <w:rFonts w:hint="eastAsia" w:ascii="仿宋_GB2312" w:hAnsi="仿宋_GB2312" w:eastAsia="仿宋_GB2312" w:cs="仿宋_GB2312"/>
                <w:szCs w:val="21"/>
              </w:rPr>
            </w:pPr>
          </w:p>
          <w:p w14:paraId="37315C8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人行道</w:t>
            </w:r>
          </w:p>
        </w:tc>
        <w:tc>
          <w:tcPr>
            <w:tcW w:w="697" w:type="dxa"/>
            <w:noWrap w:val="0"/>
            <w:vAlign w:val="center"/>
          </w:tcPr>
          <w:p w14:paraId="4208461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709" w:type="dxa"/>
            <w:noWrap w:val="0"/>
            <w:vAlign w:val="center"/>
          </w:tcPr>
          <w:p w14:paraId="515049B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613" w:type="dxa"/>
            <w:noWrap w:val="0"/>
            <w:vAlign w:val="center"/>
          </w:tcPr>
          <w:p w14:paraId="44D323E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5" w:type="dxa"/>
            <w:noWrap w:val="0"/>
            <w:vAlign w:val="center"/>
          </w:tcPr>
          <w:p w14:paraId="6376092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86" w:type="dxa"/>
            <w:noWrap w:val="0"/>
            <w:vAlign w:val="center"/>
          </w:tcPr>
          <w:p w14:paraId="1443524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437" w:type="dxa"/>
            <w:noWrap w:val="0"/>
            <w:vAlign w:val="center"/>
          </w:tcPr>
          <w:p w14:paraId="034E224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50" w:type="dxa"/>
            <w:noWrap w:val="0"/>
            <w:vAlign w:val="center"/>
          </w:tcPr>
          <w:p w14:paraId="4C70F1C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91" w:type="dxa"/>
            <w:noWrap w:val="0"/>
            <w:vAlign w:val="center"/>
          </w:tcPr>
          <w:p w14:paraId="54B44DF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709" w:type="dxa"/>
            <w:noWrap w:val="0"/>
            <w:vAlign w:val="center"/>
          </w:tcPr>
          <w:p w14:paraId="608AD07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59" w:type="dxa"/>
            <w:noWrap w:val="0"/>
            <w:vAlign w:val="center"/>
          </w:tcPr>
          <w:p w14:paraId="2360DB9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20" w:type="dxa"/>
            <w:noWrap w:val="0"/>
            <w:vAlign w:val="center"/>
          </w:tcPr>
          <w:p w14:paraId="6DA458D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60" w:type="dxa"/>
            <w:noWrap w:val="0"/>
            <w:vAlign w:val="center"/>
          </w:tcPr>
          <w:p w14:paraId="458EE4B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49" w:type="dxa"/>
            <w:noWrap w:val="0"/>
            <w:vAlign w:val="center"/>
          </w:tcPr>
          <w:p w14:paraId="3B5EF29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1" w:type="dxa"/>
            <w:noWrap w:val="0"/>
            <w:vAlign w:val="center"/>
          </w:tcPr>
          <w:p w14:paraId="483B618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61" w:type="dxa"/>
            <w:noWrap w:val="0"/>
            <w:vAlign w:val="center"/>
          </w:tcPr>
          <w:p w14:paraId="7986D78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80" w:type="dxa"/>
            <w:noWrap w:val="0"/>
            <w:vAlign w:val="center"/>
          </w:tcPr>
          <w:p w14:paraId="509171F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14:paraId="5DFE5D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jc w:val="center"/>
        </w:trPr>
        <w:tc>
          <w:tcPr>
            <w:tcW w:w="302" w:type="dxa"/>
            <w:vMerge w:val="continue"/>
            <w:tcBorders>
              <w:top w:val="nil"/>
            </w:tcBorders>
            <w:noWrap w:val="0"/>
            <w:vAlign w:val="center"/>
          </w:tcPr>
          <w:p w14:paraId="4766DC03">
            <w:pPr>
              <w:jc w:val="center"/>
              <w:rPr>
                <w:rFonts w:hint="eastAsia" w:ascii="仿宋_GB2312" w:hAnsi="仿宋_GB2312" w:eastAsia="仿宋_GB2312" w:cs="仿宋_GB2312"/>
                <w:szCs w:val="21"/>
              </w:rPr>
            </w:pPr>
          </w:p>
        </w:tc>
        <w:tc>
          <w:tcPr>
            <w:tcW w:w="400" w:type="dxa"/>
            <w:vMerge w:val="continue"/>
            <w:tcBorders>
              <w:top w:val="nil"/>
            </w:tcBorders>
            <w:noWrap w:val="0"/>
            <w:vAlign w:val="center"/>
          </w:tcPr>
          <w:p w14:paraId="4229D3BF">
            <w:pPr>
              <w:jc w:val="center"/>
              <w:rPr>
                <w:rFonts w:hint="eastAsia" w:ascii="仿宋_GB2312" w:hAnsi="仿宋_GB2312" w:eastAsia="仿宋_GB2312" w:cs="仿宋_GB2312"/>
                <w:szCs w:val="21"/>
              </w:rPr>
            </w:pPr>
          </w:p>
        </w:tc>
        <w:tc>
          <w:tcPr>
            <w:tcW w:w="697" w:type="dxa"/>
            <w:vMerge w:val="restart"/>
            <w:noWrap w:val="0"/>
            <w:vAlign w:val="center"/>
          </w:tcPr>
          <w:p w14:paraId="659649B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709" w:type="dxa"/>
            <w:vMerge w:val="restart"/>
            <w:noWrap w:val="0"/>
            <w:vAlign w:val="center"/>
          </w:tcPr>
          <w:p w14:paraId="4496920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613" w:type="dxa"/>
            <w:vMerge w:val="restart"/>
            <w:noWrap w:val="0"/>
            <w:vAlign w:val="center"/>
          </w:tcPr>
          <w:p w14:paraId="7BCE84F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5" w:type="dxa"/>
            <w:vMerge w:val="restart"/>
            <w:noWrap w:val="0"/>
            <w:vAlign w:val="center"/>
          </w:tcPr>
          <w:p w14:paraId="12C5E55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586" w:type="dxa"/>
            <w:vMerge w:val="restart"/>
            <w:noWrap w:val="0"/>
            <w:vAlign w:val="center"/>
          </w:tcPr>
          <w:p w14:paraId="4D59E61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437" w:type="dxa"/>
            <w:vMerge w:val="restart"/>
            <w:noWrap w:val="0"/>
            <w:vAlign w:val="center"/>
          </w:tcPr>
          <w:p w14:paraId="5B445D9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50" w:type="dxa"/>
            <w:noWrap w:val="0"/>
            <w:vAlign w:val="center"/>
          </w:tcPr>
          <w:p w14:paraId="70FBEF2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5∽10</w:t>
            </w:r>
          </w:p>
        </w:tc>
        <w:tc>
          <w:tcPr>
            <w:tcW w:w="491" w:type="dxa"/>
            <w:vMerge w:val="restart"/>
            <w:noWrap w:val="0"/>
            <w:vAlign w:val="center"/>
          </w:tcPr>
          <w:p w14:paraId="0727058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09" w:type="dxa"/>
            <w:vMerge w:val="restart"/>
            <w:noWrap w:val="0"/>
            <w:vAlign w:val="center"/>
          </w:tcPr>
          <w:p w14:paraId="0AD91F5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559" w:type="dxa"/>
            <w:vMerge w:val="restart"/>
            <w:noWrap w:val="0"/>
            <w:vAlign w:val="center"/>
          </w:tcPr>
          <w:p w14:paraId="737F017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20" w:type="dxa"/>
            <w:vMerge w:val="restart"/>
            <w:noWrap w:val="0"/>
            <w:vAlign w:val="center"/>
          </w:tcPr>
          <w:p w14:paraId="45A5706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460" w:type="dxa"/>
            <w:vMerge w:val="restart"/>
            <w:noWrap w:val="0"/>
            <w:vAlign w:val="center"/>
          </w:tcPr>
          <w:p w14:paraId="4FBA94A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49" w:type="dxa"/>
            <w:vMerge w:val="restart"/>
            <w:noWrap w:val="0"/>
            <w:vAlign w:val="center"/>
          </w:tcPr>
          <w:p w14:paraId="1189AC0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w:t>
            </w:r>
          </w:p>
        </w:tc>
        <w:tc>
          <w:tcPr>
            <w:tcW w:w="501" w:type="dxa"/>
            <w:vMerge w:val="restart"/>
            <w:noWrap w:val="0"/>
            <w:vAlign w:val="center"/>
          </w:tcPr>
          <w:p w14:paraId="0019EA3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61" w:type="dxa"/>
            <w:noWrap w:val="0"/>
            <w:vAlign w:val="center"/>
          </w:tcPr>
          <w:p w14:paraId="2A6466F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5∽10</w:t>
            </w:r>
          </w:p>
        </w:tc>
        <w:tc>
          <w:tcPr>
            <w:tcW w:w="480" w:type="dxa"/>
            <w:noWrap w:val="0"/>
            <w:vAlign w:val="center"/>
          </w:tcPr>
          <w:p w14:paraId="6159E29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r>
      <w:tr w14:paraId="6C24D4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jc w:val="center"/>
        </w:trPr>
        <w:tc>
          <w:tcPr>
            <w:tcW w:w="302" w:type="dxa"/>
            <w:vMerge w:val="continue"/>
            <w:tcBorders>
              <w:top w:val="nil"/>
            </w:tcBorders>
            <w:noWrap w:val="0"/>
            <w:vAlign w:val="center"/>
          </w:tcPr>
          <w:p w14:paraId="61D7DED3">
            <w:pPr>
              <w:jc w:val="center"/>
              <w:rPr>
                <w:rFonts w:hint="eastAsia" w:ascii="仿宋_GB2312" w:hAnsi="仿宋_GB2312" w:eastAsia="仿宋_GB2312" w:cs="仿宋_GB2312"/>
                <w:szCs w:val="21"/>
              </w:rPr>
            </w:pPr>
          </w:p>
        </w:tc>
        <w:tc>
          <w:tcPr>
            <w:tcW w:w="400" w:type="dxa"/>
            <w:vMerge w:val="continue"/>
            <w:tcBorders>
              <w:top w:val="nil"/>
            </w:tcBorders>
            <w:noWrap w:val="0"/>
            <w:vAlign w:val="center"/>
          </w:tcPr>
          <w:p w14:paraId="3EC1B3C6">
            <w:pPr>
              <w:jc w:val="center"/>
              <w:rPr>
                <w:rFonts w:hint="eastAsia" w:ascii="仿宋_GB2312" w:hAnsi="仿宋_GB2312" w:eastAsia="仿宋_GB2312" w:cs="仿宋_GB2312"/>
                <w:szCs w:val="21"/>
              </w:rPr>
            </w:pPr>
          </w:p>
        </w:tc>
        <w:tc>
          <w:tcPr>
            <w:tcW w:w="697" w:type="dxa"/>
            <w:vMerge w:val="continue"/>
            <w:tcBorders>
              <w:top w:val="nil"/>
            </w:tcBorders>
            <w:noWrap w:val="0"/>
            <w:vAlign w:val="center"/>
          </w:tcPr>
          <w:p w14:paraId="394F7841">
            <w:pPr>
              <w:jc w:val="center"/>
              <w:rPr>
                <w:rFonts w:hint="eastAsia" w:ascii="仿宋_GB2312" w:hAnsi="仿宋_GB2312" w:eastAsia="仿宋_GB2312" w:cs="仿宋_GB2312"/>
                <w:szCs w:val="21"/>
              </w:rPr>
            </w:pPr>
          </w:p>
        </w:tc>
        <w:tc>
          <w:tcPr>
            <w:tcW w:w="709" w:type="dxa"/>
            <w:vMerge w:val="continue"/>
            <w:tcBorders>
              <w:top w:val="nil"/>
            </w:tcBorders>
            <w:noWrap w:val="0"/>
            <w:vAlign w:val="center"/>
          </w:tcPr>
          <w:p w14:paraId="1B5CD4EA">
            <w:pPr>
              <w:jc w:val="center"/>
              <w:rPr>
                <w:rFonts w:hint="eastAsia" w:ascii="仿宋_GB2312" w:hAnsi="仿宋_GB2312" w:eastAsia="仿宋_GB2312" w:cs="仿宋_GB2312"/>
                <w:szCs w:val="21"/>
              </w:rPr>
            </w:pPr>
          </w:p>
        </w:tc>
        <w:tc>
          <w:tcPr>
            <w:tcW w:w="613" w:type="dxa"/>
            <w:vMerge w:val="continue"/>
            <w:tcBorders>
              <w:top w:val="nil"/>
            </w:tcBorders>
            <w:noWrap w:val="0"/>
            <w:vAlign w:val="center"/>
          </w:tcPr>
          <w:p w14:paraId="2404838E">
            <w:pPr>
              <w:jc w:val="center"/>
              <w:rPr>
                <w:rFonts w:hint="eastAsia" w:ascii="仿宋_GB2312" w:hAnsi="仿宋_GB2312" w:eastAsia="仿宋_GB2312" w:cs="仿宋_GB2312"/>
                <w:szCs w:val="21"/>
              </w:rPr>
            </w:pPr>
          </w:p>
        </w:tc>
        <w:tc>
          <w:tcPr>
            <w:tcW w:w="505" w:type="dxa"/>
            <w:vMerge w:val="continue"/>
            <w:tcBorders>
              <w:top w:val="nil"/>
            </w:tcBorders>
            <w:noWrap w:val="0"/>
            <w:vAlign w:val="center"/>
          </w:tcPr>
          <w:p w14:paraId="4D5B236A">
            <w:pPr>
              <w:jc w:val="center"/>
              <w:rPr>
                <w:rFonts w:hint="eastAsia" w:ascii="仿宋_GB2312" w:hAnsi="仿宋_GB2312" w:eastAsia="仿宋_GB2312" w:cs="仿宋_GB2312"/>
                <w:szCs w:val="21"/>
              </w:rPr>
            </w:pPr>
          </w:p>
        </w:tc>
        <w:tc>
          <w:tcPr>
            <w:tcW w:w="586" w:type="dxa"/>
            <w:vMerge w:val="continue"/>
            <w:tcBorders>
              <w:top w:val="nil"/>
            </w:tcBorders>
            <w:noWrap w:val="0"/>
            <w:vAlign w:val="center"/>
          </w:tcPr>
          <w:p w14:paraId="45DA99D9">
            <w:pPr>
              <w:jc w:val="center"/>
              <w:rPr>
                <w:rFonts w:hint="eastAsia" w:ascii="仿宋_GB2312" w:hAnsi="仿宋_GB2312" w:eastAsia="仿宋_GB2312" w:cs="仿宋_GB2312"/>
                <w:szCs w:val="21"/>
              </w:rPr>
            </w:pPr>
          </w:p>
        </w:tc>
        <w:tc>
          <w:tcPr>
            <w:tcW w:w="437" w:type="dxa"/>
            <w:vMerge w:val="continue"/>
            <w:tcBorders>
              <w:top w:val="nil"/>
            </w:tcBorders>
            <w:noWrap w:val="0"/>
            <w:vAlign w:val="center"/>
          </w:tcPr>
          <w:p w14:paraId="72D8611D">
            <w:pPr>
              <w:jc w:val="center"/>
              <w:rPr>
                <w:rFonts w:hint="eastAsia" w:ascii="仿宋_GB2312" w:hAnsi="仿宋_GB2312" w:eastAsia="仿宋_GB2312" w:cs="仿宋_GB2312"/>
                <w:szCs w:val="21"/>
              </w:rPr>
            </w:pPr>
          </w:p>
        </w:tc>
        <w:tc>
          <w:tcPr>
            <w:tcW w:w="750" w:type="dxa"/>
            <w:noWrap w:val="0"/>
            <w:vAlign w:val="center"/>
          </w:tcPr>
          <w:p w14:paraId="5600573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&gt;10</w:t>
            </w:r>
          </w:p>
        </w:tc>
        <w:tc>
          <w:tcPr>
            <w:tcW w:w="491" w:type="dxa"/>
            <w:vMerge w:val="continue"/>
            <w:tcBorders>
              <w:top w:val="nil"/>
            </w:tcBorders>
            <w:noWrap w:val="0"/>
            <w:vAlign w:val="center"/>
          </w:tcPr>
          <w:p w14:paraId="6A53E462">
            <w:pPr>
              <w:jc w:val="center"/>
              <w:rPr>
                <w:rFonts w:hint="eastAsia" w:ascii="仿宋_GB2312" w:hAnsi="仿宋_GB2312" w:eastAsia="仿宋_GB2312" w:cs="仿宋_GB2312"/>
                <w:szCs w:val="21"/>
              </w:rPr>
            </w:pPr>
          </w:p>
        </w:tc>
        <w:tc>
          <w:tcPr>
            <w:tcW w:w="709" w:type="dxa"/>
            <w:vMerge w:val="continue"/>
            <w:tcBorders>
              <w:top w:val="nil"/>
            </w:tcBorders>
            <w:noWrap w:val="0"/>
            <w:vAlign w:val="center"/>
          </w:tcPr>
          <w:p w14:paraId="17DB909F">
            <w:pPr>
              <w:jc w:val="center"/>
              <w:rPr>
                <w:rFonts w:hint="eastAsia" w:ascii="仿宋_GB2312" w:hAnsi="仿宋_GB2312" w:eastAsia="仿宋_GB2312" w:cs="仿宋_GB2312"/>
                <w:szCs w:val="21"/>
              </w:rPr>
            </w:pPr>
          </w:p>
        </w:tc>
        <w:tc>
          <w:tcPr>
            <w:tcW w:w="559" w:type="dxa"/>
            <w:vMerge w:val="continue"/>
            <w:tcBorders>
              <w:top w:val="nil"/>
            </w:tcBorders>
            <w:noWrap w:val="0"/>
            <w:vAlign w:val="center"/>
          </w:tcPr>
          <w:p w14:paraId="561D7F86">
            <w:pPr>
              <w:jc w:val="center"/>
              <w:rPr>
                <w:rFonts w:hint="eastAsia" w:ascii="仿宋_GB2312" w:hAnsi="仿宋_GB2312" w:eastAsia="仿宋_GB2312" w:cs="仿宋_GB2312"/>
                <w:szCs w:val="21"/>
              </w:rPr>
            </w:pPr>
          </w:p>
        </w:tc>
        <w:tc>
          <w:tcPr>
            <w:tcW w:w="720" w:type="dxa"/>
            <w:vMerge w:val="continue"/>
            <w:tcBorders>
              <w:top w:val="nil"/>
            </w:tcBorders>
            <w:noWrap w:val="0"/>
            <w:vAlign w:val="center"/>
          </w:tcPr>
          <w:p w14:paraId="0637B9F0">
            <w:pPr>
              <w:jc w:val="center"/>
              <w:rPr>
                <w:rFonts w:hint="eastAsia" w:ascii="仿宋_GB2312" w:hAnsi="仿宋_GB2312" w:eastAsia="仿宋_GB2312" w:cs="仿宋_GB2312"/>
                <w:szCs w:val="21"/>
              </w:rPr>
            </w:pPr>
          </w:p>
        </w:tc>
        <w:tc>
          <w:tcPr>
            <w:tcW w:w="460" w:type="dxa"/>
            <w:vMerge w:val="continue"/>
            <w:tcBorders>
              <w:top w:val="nil"/>
            </w:tcBorders>
            <w:noWrap w:val="0"/>
            <w:vAlign w:val="center"/>
          </w:tcPr>
          <w:p w14:paraId="1E8FB290">
            <w:pPr>
              <w:jc w:val="center"/>
              <w:rPr>
                <w:rFonts w:hint="eastAsia" w:ascii="仿宋_GB2312" w:hAnsi="仿宋_GB2312" w:eastAsia="仿宋_GB2312" w:cs="仿宋_GB2312"/>
                <w:szCs w:val="21"/>
              </w:rPr>
            </w:pPr>
          </w:p>
        </w:tc>
        <w:tc>
          <w:tcPr>
            <w:tcW w:w="749" w:type="dxa"/>
            <w:vMerge w:val="continue"/>
            <w:tcBorders>
              <w:top w:val="nil"/>
            </w:tcBorders>
            <w:noWrap w:val="0"/>
            <w:vAlign w:val="center"/>
          </w:tcPr>
          <w:p w14:paraId="4F000CFE">
            <w:pPr>
              <w:jc w:val="center"/>
              <w:rPr>
                <w:rFonts w:hint="eastAsia" w:ascii="仿宋_GB2312" w:hAnsi="仿宋_GB2312" w:eastAsia="仿宋_GB2312" w:cs="仿宋_GB2312"/>
                <w:szCs w:val="21"/>
              </w:rPr>
            </w:pPr>
          </w:p>
        </w:tc>
        <w:tc>
          <w:tcPr>
            <w:tcW w:w="501" w:type="dxa"/>
            <w:vMerge w:val="continue"/>
            <w:tcBorders>
              <w:top w:val="nil"/>
            </w:tcBorders>
            <w:noWrap w:val="0"/>
            <w:vAlign w:val="center"/>
          </w:tcPr>
          <w:p w14:paraId="530D53A7">
            <w:pPr>
              <w:jc w:val="center"/>
              <w:rPr>
                <w:rFonts w:hint="eastAsia" w:ascii="仿宋_GB2312" w:hAnsi="仿宋_GB2312" w:eastAsia="仿宋_GB2312" w:cs="仿宋_GB2312"/>
                <w:szCs w:val="21"/>
              </w:rPr>
            </w:pPr>
          </w:p>
        </w:tc>
        <w:tc>
          <w:tcPr>
            <w:tcW w:w="761" w:type="dxa"/>
            <w:noWrap w:val="0"/>
            <w:vAlign w:val="center"/>
          </w:tcPr>
          <w:p w14:paraId="3F9B6EF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&gt;10</w:t>
            </w:r>
          </w:p>
        </w:tc>
        <w:tc>
          <w:tcPr>
            <w:tcW w:w="480" w:type="dxa"/>
            <w:noWrap w:val="0"/>
            <w:vAlign w:val="center"/>
          </w:tcPr>
          <w:p w14:paraId="7F0D945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r>
      <w:tr w14:paraId="0BFDAB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jc w:val="center"/>
        </w:trPr>
        <w:tc>
          <w:tcPr>
            <w:tcW w:w="302" w:type="dxa"/>
            <w:vMerge w:val="restart"/>
            <w:noWrap w:val="0"/>
            <w:vAlign w:val="center"/>
          </w:tcPr>
          <w:p w14:paraId="594B864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一级</w:t>
            </w:r>
          </w:p>
        </w:tc>
        <w:tc>
          <w:tcPr>
            <w:tcW w:w="400" w:type="dxa"/>
            <w:vMerge w:val="restart"/>
            <w:noWrap w:val="0"/>
            <w:vAlign w:val="center"/>
          </w:tcPr>
          <w:p w14:paraId="60B4951D">
            <w:pPr>
              <w:jc w:val="center"/>
              <w:rPr>
                <w:rFonts w:hint="eastAsia" w:ascii="仿宋_GB2312" w:hAnsi="仿宋_GB2312" w:eastAsia="仿宋_GB2312" w:cs="仿宋_GB2312"/>
                <w:szCs w:val="21"/>
              </w:rPr>
            </w:pPr>
          </w:p>
          <w:p w14:paraId="365A717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车行道</w:t>
            </w:r>
          </w:p>
        </w:tc>
        <w:tc>
          <w:tcPr>
            <w:tcW w:w="697" w:type="dxa"/>
            <w:noWrap w:val="0"/>
            <w:vAlign w:val="center"/>
          </w:tcPr>
          <w:p w14:paraId="7010365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709" w:type="dxa"/>
            <w:noWrap w:val="0"/>
            <w:vAlign w:val="center"/>
          </w:tcPr>
          <w:p w14:paraId="21786A5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613" w:type="dxa"/>
            <w:noWrap w:val="0"/>
            <w:vAlign w:val="center"/>
          </w:tcPr>
          <w:p w14:paraId="7F4FE14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5" w:type="dxa"/>
            <w:noWrap w:val="0"/>
            <w:vAlign w:val="center"/>
          </w:tcPr>
          <w:p w14:paraId="4C642E8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86" w:type="dxa"/>
            <w:noWrap w:val="0"/>
            <w:vAlign w:val="center"/>
          </w:tcPr>
          <w:p w14:paraId="0CF7F3C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437" w:type="dxa"/>
            <w:noWrap w:val="0"/>
            <w:vAlign w:val="center"/>
          </w:tcPr>
          <w:p w14:paraId="2AFB52C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50" w:type="dxa"/>
            <w:noWrap w:val="0"/>
            <w:vAlign w:val="center"/>
          </w:tcPr>
          <w:p w14:paraId="1DFD8B7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91" w:type="dxa"/>
            <w:noWrap w:val="0"/>
            <w:vAlign w:val="center"/>
          </w:tcPr>
          <w:p w14:paraId="01012F9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709" w:type="dxa"/>
            <w:noWrap w:val="0"/>
            <w:vAlign w:val="center"/>
          </w:tcPr>
          <w:p w14:paraId="6FF0C34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59" w:type="dxa"/>
            <w:noWrap w:val="0"/>
            <w:vAlign w:val="center"/>
          </w:tcPr>
          <w:p w14:paraId="1B35705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20" w:type="dxa"/>
            <w:noWrap w:val="0"/>
            <w:vAlign w:val="center"/>
          </w:tcPr>
          <w:p w14:paraId="7F84CC8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60" w:type="dxa"/>
            <w:noWrap w:val="0"/>
            <w:vAlign w:val="center"/>
          </w:tcPr>
          <w:p w14:paraId="41A3E2B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49" w:type="dxa"/>
            <w:noWrap w:val="0"/>
            <w:vAlign w:val="center"/>
          </w:tcPr>
          <w:p w14:paraId="27D0197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01" w:type="dxa"/>
            <w:noWrap w:val="0"/>
            <w:vAlign w:val="center"/>
          </w:tcPr>
          <w:p w14:paraId="6E8FC13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61" w:type="dxa"/>
            <w:noWrap w:val="0"/>
            <w:vAlign w:val="center"/>
          </w:tcPr>
          <w:p w14:paraId="5BDAC6B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80" w:type="dxa"/>
            <w:noWrap w:val="0"/>
            <w:vAlign w:val="center"/>
          </w:tcPr>
          <w:p w14:paraId="24B7C17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14:paraId="2134A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jc w:val="center"/>
        </w:trPr>
        <w:tc>
          <w:tcPr>
            <w:tcW w:w="302" w:type="dxa"/>
            <w:vMerge w:val="continue"/>
            <w:tcBorders>
              <w:top w:val="nil"/>
            </w:tcBorders>
            <w:noWrap w:val="0"/>
            <w:vAlign w:val="center"/>
          </w:tcPr>
          <w:p w14:paraId="0243BD6A">
            <w:pPr>
              <w:jc w:val="center"/>
              <w:rPr>
                <w:rFonts w:hint="eastAsia" w:ascii="仿宋_GB2312" w:hAnsi="仿宋_GB2312" w:eastAsia="仿宋_GB2312" w:cs="仿宋_GB2312"/>
                <w:szCs w:val="21"/>
              </w:rPr>
            </w:pPr>
          </w:p>
        </w:tc>
        <w:tc>
          <w:tcPr>
            <w:tcW w:w="400" w:type="dxa"/>
            <w:vMerge w:val="continue"/>
            <w:tcBorders>
              <w:top w:val="nil"/>
            </w:tcBorders>
            <w:noWrap w:val="0"/>
            <w:vAlign w:val="center"/>
          </w:tcPr>
          <w:p w14:paraId="5A95C28B">
            <w:pPr>
              <w:jc w:val="center"/>
              <w:rPr>
                <w:rFonts w:hint="eastAsia" w:ascii="仿宋_GB2312" w:hAnsi="仿宋_GB2312" w:eastAsia="仿宋_GB2312" w:cs="仿宋_GB2312"/>
                <w:szCs w:val="21"/>
              </w:rPr>
            </w:pPr>
          </w:p>
        </w:tc>
        <w:tc>
          <w:tcPr>
            <w:tcW w:w="697" w:type="dxa"/>
            <w:noWrap w:val="0"/>
            <w:vAlign w:val="center"/>
          </w:tcPr>
          <w:p w14:paraId="0BBC5FA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1∽3</w:t>
            </w:r>
          </w:p>
        </w:tc>
        <w:tc>
          <w:tcPr>
            <w:tcW w:w="709" w:type="dxa"/>
            <w:noWrap w:val="0"/>
            <w:vAlign w:val="center"/>
          </w:tcPr>
          <w:p w14:paraId="758AF6D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613" w:type="dxa"/>
            <w:vMerge w:val="restart"/>
            <w:noWrap w:val="0"/>
            <w:vAlign w:val="center"/>
          </w:tcPr>
          <w:p w14:paraId="2538B29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w:t>
            </w:r>
          </w:p>
        </w:tc>
        <w:tc>
          <w:tcPr>
            <w:tcW w:w="505" w:type="dxa"/>
            <w:vMerge w:val="restart"/>
            <w:noWrap w:val="0"/>
            <w:vAlign w:val="center"/>
          </w:tcPr>
          <w:p w14:paraId="2AFF079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586" w:type="dxa"/>
            <w:vMerge w:val="restart"/>
            <w:noWrap w:val="0"/>
            <w:vAlign w:val="center"/>
          </w:tcPr>
          <w:p w14:paraId="63EEF81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w:t>
            </w:r>
          </w:p>
        </w:tc>
        <w:tc>
          <w:tcPr>
            <w:tcW w:w="437" w:type="dxa"/>
            <w:vMerge w:val="restart"/>
            <w:noWrap w:val="0"/>
            <w:vAlign w:val="center"/>
          </w:tcPr>
          <w:p w14:paraId="494531CC">
            <w:pPr>
              <w:jc w:val="center"/>
              <w:rPr>
                <w:rFonts w:hint="eastAsia" w:ascii="仿宋_GB2312" w:hAnsi="仿宋_GB2312" w:eastAsia="仿宋_GB2312" w:cs="仿宋_GB2312"/>
                <w:szCs w:val="21"/>
              </w:rPr>
            </w:pPr>
          </w:p>
          <w:p w14:paraId="23C988B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50" w:type="dxa"/>
            <w:noWrap w:val="0"/>
            <w:vAlign w:val="center"/>
          </w:tcPr>
          <w:p w14:paraId="15F9B44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5∽10</w:t>
            </w:r>
          </w:p>
        </w:tc>
        <w:tc>
          <w:tcPr>
            <w:tcW w:w="491" w:type="dxa"/>
            <w:noWrap w:val="0"/>
            <w:vAlign w:val="center"/>
          </w:tcPr>
          <w:p w14:paraId="0C7FED8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09" w:type="dxa"/>
            <w:vMerge w:val="restart"/>
            <w:noWrap w:val="0"/>
            <w:vAlign w:val="center"/>
          </w:tcPr>
          <w:p w14:paraId="7F0D6F2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559" w:type="dxa"/>
            <w:vMerge w:val="restart"/>
            <w:noWrap w:val="0"/>
            <w:vAlign w:val="center"/>
          </w:tcPr>
          <w:p w14:paraId="11A1920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20" w:type="dxa"/>
            <w:vMerge w:val="restart"/>
            <w:noWrap w:val="0"/>
            <w:vAlign w:val="center"/>
          </w:tcPr>
          <w:p w14:paraId="3933456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460" w:type="dxa"/>
            <w:vMerge w:val="restart"/>
            <w:noWrap w:val="0"/>
            <w:vAlign w:val="center"/>
          </w:tcPr>
          <w:p w14:paraId="19C117B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49" w:type="dxa"/>
            <w:vMerge w:val="restart"/>
            <w:noWrap w:val="0"/>
            <w:vAlign w:val="center"/>
          </w:tcPr>
          <w:p w14:paraId="4E58AA2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501" w:type="dxa"/>
            <w:vMerge w:val="restart"/>
            <w:noWrap w:val="0"/>
            <w:vAlign w:val="center"/>
          </w:tcPr>
          <w:p w14:paraId="20701A0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61" w:type="dxa"/>
            <w:noWrap w:val="0"/>
            <w:vAlign w:val="center"/>
          </w:tcPr>
          <w:p w14:paraId="083881B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5∽10</w:t>
            </w:r>
          </w:p>
        </w:tc>
        <w:tc>
          <w:tcPr>
            <w:tcW w:w="480" w:type="dxa"/>
            <w:noWrap w:val="0"/>
            <w:vAlign w:val="center"/>
          </w:tcPr>
          <w:p w14:paraId="1953AF7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r>
      <w:tr w14:paraId="60A6E8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jc w:val="center"/>
        </w:trPr>
        <w:tc>
          <w:tcPr>
            <w:tcW w:w="302" w:type="dxa"/>
            <w:vMerge w:val="continue"/>
            <w:tcBorders>
              <w:top w:val="nil"/>
            </w:tcBorders>
            <w:noWrap w:val="0"/>
            <w:vAlign w:val="center"/>
          </w:tcPr>
          <w:p w14:paraId="1E528DA7">
            <w:pPr>
              <w:jc w:val="center"/>
              <w:rPr>
                <w:rFonts w:hint="eastAsia" w:ascii="仿宋_GB2312" w:hAnsi="仿宋_GB2312" w:eastAsia="仿宋_GB2312" w:cs="仿宋_GB2312"/>
                <w:szCs w:val="21"/>
              </w:rPr>
            </w:pPr>
          </w:p>
        </w:tc>
        <w:tc>
          <w:tcPr>
            <w:tcW w:w="400" w:type="dxa"/>
            <w:vMerge w:val="continue"/>
            <w:tcBorders>
              <w:top w:val="nil"/>
            </w:tcBorders>
            <w:noWrap w:val="0"/>
            <w:vAlign w:val="center"/>
          </w:tcPr>
          <w:p w14:paraId="15ADF100">
            <w:pPr>
              <w:jc w:val="center"/>
              <w:rPr>
                <w:rFonts w:hint="eastAsia" w:ascii="仿宋_GB2312" w:hAnsi="仿宋_GB2312" w:eastAsia="仿宋_GB2312" w:cs="仿宋_GB2312"/>
                <w:szCs w:val="21"/>
              </w:rPr>
            </w:pPr>
          </w:p>
        </w:tc>
        <w:tc>
          <w:tcPr>
            <w:tcW w:w="697" w:type="dxa"/>
            <w:noWrap w:val="0"/>
            <w:vAlign w:val="center"/>
          </w:tcPr>
          <w:p w14:paraId="0509B55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w:t>
            </w:r>
          </w:p>
        </w:tc>
        <w:tc>
          <w:tcPr>
            <w:tcW w:w="709" w:type="dxa"/>
            <w:noWrap w:val="0"/>
            <w:vAlign w:val="center"/>
          </w:tcPr>
          <w:p w14:paraId="34C6DD4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613" w:type="dxa"/>
            <w:vMerge w:val="continue"/>
            <w:tcBorders>
              <w:top w:val="nil"/>
            </w:tcBorders>
            <w:noWrap w:val="0"/>
            <w:vAlign w:val="center"/>
          </w:tcPr>
          <w:p w14:paraId="6E1D6CD4">
            <w:pPr>
              <w:jc w:val="center"/>
              <w:rPr>
                <w:rFonts w:hint="eastAsia" w:ascii="仿宋_GB2312" w:hAnsi="仿宋_GB2312" w:eastAsia="仿宋_GB2312" w:cs="仿宋_GB2312"/>
                <w:szCs w:val="21"/>
              </w:rPr>
            </w:pPr>
          </w:p>
        </w:tc>
        <w:tc>
          <w:tcPr>
            <w:tcW w:w="505" w:type="dxa"/>
            <w:vMerge w:val="continue"/>
            <w:tcBorders>
              <w:top w:val="nil"/>
            </w:tcBorders>
            <w:noWrap w:val="0"/>
            <w:vAlign w:val="center"/>
          </w:tcPr>
          <w:p w14:paraId="1AFAD4CC">
            <w:pPr>
              <w:jc w:val="center"/>
              <w:rPr>
                <w:rFonts w:hint="eastAsia" w:ascii="仿宋_GB2312" w:hAnsi="仿宋_GB2312" w:eastAsia="仿宋_GB2312" w:cs="仿宋_GB2312"/>
                <w:szCs w:val="21"/>
              </w:rPr>
            </w:pPr>
          </w:p>
        </w:tc>
        <w:tc>
          <w:tcPr>
            <w:tcW w:w="586" w:type="dxa"/>
            <w:vMerge w:val="continue"/>
            <w:tcBorders>
              <w:top w:val="nil"/>
            </w:tcBorders>
            <w:noWrap w:val="0"/>
            <w:vAlign w:val="center"/>
          </w:tcPr>
          <w:p w14:paraId="2D48D09C">
            <w:pPr>
              <w:jc w:val="center"/>
              <w:rPr>
                <w:rFonts w:hint="eastAsia" w:ascii="仿宋_GB2312" w:hAnsi="仿宋_GB2312" w:eastAsia="仿宋_GB2312" w:cs="仿宋_GB2312"/>
                <w:szCs w:val="21"/>
              </w:rPr>
            </w:pPr>
          </w:p>
        </w:tc>
        <w:tc>
          <w:tcPr>
            <w:tcW w:w="437" w:type="dxa"/>
            <w:vMerge w:val="continue"/>
            <w:tcBorders>
              <w:top w:val="nil"/>
            </w:tcBorders>
            <w:noWrap w:val="0"/>
            <w:vAlign w:val="center"/>
          </w:tcPr>
          <w:p w14:paraId="2D5F7C5C">
            <w:pPr>
              <w:jc w:val="center"/>
              <w:rPr>
                <w:rFonts w:hint="eastAsia" w:ascii="仿宋_GB2312" w:hAnsi="仿宋_GB2312" w:eastAsia="仿宋_GB2312" w:cs="仿宋_GB2312"/>
                <w:szCs w:val="21"/>
              </w:rPr>
            </w:pPr>
          </w:p>
        </w:tc>
        <w:tc>
          <w:tcPr>
            <w:tcW w:w="750" w:type="dxa"/>
            <w:noWrap w:val="0"/>
            <w:vAlign w:val="center"/>
          </w:tcPr>
          <w:p w14:paraId="191C288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&gt;10</w:t>
            </w:r>
          </w:p>
        </w:tc>
        <w:tc>
          <w:tcPr>
            <w:tcW w:w="491" w:type="dxa"/>
            <w:noWrap w:val="0"/>
            <w:vAlign w:val="center"/>
          </w:tcPr>
          <w:p w14:paraId="0C53F7F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09" w:type="dxa"/>
            <w:vMerge w:val="continue"/>
            <w:tcBorders>
              <w:top w:val="nil"/>
            </w:tcBorders>
            <w:noWrap w:val="0"/>
            <w:vAlign w:val="center"/>
          </w:tcPr>
          <w:p w14:paraId="0293C346">
            <w:pPr>
              <w:jc w:val="center"/>
              <w:rPr>
                <w:rFonts w:hint="eastAsia" w:ascii="仿宋_GB2312" w:hAnsi="仿宋_GB2312" w:eastAsia="仿宋_GB2312" w:cs="仿宋_GB2312"/>
                <w:szCs w:val="21"/>
              </w:rPr>
            </w:pPr>
          </w:p>
        </w:tc>
        <w:tc>
          <w:tcPr>
            <w:tcW w:w="559" w:type="dxa"/>
            <w:vMerge w:val="continue"/>
            <w:tcBorders>
              <w:top w:val="nil"/>
            </w:tcBorders>
            <w:noWrap w:val="0"/>
            <w:vAlign w:val="center"/>
          </w:tcPr>
          <w:p w14:paraId="3ED56671">
            <w:pPr>
              <w:jc w:val="center"/>
              <w:rPr>
                <w:rFonts w:hint="eastAsia" w:ascii="仿宋_GB2312" w:hAnsi="仿宋_GB2312" w:eastAsia="仿宋_GB2312" w:cs="仿宋_GB2312"/>
                <w:szCs w:val="21"/>
              </w:rPr>
            </w:pPr>
          </w:p>
        </w:tc>
        <w:tc>
          <w:tcPr>
            <w:tcW w:w="720" w:type="dxa"/>
            <w:vMerge w:val="continue"/>
            <w:tcBorders>
              <w:top w:val="nil"/>
            </w:tcBorders>
            <w:noWrap w:val="0"/>
            <w:vAlign w:val="center"/>
          </w:tcPr>
          <w:p w14:paraId="20AE610A">
            <w:pPr>
              <w:jc w:val="center"/>
              <w:rPr>
                <w:rFonts w:hint="eastAsia" w:ascii="仿宋_GB2312" w:hAnsi="仿宋_GB2312" w:eastAsia="仿宋_GB2312" w:cs="仿宋_GB2312"/>
                <w:szCs w:val="21"/>
              </w:rPr>
            </w:pPr>
          </w:p>
        </w:tc>
        <w:tc>
          <w:tcPr>
            <w:tcW w:w="460" w:type="dxa"/>
            <w:vMerge w:val="continue"/>
            <w:tcBorders>
              <w:top w:val="nil"/>
            </w:tcBorders>
            <w:noWrap w:val="0"/>
            <w:vAlign w:val="center"/>
          </w:tcPr>
          <w:p w14:paraId="45AAC9C1">
            <w:pPr>
              <w:jc w:val="center"/>
              <w:rPr>
                <w:rFonts w:hint="eastAsia" w:ascii="仿宋_GB2312" w:hAnsi="仿宋_GB2312" w:eastAsia="仿宋_GB2312" w:cs="仿宋_GB2312"/>
                <w:szCs w:val="21"/>
              </w:rPr>
            </w:pPr>
          </w:p>
        </w:tc>
        <w:tc>
          <w:tcPr>
            <w:tcW w:w="749" w:type="dxa"/>
            <w:vMerge w:val="continue"/>
            <w:tcBorders>
              <w:top w:val="nil"/>
            </w:tcBorders>
            <w:noWrap w:val="0"/>
            <w:vAlign w:val="center"/>
          </w:tcPr>
          <w:p w14:paraId="160E4981">
            <w:pPr>
              <w:jc w:val="center"/>
              <w:rPr>
                <w:rFonts w:hint="eastAsia" w:ascii="仿宋_GB2312" w:hAnsi="仿宋_GB2312" w:eastAsia="仿宋_GB2312" w:cs="仿宋_GB2312"/>
                <w:szCs w:val="21"/>
              </w:rPr>
            </w:pPr>
          </w:p>
        </w:tc>
        <w:tc>
          <w:tcPr>
            <w:tcW w:w="501" w:type="dxa"/>
            <w:vMerge w:val="continue"/>
            <w:tcBorders>
              <w:top w:val="nil"/>
            </w:tcBorders>
            <w:noWrap w:val="0"/>
            <w:vAlign w:val="center"/>
          </w:tcPr>
          <w:p w14:paraId="5647F50D">
            <w:pPr>
              <w:jc w:val="center"/>
              <w:rPr>
                <w:rFonts w:hint="eastAsia" w:ascii="仿宋_GB2312" w:hAnsi="仿宋_GB2312" w:eastAsia="仿宋_GB2312" w:cs="仿宋_GB2312"/>
                <w:szCs w:val="21"/>
              </w:rPr>
            </w:pPr>
          </w:p>
        </w:tc>
        <w:tc>
          <w:tcPr>
            <w:tcW w:w="761" w:type="dxa"/>
            <w:noWrap w:val="0"/>
            <w:vAlign w:val="center"/>
          </w:tcPr>
          <w:p w14:paraId="06BE7F8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&gt;10</w:t>
            </w:r>
          </w:p>
        </w:tc>
        <w:tc>
          <w:tcPr>
            <w:tcW w:w="480" w:type="dxa"/>
            <w:noWrap w:val="0"/>
            <w:vAlign w:val="center"/>
          </w:tcPr>
          <w:p w14:paraId="0A81FC6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r>
      <w:tr w14:paraId="0307B8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jc w:val="center"/>
        </w:trPr>
        <w:tc>
          <w:tcPr>
            <w:tcW w:w="302" w:type="dxa"/>
            <w:vMerge w:val="continue"/>
            <w:tcBorders>
              <w:top w:val="nil"/>
            </w:tcBorders>
            <w:noWrap w:val="0"/>
            <w:vAlign w:val="center"/>
          </w:tcPr>
          <w:p w14:paraId="6B348A5A">
            <w:pPr>
              <w:jc w:val="center"/>
              <w:rPr>
                <w:rFonts w:hint="eastAsia" w:ascii="仿宋_GB2312" w:hAnsi="仿宋_GB2312" w:eastAsia="仿宋_GB2312" w:cs="仿宋_GB2312"/>
                <w:szCs w:val="21"/>
              </w:rPr>
            </w:pPr>
          </w:p>
        </w:tc>
        <w:tc>
          <w:tcPr>
            <w:tcW w:w="400" w:type="dxa"/>
            <w:vMerge w:val="restart"/>
            <w:noWrap w:val="0"/>
            <w:vAlign w:val="center"/>
          </w:tcPr>
          <w:p w14:paraId="4BA71469">
            <w:pPr>
              <w:jc w:val="center"/>
              <w:rPr>
                <w:rFonts w:hint="eastAsia" w:ascii="仿宋_GB2312" w:hAnsi="仿宋_GB2312" w:eastAsia="仿宋_GB2312" w:cs="仿宋_GB2312"/>
                <w:szCs w:val="21"/>
              </w:rPr>
            </w:pPr>
          </w:p>
          <w:p w14:paraId="518FCF7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人行道</w:t>
            </w:r>
          </w:p>
        </w:tc>
        <w:tc>
          <w:tcPr>
            <w:tcW w:w="697" w:type="dxa"/>
            <w:noWrap w:val="0"/>
            <w:vAlign w:val="center"/>
          </w:tcPr>
          <w:p w14:paraId="3CC2052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709" w:type="dxa"/>
            <w:noWrap w:val="0"/>
            <w:vAlign w:val="center"/>
          </w:tcPr>
          <w:p w14:paraId="5A1B5BD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613" w:type="dxa"/>
            <w:noWrap w:val="0"/>
            <w:vAlign w:val="center"/>
          </w:tcPr>
          <w:p w14:paraId="6251EF6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5" w:type="dxa"/>
            <w:noWrap w:val="0"/>
            <w:vAlign w:val="center"/>
          </w:tcPr>
          <w:p w14:paraId="634508A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86" w:type="dxa"/>
            <w:noWrap w:val="0"/>
            <w:vAlign w:val="center"/>
          </w:tcPr>
          <w:p w14:paraId="7E712CA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437" w:type="dxa"/>
            <w:noWrap w:val="0"/>
            <w:vAlign w:val="center"/>
          </w:tcPr>
          <w:p w14:paraId="66D5D4A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50" w:type="dxa"/>
            <w:noWrap w:val="0"/>
            <w:vAlign w:val="center"/>
          </w:tcPr>
          <w:p w14:paraId="1C8E501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91" w:type="dxa"/>
            <w:noWrap w:val="0"/>
            <w:vAlign w:val="center"/>
          </w:tcPr>
          <w:p w14:paraId="54A2088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709" w:type="dxa"/>
            <w:noWrap w:val="0"/>
            <w:vAlign w:val="center"/>
          </w:tcPr>
          <w:p w14:paraId="1111CF1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59" w:type="dxa"/>
            <w:noWrap w:val="0"/>
            <w:vAlign w:val="center"/>
          </w:tcPr>
          <w:p w14:paraId="65440BD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20" w:type="dxa"/>
            <w:noWrap w:val="0"/>
            <w:vAlign w:val="center"/>
          </w:tcPr>
          <w:p w14:paraId="0543F1E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60" w:type="dxa"/>
            <w:noWrap w:val="0"/>
            <w:vAlign w:val="center"/>
          </w:tcPr>
          <w:p w14:paraId="2CEBDC7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49" w:type="dxa"/>
            <w:noWrap w:val="0"/>
            <w:vAlign w:val="center"/>
          </w:tcPr>
          <w:p w14:paraId="730BD14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01" w:type="dxa"/>
            <w:noWrap w:val="0"/>
            <w:vAlign w:val="center"/>
          </w:tcPr>
          <w:p w14:paraId="38503C3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61" w:type="dxa"/>
            <w:noWrap w:val="0"/>
            <w:vAlign w:val="center"/>
          </w:tcPr>
          <w:p w14:paraId="5EDDA55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80" w:type="dxa"/>
            <w:noWrap w:val="0"/>
            <w:vAlign w:val="center"/>
          </w:tcPr>
          <w:p w14:paraId="4070BAC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14:paraId="7BDCA4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jc w:val="center"/>
        </w:trPr>
        <w:tc>
          <w:tcPr>
            <w:tcW w:w="302" w:type="dxa"/>
            <w:vMerge w:val="continue"/>
            <w:tcBorders>
              <w:top w:val="nil"/>
            </w:tcBorders>
            <w:noWrap w:val="0"/>
            <w:vAlign w:val="center"/>
          </w:tcPr>
          <w:p w14:paraId="6F4DD325">
            <w:pPr>
              <w:jc w:val="center"/>
              <w:rPr>
                <w:rFonts w:hint="eastAsia" w:ascii="仿宋_GB2312" w:hAnsi="仿宋_GB2312" w:eastAsia="仿宋_GB2312" w:cs="仿宋_GB2312"/>
                <w:szCs w:val="21"/>
              </w:rPr>
            </w:pPr>
          </w:p>
        </w:tc>
        <w:tc>
          <w:tcPr>
            <w:tcW w:w="400" w:type="dxa"/>
            <w:vMerge w:val="continue"/>
            <w:tcBorders>
              <w:top w:val="nil"/>
            </w:tcBorders>
            <w:noWrap w:val="0"/>
            <w:vAlign w:val="center"/>
          </w:tcPr>
          <w:p w14:paraId="0036F50F">
            <w:pPr>
              <w:jc w:val="center"/>
              <w:rPr>
                <w:rFonts w:hint="eastAsia" w:ascii="仿宋_GB2312" w:hAnsi="仿宋_GB2312" w:eastAsia="仿宋_GB2312" w:cs="仿宋_GB2312"/>
                <w:szCs w:val="21"/>
              </w:rPr>
            </w:pPr>
          </w:p>
        </w:tc>
        <w:tc>
          <w:tcPr>
            <w:tcW w:w="697" w:type="dxa"/>
            <w:noWrap w:val="0"/>
            <w:vAlign w:val="center"/>
          </w:tcPr>
          <w:p w14:paraId="6927EFE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1∽3</w:t>
            </w:r>
          </w:p>
        </w:tc>
        <w:tc>
          <w:tcPr>
            <w:tcW w:w="709" w:type="dxa"/>
            <w:noWrap w:val="0"/>
            <w:vAlign w:val="center"/>
          </w:tcPr>
          <w:p w14:paraId="6D79F27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613" w:type="dxa"/>
            <w:vMerge w:val="restart"/>
            <w:noWrap w:val="0"/>
            <w:vAlign w:val="center"/>
          </w:tcPr>
          <w:p w14:paraId="0DA7BA9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w:t>
            </w:r>
          </w:p>
        </w:tc>
        <w:tc>
          <w:tcPr>
            <w:tcW w:w="505" w:type="dxa"/>
            <w:vMerge w:val="restart"/>
            <w:noWrap w:val="0"/>
            <w:vAlign w:val="center"/>
          </w:tcPr>
          <w:p w14:paraId="0679F59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586" w:type="dxa"/>
            <w:vMerge w:val="restart"/>
            <w:noWrap w:val="0"/>
            <w:vAlign w:val="center"/>
          </w:tcPr>
          <w:p w14:paraId="5626949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w:t>
            </w:r>
          </w:p>
        </w:tc>
        <w:tc>
          <w:tcPr>
            <w:tcW w:w="437" w:type="dxa"/>
            <w:vMerge w:val="restart"/>
            <w:noWrap w:val="0"/>
            <w:vAlign w:val="center"/>
          </w:tcPr>
          <w:p w14:paraId="6F2BDEB7">
            <w:pPr>
              <w:jc w:val="center"/>
              <w:rPr>
                <w:rFonts w:hint="eastAsia" w:ascii="仿宋_GB2312" w:hAnsi="仿宋_GB2312" w:eastAsia="仿宋_GB2312" w:cs="仿宋_GB2312"/>
                <w:szCs w:val="21"/>
              </w:rPr>
            </w:pPr>
          </w:p>
          <w:p w14:paraId="269F679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50" w:type="dxa"/>
            <w:noWrap w:val="0"/>
            <w:vAlign w:val="center"/>
          </w:tcPr>
          <w:p w14:paraId="191CE51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5∽20</w:t>
            </w:r>
          </w:p>
        </w:tc>
        <w:tc>
          <w:tcPr>
            <w:tcW w:w="491" w:type="dxa"/>
            <w:noWrap w:val="0"/>
            <w:vAlign w:val="center"/>
          </w:tcPr>
          <w:p w14:paraId="76A56B6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09" w:type="dxa"/>
            <w:vMerge w:val="restart"/>
            <w:noWrap w:val="0"/>
            <w:vAlign w:val="center"/>
          </w:tcPr>
          <w:p w14:paraId="3715204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559" w:type="dxa"/>
            <w:vMerge w:val="restart"/>
            <w:noWrap w:val="0"/>
            <w:vAlign w:val="center"/>
          </w:tcPr>
          <w:p w14:paraId="2968F3F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20" w:type="dxa"/>
            <w:vMerge w:val="restart"/>
            <w:noWrap w:val="0"/>
            <w:vAlign w:val="center"/>
          </w:tcPr>
          <w:p w14:paraId="6AFB918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460" w:type="dxa"/>
            <w:vMerge w:val="restart"/>
            <w:noWrap w:val="0"/>
            <w:vAlign w:val="center"/>
          </w:tcPr>
          <w:p w14:paraId="076B090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49" w:type="dxa"/>
            <w:vMerge w:val="restart"/>
            <w:noWrap w:val="0"/>
            <w:vAlign w:val="center"/>
          </w:tcPr>
          <w:p w14:paraId="3425442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501" w:type="dxa"/>
            <w:vMerge w:val="restart"/>
            <w:noWrap w:val="0"/>
            <w:vAlign w:val="center"/>
          </w:tcPr>
          <w:p w14:paraId="116BE19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61" w:type="dxa"/>
            <w:noWrap w:val="0"/>
            <w:vAlign w:val="center"/>
          </w:tcPr>
          <w:p w14:paraId="6EEFDA0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5∽10</w:t>
            </w:r>
          </w:p>
        </w:tc>
        <w:tc>
          <w:tcPr>
            <w:tcW w:w="480" w:type="dxa"/>
            <w:noWrap w:val="0"/>
            <w:vAlign w:val="center"/>
          </w:tcPr>
          <w:p w14:paraId="3C13EA8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r>
      <w:tr w14:paraId="6601B5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8" w:hRule="atLeast"/>
          <w:jc w:val="center"/>
        </w:trPr>
        <w:tc>
          <w:tcPr>
            <w:tcW w:w="302" w:type="dxa"/>
            <w:vMerge w:val="continue"/>
            <w:tcBorders>
              <w:top w:val="nil"/>
              <w:bottom w:val="single" w:color="auto" w:sz="4" w:space="0"/>
            </w:tcBorders>
            <w:noWrap w:val="0"/>
            <w:vAlign w:val="center"/>
          </w:tcPr>
          <w:p w14:paraId="0235CD02">
            <w:pPr>
              <w:jc w:val="center"/>
              <w:rPr>
                <w:rFonts w:hint="eastAsia" w:ascii="仿宋_GB2312" w:hAnsi="仿宋_GB2312" w:eastAsia="仿宋_GB2312" w:cs="仿宋_GB2312"/>
                <w:szCs w:val="21"/>
              </w:rPr>
            </w:pPr>
          </w:p>
        </w:tc>
        <w:tc>
          <w:tcPr>
            <w:tcW w:w="400" w:type="dxa"/>
            <w:vMerge w:val="continue"/>
            <w:tcBorders>
              <w:top w:val="nil"/>
              <w:bottom w:val="single" w:color="auto" w:sz="4" w:space="0"/>
            </w:tcBorders>
            <w:noWrap w:val="0"/>
            <w:vAlign w:val="center"/>
          </w:tcPr>
          <w:p w14:paraId="00FED068">
            <w:pPr>
              <w:jc w:val="center"/>
              <w:rPr>
                <w:rFonts w:hint="eastAsia" w:ascii="仿宋_GB2312" w:hAnsi="仿宋_GB2312" w:eastAsia="仿宋_GB2312" w:cs="仿宋_GB2312"/>
                <w:szCs w:val="21"/>
              </w:rPr>
            </w:pPr>
          </w:p>
        </w:tc>
        <w:tc>
          <w:tcPr>
            <w:tcW w:w="697" w:type="dxa"/>
            <w:noWrap w:val="0"/>
            <w:vAlign w:val="center"/>
          </w:tcPr>
          <w:p w14:paraId="2FC597F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w:t>
            </w:r>
          </w:p>
        </w:tc>
        <w:tc>
          <w:tcPr>
            <w:tcW w:w="709" w:type="dxa"/>
            <w:noWrap w:val="0"/>
            <w:vAlign w:val="center"/>
          </w:tcPr>
          <w:p w14:paraId="2EE420A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613" w:type="dxa"/>
            <w:vMerge w:val="continue"/>
            <w:tcBorders>
              <w:top w:val="nil"/>
            </w:tcBorders>
            <w:noWrap w:val="0"/>
            <w:vAlign w:val="center"/>
          </w:tcPr>
          <w:p w14:paraId="2B8ED198">
            <w:pPr>
              <w:jc w:val="center"/>
              <w:rPr>
                <w:rFonts w:hint="eastAsia" w:ascii="仿宋_GB2312" w:hAnsi="仿宋_GB2312" w:eastAsia="仿宋_GB2312" w:cs="仿宋_GB2312"/>
                <w:szCs w:val="21"/>
              </w:rPr>
            </w:pPr>
          </w:p>
        </w:tc>
        <w:tc>
          <w:tcPr>
            <w:tcW w:w="505" w:type="dxa"/>
            <w:vMerge w:val="continue"/>
            <w:tcBorders>
              <w:top w:val="nil"/>
            </w:tcBorders>
            <w:noWrap w:val="0"/>
            <w:vAlign w:val="center"/>
          </w:tcPr>
          <w:p w14:paraId="5A937C68">
            <w:pPr>
              <w:jc w:val="center"/>
              <w:rPr>
                <w:rFonts w:hint="eastAsia" w:ascii="仿宋_GB2312" w:hAnsi="仿宋_GB2312" w:eastAsia="仿宋_GB2312" w:cs="仿宋_GB2312"/>
                <w:szCs w:val="21"/>
              </w:rPr>
            </w:pPr>
          </w:p>
        </w:tc>
        <w:tc>
          <w:tcPr>
            <w:tcW w:w="586" w:type="dxa"/>
            <w:vMerge w:val="continue"/>
            <w:tcBorders>
              <w:top w:val="nil"/>
            </w:tcBorders>
            <w:noWrap w:val="0"/>
            <w:vAlign w:val="center"/>
          </w:tcPr>
          <w:p w14:paraId="18D6F775">
            <w:pPr>
              <w:jc w:val="center"/>
              <w:rPr>
                <w:rFonts w:hint="eastAsia" w:ascii="仿宋_GB2312" w:hAnsi="仿宋_GB2312" w:eastAsia="仿宋_GB2312" w:cs="仿宋_GB2312"/>
                <w:szCs w:val="21"/>
              </w:rPr>
            </w:pPr>
          </w:p>
        </w:tc>
        <w:tc>
          <w:tcPr>
            <w:tcW w:w="437" w:type="dxa"/>
            <w:vMerge w:val="continue"/>
            <w:tcBorders>
              <w:top w:val="nil"/>
            </w:tcBorders>
            <w:noWrap w:val="0"/>
            <w:vAlign w:val="center"/>
          </w:tcPr>
          <w:p w14:paraId="2BBF6D1C">
            <w:pPr>
              <w:jc w:val="center"/>
              <w:rPr>
                <w:rFonts w:hint="eastAsia" w:ascii="仿宋_GB2312" w:hAnsi="仿宋_GB2312" w:eastAsia="仿宋_GB2312" w:cs="仿宋_GB2312"/>
                <w:szCs w:val="21"/>
              </w:rPr>
            </w:pPr>
          </w:p>
        </w:tc>
        <w:tc>
          <w:tcPr>
            <w:tcW w:w="750" w:type="dxa"/>
            <w:noWrap w:val="0"/>
            <w:vAlign w:val="center"/>
          </w:tcPr>
          <w:p w14:paraId="307FAB8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&gt;20</w:t>
            </w:r>
          </w:p>
        </w:tc>
        <w:tc>
          <w:tcPr>
            <w:tcW w:w="491" w:type="dxa"/>
            <w:noWrap w:val="0"/>
            <w:vAlign w:val="center"/>
          </w:tcPr>
          <w:p w14:paraId="7D8C852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09" w:type="dxa"/>
            <w:vMerge w:val="continue"/>
            <w:tcBorders>
              <w:top w:val="nil"/>
            </w:tcBorders>
            <w:noWrap w:val="0"/>
            <w:vAlign w:val="center"/>
          </w:tcPr>
          <w:p w14:paraId="62A3B7B8">
            <w:pPr>
              <w:jc w:val="center"/>
              <w:rPr>
                <w:rFonts w:hint="eastAsia" w:ascii="仿宋_GB2312" w:hAnsi="仿宋_GB2312" w:eastAsia="仿宋_GB2312" w:cs="仿宋_GB2312"/>
                <w:szCs w:val="21"/>
              </w:rPr>
            </w:pPr>
          </w:p>
        </w:tc>
        <w:tc>
          <w:tcPr>
            <w:tcW w:w="559" w:type="dxa"/>
            <w:vMerge w:val="continue"/>
            <w:tcBorders>
              <w:top w:val="nil"/>
            </w:tcBorders>
            <w:noWrap w:val="0"/>
            <w:vAlign w:val="center"/>
          </w:tcPr>
          <w:p w14:paraId="41F82912">
            <w:pPr>
              <w:jc w:val="center"/>
              <w:rPr>
                <w:rFonts w:hint="eastAsia" w:ascii="仿宋_GB2312" w:hAnsi="仿宋_GB2312" w:eastAsia="仿宋_GB2312" w:cs="仿宋_GB2312"/>
                <w:szCs w:val="21"/>
              </w:rPr>
            </w:pPr>
          </w:p>
        </w:tc>
        <w:tc>
          <w:tcPr>
            <w:tcW w:w="720" w:type="dxa"/>
            <w:vMerge w:val="continue"/>
            <w:tcBorders>
              <w:top w:val="nil"/>
            </w:tcBorders>
            <w:noWrap w:val="0"/>
            <w:vAlign w:val="center"/>
          </w:tcPr>
          <w:p w14:paraId="0AD3B417">
            <w:pPr>
              <w:jc w:val="center"/>
              <w:rPr>
                <w:rFonts w:hint="eastAsia" w:ascii="仿宋_GB2312" w:hAnsi="仿宋_GB2312" w:eastAsia="仿宋_GB2312" w:cs="仿宋_GB2312"/>
                <w:szCs w:val="21"/>
              </w:rPr>
            </w:pPr>
          </w:p>
        </w:tc>
        <w:tc>
          <w:tcPr>
            <w:tcW w:w="460" w:type="dxa"/>
            <w:vMerge w:val="continue"/>
            <w:tcBorders>
              <w:top w:val="nil"/>
            </w:tcBorders>
            <w:noWrap w:val="0"/>
            <w:vAlign w:val="center"/>
          </w:tcPr>
          <w:p w14:paraId="557364EC">
            <w:pPr>
              <w:jc w:val="center"/>
              <w:rPr>
                <w:rFonts w:hint="eastAsia" w:ascii="仿宋_GB2312" w:hAnsi="仿宋_GB2312" w:eastAsia="仿宋_GB2312" w:cs="仿宋_GB2312"/>
                <w:szCs w:val="21"/>
              </w:rPr>
            </w:pPr>
          </w:p>
        </w:tc>
        <w:tc>
          <w:tcPr>
            <w:tcW w:w="749" w:type="dxa"/>
            <w:vMerge w:val="continue"/>
            <w:tcBorders>
              <w:top w:val="nil"/>
            </w:tcBorders>
            <w:noWrap w:val="0"/>
            <w:vAlign w:val="center"/>
          </w:tcPr>
          <w:p w14:paraId="0F626190">
            <w:pPr>
              <w:jc w:val="center"/>
              <w:rPr>
                <w:rFonts w:hint="eastAsia" w:ascii="仿宋_GB2312" w:hAnsi="仿宋_GB2312" w:eastAsia="仿宋_GB2312" w:cs="仿宋_GB2312"/>
                <w:szCs w:val="21"/>
              </w:rPr>
            </w:pPr>
          </w:p>
        </w:tc>
        <w:tc>
          <w:tcPr>
            <w:tcW w:w="501" w:type="dxa"/>
            <w:vMerge w:val="continue"/>
            <w:tcBorders>
              <w:top w:val="nil"/>
            </w:tcBorders>
            <w:noWrap w:val="0"/>
            <w:vAlign w:val="center"/>
          </w:tcPr>
          <w:p w14:paraId="37C63D68">
            <w:pPr>
              <w:jc w:val="center"/>
              <w:rPr>
                <w:rFonts w:hint="eastAsia" w:ascii="仿宋_GB2312" w:hAnsi="仿宋_GB2312" w:eastAsia="仿宋_GB2312" w:cs="仿宋_GB2312"/>
                <w:szCs w:val="21"/>
              </w:rPr>
            </w:pPr>
          </w:p>
        </w:tc>
        <w:tc>
          <w:tcPr>
            <w:tcW w:w="761" w:type="dxa"/>
            <w:noWrap w:val="0"/>
            <w:vAlign w:val="center"/>
          </w:tcPr>
          <w:p w14:paraId="6D3B4A1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&gt;10</w:t>
            </w:r>
          </w:p>
        </w:tc>
        <w:tc>
          <w:tcPr>
            <w:tcW w:w="480" w:type="dxa"/>
            <w:noWrap w:val="0"/>
            <w:vAlign w:val="center"/>
          </w:tcPr>
          <w:p w14:paraId="12931E6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r>
      <w:tr w14:paraId="7641F0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jc w:val="center"/>
        </w:trPr>
        <w:tc>
          <w:tcPr>
            <w:tcW w:w="302" w:type="dxa"/>
            <w:vMerge w:val="restart"/>
            <w:tcBorders>
              <w:top w:val="single" w:color="auto" w:sz="4" w:space="0"/>
              <w:left w:val="single" w:color="auto" w:sz="4" w:space="0"/>
              <w:right w:val="single" w:color="auto" w:sz="4" w:space="0"/>
            </w:tcBorders>
            <w:noWrap w:val="0"/>
            <w:vAlign w:val="center"/>
          </w:tcPr>
          <w:p w14:paraId="7233611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二级</w:t>
            </w:r>
          </w:p>
        </w:tc>
        <w:tc>
          <w:tcPr>
            <w:tcW w:w="400" w:type="dxa"/>
            <w:vMerge w:val="restart"/>
            <w:tcBorders>
              <w:top w:val="single" w:color="auto" w:sz="4" w:space="0"/>
              <w:left w:val="single" w:color="auto" w:sz="4" w:space="0"/>
              <w:bottom w:val="single" w:color="auto" w:sz="4" w:space="0"/>
              <w:right w:val="single" w:color="auto" w:sz="4" w:space="0"/>
            </w:tcBorders>
            <w:noWrap w:val="0"/>
            <w:vAlign w:val="center"/>
          </w:tcPr>
          <w:p w14:paraId="7C4D70E4">
            <w:pPr>
              <w:jc w:val="center"/>
              <w:rPr>
                <w:rFonts w:hint="eastAsia" w:ascii="仿宋_GB2312" w:hAnsi="仿宋_GB2312" w:eastAsia="仿宋_GB2312" w:cs="仿宋_GB2312"/>
                <w:szCs w:val="21"/>
              </w:rPr>
            </w:pPr>
          </w:p>
          <w:p w14:paraId="50B0F00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车行道</w:t>
            </w:r>
          </w:p>
        </w:tc>
        <w:tc>
          <w:tcPr>
            <w:tcW w:w="697" w:type="dxa"/>
            <w:tcBorders>
              <w:left w:val="single" w:color="auto" w:sz="4" w:space="0"/>
            </w:tcBorders>
            <w:noWrap w:val="0"/>
            <w:vAlign w:val="center"/>
          </w:tcPr>
          <w:p w14:paraId="126EA56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709" w:type="dxa"/>
            <w:noWrap w:val="0"/>
            <w:vAlign w:val="center"/>
          </w:tcPr>
          <w:p w14:paraId="7C8DC77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613" w:type="dxa"/>
            <w:noWrap w:val="0"/>
            <w:vAlign w:val="center"/>
          </w:tcPr>
          <w:p w14:paraId="7AE167C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05" w:type="dxa"/>
            <w:noWrap w:val="0"/>
            <w:vAlign w:val="center"/>
          </w:tcPr>
          <w:p w14:paraId="645FEC0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86" w:type="dxa"/>
            <w:noWrap w:val="0"/>
            <w:vAlign w:val="center"/>
          </w:tcPr>
          <w:p w14:paraId="1B5EA96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37" w:type="dxa"/>
            <w:noWrap w:val="0"/>
            <w:vAlign w:val="center"/>
          </w:tcPr>
          <w:p w14:paraId="0872491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50" w:type="dxa"/>
            <w:noWrap w:val="0"/>
            <w:vAlign w:val="center"/>
          </w:tcPr>
          <w:p w14:paraId="446EE46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91" w:type="dxa"/>
            <w:noWrap w:val="0"/>
            <w:vAlign w:val="center"/>
          </w:tcPr>
          <w:p w14:paraId="13CF3B5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709" w:type="dxa"/>
            <w:noWrap w:val="0"/>
            <w:vAlign w:val="center"/>
          </w:tcPr>
          <w:p w14:paraId="179818D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59" w:type="dxa"/>
            <w:noWrap w:val="0"/>
            <w:vAlign w:val="center"/>
          </w:tcPr>
          <w:p w14:paraId="0EEDD8B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20" w:type="dxa"/>
            <w:noWrap w:val="0"/>
            <w:vAlign w:val="center"/>
          </w:tcPr>
          <w:p w14:paraId="38C4504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60" w:type="dxa"/>
            <w:noWrap w:val="0"/>
            <w:vAlign w:val="center"/>
          </w:tcPr>
          <w:p w14:paraId="0E3CF43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49" w:type="dxa"/>
            <w:noWrap w:val="0"/>
            <w:vAlign w:val="center"/>
          </w:tcPr>
          <w:p w14:paraId="09911FB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01" w:type="dxa"/>
            <w:noWrap w:val="0"/>
            <w:vAlign w:val="center"/>
          </w:tcPr>
          <w:p w14:paraId="16A8200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61" w:type="dxa"/>
            <w:noWrap w:val="0"/>
            <w:vAlign w:val="center"/>
          </w:tcPr>
          <w:p w14:paraId="6D72DF2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480" w:type="dxa"/>
            <w:noWrap w:val="0"/>
            <w:vAlign w:val="center"/>
          </w:tcPr>
          <w:p w14:paraId="350EBF4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14:paraId="08D616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jc w:val="center"/>
        </w:trPr>
        <w:tc>
          <w:tcPr>
            <w:tcW w:w="302" w:type="dxa"/>
            <w:vMerge w:val="continue"/>
            <w:tcBorders>
              <w:left w:val="single" w:color="auto" w:sz="4" w:space="0"/>
              <w:right w:val="single" w:color="auto" w:sz="4" w:space="0"/>
            </w:tcBorders>
            <w:noWrap w:val="0"/>
            <w:vAlign w:val="center"/>
          </w:tcPr>
          <w:p w14:paraId="13C598A3">
            <w:pPr>
              <w:jc w:val="center"/>
              <w:rPr>
                <w:rFonts w:hint="eastAsia" w:ascii="仿宋_GB2312" w:hAnsi="仿宋_GB2312" w:eastAsia="仿宋_GB2312" w:cs="仿宋_GB2312"/>
                <w:szCs w:val="21"/>
              </w:rPr>
            </w:pPr>
          </w:p>
        </w:tc>
        <w:tc>
          <w:tcPr>
            <w:tcW w:w="400" w:type="dxa"/>
            <w:vMerge w:val="continue"/>
            <w:tcBorders>
              <w:top w:val="single" w:color="auto" w:sz="4" w:space="0"/>
              <w:left w:val="single" w:color="auto" w:sz="4" w:space="0"/>
              <w:bottom w:val="single" w:color="auto" w:sz="4" w:space="0"/>
              <w:right w:val="single" w:color="auto" w:sz="4" w:space="0"/>
            </w:tcBorders>
            <w:noWrap w:val="0"/>
            <w:vAlign w:val="center"/>
          </w:tcPr>
          <w:p w14:paraId="6E1C6F74">
            <w:pPr>
              <w:jc w:val="center"/>
              <w:rPr>
                <w:rFonts w:hint="eastAsia" w:ascii="仿宋_GB2312" w:hAnsi="仿宋_GB2312" w:eastAsia="仿宋_GB2312" w:cs="仿宋_GB2312"/>
                <w:szCs w:val="21"/>
              </w:rPr>
            </w:pPr>
          </w:p>
        </w:tc>
        <w:tc>
          <w:tcPr>
            <w:tcW w:w="697" w:type="dxa"/>
            <w:tcBorders>
              <w:left w:val="single" w:color="auto" w:sz="4" w:space="0"/>
            </w:tcBorders>
            <w:noWrap w:val="0"/>
            <w:vAlign w:val="center"/>
          </w:tcPr>
          <w:p w14:paraId="0FD4DF1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709" w:type="dxa"/>
            <w:noWrap w:val="0"/>
            <w:vAlign w:val="center"/>
          </w:tcPr>
          <w:p w14:paraId="3B02307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613" w:type="dxa"/>
            <w:noWrap w:val="0"/>
            <w:vAlign w:val="center"/>
          </w:tcPr>
          <w:p w14:paraId="72128CA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505" w:type="dxa"/>
            <w:noWrap w:val="0"/>
            <w:vAlign w:val="center"/>
          </w:tcPr>
          <w:p w14:paraId="4190794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586" w:type="dxa"/>
            <w:noWrap w:val="0"/>
            <w:vAlign w:val="center"/>
          </w:tcPr>
          <w:p w14:paraId="0C1D193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437" w:type="dxa"/>
            <w:noWrap w:val="0"/>
            <w:vAlign w:val="center"/>
          </w:tcPr>
          <w:p w14:paraId="4309EE0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750" w:type="dxa"/>
            <w:noWrap w:val="0"/>
            <w:vAlign w:val="center"/>
          </w:tcPr>
          <w:p w14:paraId="4BE1784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5∽15</w:t>
            </w:r>
          </w:p>
        </w:tc>
        <w:tc>
          <w:tcPr>
            <w:tcW w:w="491" w:type="dxa"/>
            <w:noWrap w:val="0"/>
            <w:vAlign w:val="center"/>
          </w:tcPr>
          <w:p w14:paraId="1D3F4AF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09" w:type="dxa"/>
            <w:noWrap w:val="0"/>
            <w:vAlign w:val="center"/>
          </w:tcPr>
          <w:p w14:paraId="145107C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559" w:type="dxa"/>
            <w:noWrap w:val="0"/>
            <w:vAlign w:val="center"/>
          </w:tcPr>
          <w:p w14:paraId="31FCAC4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20" w:type="dxa"/>
            <w:noWrap w:val="0"/>
            <w:vAlign w:val="center"/>
          </w:tcPr>
          <w:p w14:paraId="3A01E3A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460" w:type="dxa"/>
            <w:noWrap w:val="0"/>
            <w:vAlign w:val="center"/>
          </w:tcPr>
          <w:p w14:paraId="6A9BABC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749" w:type="dxa"/>
            <w:noWrap w:val="0"/>
            <w:vAlign w:val="center"/>
          </w:tcPr>
          <w:p w14:paraId="1D7DE23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1∽3</w:t>
            </w:r>
          </w:p>
        </w:tc>
        <w:tc>
          <w:tcPr>
            <w:tcW w:w="501" w:type="dxa"/>
            <w:noWrap w:val="0"/>
            <w:vAlign w:val="center"/>
          </w:tcPr>
          <w:p w14:paraId="42929CE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761" w:type="dxa"/>
            <w:noWrap w:val="0"/>
            <w:vAlign w:val="center"/>
          </w:tcPr>
          <w:p w14:paraId="7E4ABD8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10∽30</w:t>
            </w:r>
          </w:p>
        </w:tc>
        <w:tc>
          <w:tcPr>
            <w:tcW w:w="480" w:type="dxa"/>
            <w:noWrap w:val="0"/>
            <w:vAlign w:val="center"/>
          </w:tcPr>
          <w:p w14:paraId="44FF91D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r>
      <w:tr w14:paraId="0CAB2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jc w:val="center"/>
        </w:trPr>
        <w:tc>
          <w:tcPr>
            <w:tcW w:w="302" w:type="dxa"/>
            <w:vMerge w:val="continue"/>
            <w:tcBorders>
              <w:left w:val="single" w:color="auto" w:sz="4" w:space="0"/>
              <w:right w:val="single" w:color="auto" w:sz="4" w:space="0"/>
            </w:tcBorders>
            <w:noWrap w:val="0"/>
            <w:vAlign w:val="center"/>
          </w:tcPr>
          <w:p w14:paraId="1B47CAD1">
            <w:pPr>
              <w:jc w:val="center"/>
              <w:rPr>
                <w:rFonts w:hint="eastAsia" w:ascii="仿宋_GB2312" w:hAnsi="仿宋_GB2312" w:eastAsia="仿宋_GB2312" w:cs="仿宋_GB2312"/>
                <w:szCs w:val="21"/>
              </w:rPr>
            </w:pPr>
          </w:p>
        </w:tc>
        <w:tc>
          <w:tcPr>
            <w:tcW w:w="400" w:type="dxa"/>
            <w:vMerge w:val="continue"/>
            <w:tcBorders>
              <w:top w:val="single" w:color="auto" w:sz="4" w:space="0"/>
              <w:left w:val="single" w:color="auto" w:sz="4" w:space="0"/>
              <w:bottom w:val="single" w:color="auto" w:sz="4" w:space="0"/>
              <w:right w:val="single" w:color="auto" w:sz="4" w:space="0"/>
            </w:tcBorders>
            <w:noWrap w:val="0"/>
            <w:vAlign w:val="center"/>
          </w:tcPr>
          <w:p w14:paraId="6D6D6726">
            <w:pPr>
              <w:jc w:val="center"/>
              <w:rPr>
                <w:rFonts w:hint="eastAsia" w:ascii="仿宋_GB2312" w:hAnsi="仿宋_GB2312" w:eastAsia="仿宋_GB2312" w:cs="仿宋_GB2312"/>
                <w:szCs w:val="21"/>
              </w:rPr>
            </w:pPr>
          </w:p>
        </w:tc>
        <w:tc>
          <w:tcPr>
            <w:tcW w:w="697" w:type="dxa"/>
            <w:tcBorders>
              <w:left w:val="single" w:color="auto" w:sz="4" w:space="0"/>
            </w:tcBorders>
            <w:noWrap w:val="0"/>
            <w:vAlign w:val="center"/>
          </w:tcPr>
          <w:p w14:paraId="45F9187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709" w:type="dxa"/>
            <w:noWrap w:val="0"/>
            <w:vAlign w:val="center"/>
          </w:tcPr>
          <w:p w14:paraId="25CB7AD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613" w:type="dxa"/>
            <w:noWrap w:val="0"/>
            <w:vAlign w:val="center"/>
          </w:tcPr>
          <w:p w14:paraId="035D54F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505" w:type="dxa"/>
            <w:noWrap w:val="0"/>
            <w:vAlign w:val="center"/>
          </w:tcPr>
          <w:p w14:paraId="07ECBD1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586" w:type="dxa"/>
            <w:noWrap w:val="0"/>
            <w:vAlign w:val="center"/>
          </w:tcPr>
          <w:p w14:paraId="314BE1C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437" w:type="dxa"/>
            <w:noWrap w:val="0"/>
            <w:vAlign w:val="center"/>
          </w:tcPr>
          <w:p w14:paraId="3005884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50" w:type="dxa"/>
            <w:noWrap w:val="0"/>
            <w:vAlign w:val="center"/>
          </w:tcPr>
          <w:p w14:paraId="678279B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&gt;15</w:t>
            </w:r>
          </w:p>
        </w:tc>
        <w:tc>
          <w:tcPr>
            <w:tcW w:w="491" w:type="dxa"/>
            <w:noWrap w:val="0"/>
            <w:vAlign w:val="center"/>
          </w:tcPr>
          <w:p w14:paraId="57FD4FA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09" w:type="dxa"/>
            <w:noWrap w:val="0"/>
            <w:vAlign w:val="center"/>
          </w:tcPr>
          <w:p w14:paraId="5806915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559" w:type="dxa"/>
            <w:noWrap w:val="0"/>
            <w:vAlign w:val="center"/>
          </w:tcPr>
          <w:p w14:paraId="3828290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20" w:type="dxa"/>
            <w:noWrap w:val="0"/>
            <w:vAlign w:val="center"/>
          </w:tcPr>
          <w:p w14:paraId="5F78F8C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460" w:type="dxa"/>
            <w:noWrap w:val="0"/>
            <w:vAlign w:val="center"/>
          </w:tcPr>
          <w:p w14:paraId="34DA97C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49" w:type="dxa"/>
            <w:noWrap w:val="0"/>
            <w:vAlign w:val="center"/>
          </w:tcPr>
          <w:p w14:paraId="3ED8DDD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w:t>
            </w:r>
          </w:p>
        </w:tc>
        <w:tc>
          <w:tcPr>
            <w:tcW w:w="501" w:type="dxa"/>
            <w:noWrap w:val="0"/>
            <w:vAlign w:val="center"/>
          </w:tcPr>
          <w:p w14:paraId="092BAF8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61" w:type="dxa"/>
            <w:noWrap w:val="0"/>
            <w:vAlign w:val="center"/>
          </w:tcPr>
          <w:p w14:paraId="3F1E6C3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&gt;30</w:t>
            </w:r>
          </w:p>
        </w:tc>
        <w:tc>
          <w:tcPr>
            <w:tcW w:w="480" w:type="dxa"/>
            <w:noWrap w:val="0"/>
            <w:vAlign w:val="center"/>
          </w:tcPr>
          <w:p w14:paraId="128AF1A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r>
      <w:tr w14:paraId="507317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jc w:val="center"/>
        </w:trPr>
        <w:tc>
          <w:tcPr>
            <w:tcW w:w="302" w:type="dxa"/>
            <w:vMerge w:val="continue"/>
            <w:tcBorders>
              <w:left w:val="single" w:color="auto" w:sz="4" w:space="0"/>
              <w:right w:val="single" w:color="auto" w:sz="4" w:space="0"/>
            </w:tcBorders>
            <w:noWrap w:val="0"/>
            <w:vAlign w:val="center"/>
          </w:tcPr>
          <w:p w14:paraId="0BE176FB">
            <w:pPr>
              <w:jc w:val="center"/>
              <w:rPr>
                <w:rFonts w:hint="eastAsia" w:ascii="仿宋_GB2312" w:hAnsi="仿宋_GB2312" w:eastAsia="仿宋_GB2312" w:cs="仿宋_GB2312"/>
                <w:szCs w:val="21"/>
              </w:rPr>
            </w:pPr>
          </w:p>
        </w:tc>
        <w:tc>
          <w:tcPr>
            <w:tcW w:w="400" w:type="dxa"/>
            <w:vMerge w:val="restart"/>
            <w:tcBorders>
              <w:top w:val="single" w:color="auto" w:sz="4" w:space="0"/>
              <w:left w:val="single" w:color="auto" w:sz="4" w:space="0"/>
              <w:right w:val="single" w:color="auto" w:sz="4" w:space="0"/>
            </w:tcBorders>
            <w:noWrap w:val="0"/>
            <w:vAlign w:val="center"/>
          </w:tcPr>
          <w:p w14:paraId="4C1CAD7B">
            <w:pPr>
              <w:jc w:val="center"/>
              <w:rPr>
                <w:rFonts w:hint="eastAsia" w:ascii="仿宋_GB2312" w:hAnsi="仿宋_GB2312" w:eastAsia="仿宋_GB2312" w:cs="仿宋_GB2312"/>
                <w:szCs w:val="21"/>
              </w:rPr>
            </w:pPr>
          </w:p>
          <w:p w14:paraId="70442C9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人行道</w:t>
            </w:r>
          </w:p>
        </w:tc>
        <w:tc>
          <w:tcPr>
            <w:tcW w:w="697" w:type="dxa"/>
            <w:tcBorders>
              <w:left w:val="single" w:color="auto" w:sz="4" w:space="0"/>
            </w:tcBorders>
            <w:noWrap w:val="0"/>
            <w:vAlign w:val="center"/>
          </w:tcPr>
          <w:p w14:paraId="7AFBB54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709" w:type="dxa"/>
            <w:noWrap w:val="0"/>
            <w:vAlign w:val="center"/>
          </w:tcPr>
          <w:p w14:paraId="4B74E65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613" w:type="dxa"/>
            <w:noWrap w:val="0"/>
            <w:vAlign w:val="center"/>
          </w:tcPr>
          <w:p w14:paraId="680D012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05" w:type="dxa"/>
            <w:noWrap w:val="0"/>
            <w:vAlign w:val="center"/>
          </w:tcPr>
          <w:p w14:paraId="24644B5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86" w:type="dxa"/>
            <w:noWrap w:val="0"/>
            <w:vAlign w:val="center"/>
          </w:tcPr>
          <w:p w14:paraId="73525AB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37" w:type="dxa"/>
            <w:noWrap w:val="0"/>
            <w:vAlign w:val="center"/>
          </w:tcPr>
          <w:p w14:paraId="6A7D75D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50" w:type="dxa"/>
            <w:noWrap w:val="0"/>
            <w:vAlign w:val="center"/>
          </w:tcPr>
          <w:p w14:paraId="45238B1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491" w:type="dxa"/>
            <w:noWrap w:val="0"/>
            <w:vAlign w:val="center"/>
          </w:tcPr>
          <w:p w14:paraId="2A24719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709" w:type="dxa"/>
            <w:noWrap w:val="0"/>
            <w:vAlign w:val="center"/>
          </w:tcPr>
          <w:p w14:paraId="0909355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559" w:type="dxa"/>
            <w:noWrap w:val="0"/>
            <w:vAlign w:val="center"/>
          </w:tcPr>
          <w:p w14:paraId="50C0447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20" w:type="dxa"/>
            <w:noWrap w:val="0"/>
            <w:vAlign w:val="center"/>
          </w:tcPr>
          <w:p w14:paraId="4964D6B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460" w:type="dxa"/>
            <w:noWrap w:val="0"/>
            <w:vAlign w:val="center"/>
          </w:tcPr>
          <w:p w14:paraId="641379D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49" w:type="dxa"/>
            <w:noWrap w:val="0"/>
            <w:vAlign w:val="center"/>
          </w:tcPr>
          <w:p w14:paraId="3FBA00E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01" w:type="dxa"/>
            <w:noWrap w:val="0"/>
            <w:vAlign w:val="center"/>
          </w:tcPr>
          <w:p w14:paraId="5FE3CCC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61" w:type="dxa"/>
            <w:noWrap w:val="0"/>
            <w:vAlign w:val="center"/>
          </w:tcPr>
          <w:p w14:paraId="268961D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480" w:type="dxa"/>
            <w:noWrap w:val="0"/>
            <w:vAlign w:val="center"/>
          </w:tcPr>
          <w:p w14:paraId="3D2179D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14:paraId="77217F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jc w:val="center"/>
        </w:trPr>
        <w:tc>
          <w:tcPr>
            <w:tcW w:w="302" w:type="dxa"/>
            <w:vMerge w:val="continue"/>
            <w:tcBorders>
              <w:left w:val="single" w:color="auto" w:sz="4" w:space="0"/>
              <w:right w:val="single" w:color="auto" w:sz="4" w:space="0"/>
            </w:tcBorders>
            <w:noWrap w:val="0"/>
            <w:vAlign w:val="center"/>
          </w:tcPr>
          <w:p w14:paraId="68CB5BB5">
            <w:pPr>
              <w:jc w:val="center"/>
              <w:rPr>
                <w:rFonts w:hint="eastAsia" w:ascii="仿宋_GB2312" w:hAnsi="仿宋_GB2312" w:eastAsia="仿宋_GB2312" w:cs="仿宋_GB2312"/>
                <w:szCs w:val="21"/>
              </w:rPr>
            </w:pPr>
          </w:p>
        </w:tc>
        <w:tc>
          <w:tcPr>
            <w:tcW w:w="400" w:type="dxa"/>
            <w:vMerge w:val="continue"/>
            <w:tcBorders>
              <w:left w:val="single" w:color="auto" w:sz="4" w:space="0"/>
              <w:right w:val="single" w:color="auto" w:sz="4" w:space="0"/>
            </w:tcBorders>
            <w:noWrap w:val="0"/>
            <w:vAlign w:val="center"/>
          </w:tcPr>
          <w:p w14:paraId="466D99FC">
            <w:pPr>
              <w:jc w:val="center"/>
              <w:rPr>
                <w:rFonts w:hint="eastAsia" w:ascii="仿宋_GB2312" w:hAnsi="仿宋_GB2312" w:eastAsia="仿宋_GB2312" w:cs="仿宋_GB2312"/>
                <w:szCs w:val="21"/>
              </w:rPr>
            </w:pPr>
          </w:p>
        </w:tc>
        <w:tc>
          <w:tcPr>
            <w:tcW w:w="697" w:type="dxa"/>
            <w:tcBorders>
              <w:left w:val="single" w:color="auto" w:sz="4" w:space="0"/>
            </w:tcBorders>
            <w:noWrap w:val="0"/>
            <w:vAlign w:val="center"/>
          </w:tcPr>
          <w:p w14:paraId="12FEF4C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709" w:type="dxa"/>
            <w:noWrap w:val="0"/>
            <w:vAlign w:val="center"/>
          </w:tcPr>
          <w:p w14:paraId="0DD9F98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613" w:type="dxa"/>
            <w:noWrap w:val="0"/>
            <w:vAlign w:val="center"/>
          </w:tcPr>
          <w:p w14:paraId="704C7EF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505" w:type="dxa"/>
            <w:noWrap w:val="0"/>
            <w:vAlign w:val="center"/>
          </w:tcPr>
          <w:p w14:paraId="673EC39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586" w:type="dxa"/>
            <w:noWrap w:val="0"/>
            <w:vAlign w:val="center"/>
          </w:tcPr>
          <w:p w14:paraId="2C3B900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w:t>
            </w:r>
          </w:p>
        </w:tc>
        <w:tc>
          <w:tcPr>
            <w:tcW w:w="437" w:type="dxa"/>
            <w:noWrap w:val="0"/>
            <w:vAlign w:val="center"/>
          </w:tcPr>
          <w:p w14:paraId="6517B0D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50" w:type="dxa"/>
            <w:noWrap w:val="0"/>
            <w:vAlign w:val="center"/>
          </w:tcPr>
          <w:p w14:paraId="0D01BFB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15∽30</w:t>
            </w:r>
          </w:p>
        </w:tc>
        <w:tc>
          <w:tcPr>
            <w:tcW w:w="491" w:type="dxa"/>
            <w:noWrap w:val="0"/>
            <w:vAlign w:val="center"/>
          </w:tcPr>
          <w:p w14:paraId="3E5D4F4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09" w:type="dxa"/>
            <w:noWrap w:val="0"/>
            <w:vAlign w:val="center"/>
          </w:tcPr>
          <w:p w14:paraId="0D3434D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2∽3</w:t>
            </w:r>
          </w:p>
        </w:tc>
        <w:tc>
          <w:tcPr>
            <w:tcW w:w="559" w:type="dxa"/>
            <w:noWrap w:val="0"/>
            <w:vAlign w:val="center"/>
          </w:tcPr>
          <w:p w14:paraId="7AE2DC5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20" w:type="dxa"/>
            <w:noWrap w:val="0"/>
            <w:vAlign w:val="center"/>
          </w:tcPr>
          <w:p w14:paraId="2720839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2∽3</w:t>
            </w:r>
          </w:p>
        </w:tc>
        <w:tc>
          <w:tcPr>
            <w:tcW w:w="460" w:type="dxa"/>
            <w:noWrap w:val="0"/>
            <w:vAlign w:val="center"/>
          </w:tcPr>
          <w:p w14:paraId="3845DDF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749" w:type="dxa"/>
            <w:noWrap w:val="0"/>
            <w:vAlign w:val="center"/>
          </w:tcPr>
          <w:p w14:paraId="4464F79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R&gt;2</w:t>
            </w:r>
          </w:p>
        </w:tc>
        <w:tc>
          <w:tcPr>
            <w:tcW w:w="501" w:type="dxa"/>
            <w:noWrap w:val="0"/>
            <w:vAlign w:val="center"/>
          </w:tcPr>
          <w:p w14:paraId="2734A72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61" w:type="dxa"/>
            <w:noWrap w:val="0"/>
            <w:vAlign w:val="center"/>
          </w:tcPr>
          <w:p w14:paraId="33B20A8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10∽30</w:t>
            </w:r>
          </w:p>
        </w:tc>
        <w:tc>
          <w:tcPr>
            <w:tcW w:w="480" w:type="dxa"/>
            <w:noWrap w:val="0"/>
            <w:vAlign w:val="center"/>
          </w:tcPr>
          <w:p w14:paraId="7B51D9A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r>
      <w:tr w14:paraId="15E97B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 w:hRule="atLeast"/>
          <w:jc w:val="center"/>
        </w:trPr>
        <w:tc>
          <w:tcPr>
            <w:tcW w:w="302" w:type="dxa"/>
            <w:vMerge w:val="continue"/>
            <w:tcBorders>
              <w:left w:val="single" w:color="auto" w:sz="4" w:space="0"/>
              <w:bottom w:val="single" w:color="auto" w:sz="4" w:space="0"/>
              <w:right w:val="single" w:color="auto" w:sz="4" w:space="0"/>
            </w:tcBorders>
            <w:noWrap w:val="0"/>
            <w:vAlign w:val="center"/>
          </w:tcPr>
          <w:p w14:paraId="05122A28">
            <w:pPr>
              <w:jc w:val="center"/>
              <w:rPr>
                <w:rFonts w:hint="eastAsia" w:ascii="仿宋_GB2312" w:hAnsi="仿宋_GB2312" w:eastAsia="仿宋_GB2312" w:cs="仿宋_GB2312"/>
                <w:szCs w:val="21"/>
              </w:rPr>
            </w:pPr>
          </w:p>
        </w:tc>
        <w:tc>
          <w:tcPr>
            <w:tcW w:w="400" w:type="dxa"/>
            <w:vMerge w:val="continue"/>
            <w:tcBorders>
              <w:left w:val="single" w:color="auto" w:sz="4" w:space="0"/>
              <w:bottom w:val="single" w:color="auto" w:sz="4" w:space="0"/>
              <w:right w:val="single" w:color="auto" w:sz="4" w:space="0"/>
            </w:tcBorders>
            <w:noWrap w:val="0"/>
            <w:vAlign w:val="center"/>
          </w:tcPr>
          <w:p w14:paraId="7EA23255">
            <w:pPr>
              <w:jc w:val="center"/>
              <w:rPr>
                <w:rFonts w:hint="eastAsia" w:ascii="仿宋_GB2312" w:hAnsi="仿宋_GB2312" w:eastAsia="仿宋_GB2312" w:cs="仿宋_GB2312"/>
                <w:szCs w:val="21"/>
              </w:rPr>
            </w:pPr>
          </w:p>
        </w:tc>
        <w:tc>
          <w:tcPr>
            <w:tcW w:w="697" w:type="dxa"/>
            <w:tcBorders>
              <w:left w:val="single" w:color="auto" w:sz="4" w:space="0"/>
            </w:tcBorders>
            <w:noWrap w:val="0"/>
            <w:vAlign w:val="center"/>
          </w:tcPr>
          <w:p w14:paraId="711D1E6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709" w:type="dxa"/>
            <w:noWrap w:val="0"/>
            <w:vAlign w:val="center"/>
          </w:tcPr>
          <w:p w14:paraId="29D5815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613" w:type="dxa"/>
            <w:noWrap w:val="0"/>
            <w:vAlign w:val="center"/>
          </w:tcPr>
          <w:p w14:paraId="4FB1983D">
            <w:pPr>
              <w:jc w:val="center"/>
              <w:rPr>
                <w:rFonts w:hint="eastAsia" w:ascii="仿宋_GB2312" w:hAnsi="仿宋_GB2312" w:eastAsia="仿宋_GB2312" w:cs="仿宋_GB2312"/>
                <w:szCs w:val="21"/>
              </w:rPr>
            </w:pPr>
          </w:p>
        </w:tc>
        <w:tc>
          <w:tcPr>
            <w:tcW w:w="505" w:type="dxa"/>
            <w:noWrap w:val="0"/>
            <w:vAlign w:val="center"/>
          </w:tcPr>
          <w:p w14:paraId="2CA4741F">
            <w:pPr>
              <w:jc w:val="center"/>
              <w:rPr>
                <w:rFonts w:hint="eastAsia" w:ascii="仿宋_GB2312" w:hAnsi="仿宋_GB2312" w:eastAsia="仿宋_GB2312" w:cs="仿宋_GB2312"/>
                <w:szCs w:val="21"/>
              </w:rPr>
            </w:pPr>
          </w:p>
        </w:tc>
        <w:tc>
          <w:tcPr>
            <w:tcW w:w="586" w:type="dxa"/>
            <w:noWrap w:val="0"/>
            <w:vAlign w:val="center"/>
          </w:tcPr>
          <w:p w14:paraId="7FB03F3F">
            <w:pPr>
              <w:jc w:val="center"/>
              <w:rPr>
                <w:rFonts w:hint="eastAsia" w:ascii="仿宋_GB2312" w:hAnsi="仿宋_GB2312" w:eastAsia="仿宋_GB2312" w:cs="仿宋_GB2312"/>
                <w:szCs w:val="21"/>
              </w:rPr>
            </w:pPr>
          </w:p>
        </w:tc>
        <w:tc>
          <w:tcPr>
            <w:tcW w:w="437" w:type="dxa"/>
            <w:noWrap w:val="0"/>
            <w:vAlign w:val="center"/>
          </w:tcPr>
          <w:p w14:paraId="4E664DC6">
            <w:pPr>
              <w:jc w:val="center"/>
              <w:rPr>
                <w:rFonts w:hint="eastAsia" w:ascii="仿宋_GB2312" w:hAnsi="仿宋_GB2312" w:eastAsia="仿宋_GB2312" w:cs="仿宋_GB2312"/>
                <w:szCs w:val="21"/>
              </w:rPr>
            </w:pPr>
          </w:p>
        </w:tc>
        <w:tc>
          <w:tcPr>
            <w:tcW w:w="750" w:type="dxa"/>
            <w:noWrap w:val="0"/>
            <w:vAlign w:val="center"/>
          </w:tcPr>
          <w:p w14:paraId="20A9E78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&gt;30</w:t>
            </w:r>
          </w:p>
        </w:tc>
        <w:tc>
          <w:tcPr>
            <w:tcW w:w="491" w:type="dxa"/>
            <w:noWrap w:val="0"/>
            <w:vAlign w:val="center"/>
          </w:tcPr>
          <w:p w14:paraId="0E8EBF8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09" w:type="dxa"/>
            <w:noWrap w:val="0"/>
            <w:vAlign w:val="center"/>
          </w:tcPr>
          <w:p w14:paraId="4F1DD06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w:t>
            </w:r>
          </w:p>
        </w:tc>
        <w:tc>
          <w:tcPr>
            <w:tcW w:w="559" w:type="dxa"/>
            <w:noWrap w:val="0"/>
            <w:vAlign w:val="center"/>
          </w:tcPr>
          <w:p w14:paraId="4037A4B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20" w:type="dxa"/>
            <w:noWrap w:val="0"/>
            <w:vAlign w:val="center"/>
          </w:tcPr>
          <w:p w14:paraId="33777BD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w:t>
            </w:r>
          </w:p>
        </w:tc>
        <w:tc>
          <w:tcPr>
            <w:tcW w:w="460" w:type="dxa"/>
            <w:noWrap w:val="0"/>
            <w:vAlign w:val="center"/>
          </w:tcPr>
          <w:p w14:paraId="7DEE988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49" w:type="dxa"/>
            <w:noWrap w:val="0"/>
            <w:vAlign w:val="center"/>
          </w:tcPr>
          <w:p w14:paraId="0785CED2">
            <w:pPr>
              <w:jc w:val="center"/>
              <w:rPr>
                <w:rFonts w:hint="eastAsia" w:ascii="仿宋_GB2312" w:hAnsi="仿宋_GB2312" w:eastAsia="仿宋_GB2312" w:cs="仿宋_GB2312"/>
                <w:szCs w:val="21"/>
              </w:rPr>
            </w:pPr>
          </w:p>
        </w:tc>
        <w:tc>
          <w:tcPr>
            <w:tcW w:w="501" w:type="dxa"/>
            <w:noWrap w:val="0"/>
            <w:vAlign w:val="center"/>
          </w:tcPr>
          <w:p w14:paraId="27683A3E">
            <w:pPr>
              <w:jc w:val="center"/>
              <w:rPr>
                <w:rFonts w:hint="eastAsia" w:ascii="仿宋_GB2312" w:hAnsi="仿宋_GB2312" w:eastAsia="仿宋_GB2312" w:cs="仿宋_GB2312"/>
                <w:szCs w:val="21"/>
              </w:rPr>
            </w:pPr>
          </w:p>
        </w:tc>
        <w:tc>
          <w:tcPr>
            <w:tcW w:w="761" w:type="dxa"/>
            <w:noWrap w:val="0"/>
            <w:vAlign w:val="center"/>
          </w:tcPr>
          <w:p w14:paraId="5F3FE08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&gt;30</w:t>
            </w:r>
          </w:p>
        </w:tc>
        <w:tc>
          <w:tcPr>
            <w:tcW w:w="480" w:type="dxa"/>
            <w:noWrap w:val="0"/>
            <w:vAlign w:val="center"/>
          </w:tcPr>
          <w:p w14:paraId="3769B02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r>
      <w:tr w14:paraId="30989C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 w:hRule="atLeast"/>
          <w:jc w:val="center"/>
        </w:trPr>
        <w:tc>
          <w:tcPr>
            <w:tcW w:w="302" w:type="dxa"/>
            <w:vMerge w:val="restart"/>
            <w:tcBorders>
              <w:top w:val="single" w:color="auto" w:sz="4" w:space="0"/>
              <w:bottom w:val="single" w:color="auto" w:sz="4" w:space="0"/>
            </w:tcBorders>
            <w:noWrap w:val="0"/>
            <w:vAlign w:val="top"/>
          </w:tcPr>
          <w:p w14:paraId="35808242">
            <w:pPr>
              <w:jc w:val="center"/>
              <w:rPr>
                <w:rFonts w:hint="eastAsia" w:ascii="仿宋_GB2312" w:hAnsi="仿宋_GB2312" w:eastAsia="仿宋_GB2312" w:cs="仿宋_GB2312"/>
                <w:szCs w:val="21"/>
              </w:rPr>
            </w:pPr>
          </w:p>
          <w:p w14:paraId="3540B373">
            <w:pPr>
              <w:jc w:val="center"/>
              <w:rPr>
                <w:rFonts w:hint="eastAsia" w:ascii="仿宋_GB2312" w:hAnsi="仿宋_GB2312" w:eastAsia="仿宋_GB2312" w:cs="仿宋_GB2312"/>
                <w:szCs w:val="21"/>
              </w:rPr>
            </w:pPr>
          </w:p>
          <w:p w14:paraId="262F20E5">
            <w:pPr>
              <w:jc w:val="center"/>
              <w:rPr>
                <w:rFonts w:hint="eastAsia" w:ascii="仿宋_GB2312" w:hAnsi="仿宋_GB2312" w:eastAsia="仿宋_GB2312" w:cs="仿宋_GB2312"/>
                <w:szCs w:val="21"/>
              </w:rPr>
            </w:pPr>
          </w:p>
          <w:p w14:paraId="4D969EB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三级</w:t>
            </w:r>
          </w:p>
        </w:tc>
        <w:tc>
          <w:tcPr>
            <w:tcW w:w="400" w:type="dxa"/>
            <w:vMerge w:val="restart"/>
            <w:tcBorders>
              <w:top w:val="single" w:color="auto" w:sz="4" w:space="0"/>
              <w:bottom w:val="single" w:color="auto" w:sz="4" w:space="0"/>
            </w:tcBorders>
            <w:noWrap w:val="0"/>
            <w:vAlign w:val="top"/>
          </w:tcPr>
          <w:p w14:paraId="75F46207">
            <w:pPr>
              <w:jc w:val="center"/>
              <w:rPr>
                <w:rFonts w:hint="eastAsia" w:ascii="仿宋_GB2312" w:hAnsi="仿宋_GB2312" w:eastAsia="仿宋_GB2312" w:cs="仿宋_GB2312"/>
                <w:szCs w:val="21"/>
              </w:rPr>
            </w:pPr>
          </w:p>
          <w:p w14:paraId="228FE65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车行道</w:t>
            </w:r>
          </w:p>
        </w:tc>
        <w:tc>
          <w:tcPr>
            <w:tcW w:w="697" w:type="dxa"/>
            <w:noWrap w:val="0"/>
            <w:vAlign w:val="top"/>
          </w:tcPr>
          <w:p w14:paraId="65B52DF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709" w:type="dxa"/>
            <w:noWrap w:val="0"/>
            <w:vAlign w:val="top"/>
          </w:tcPr>
          <w:p w14:paraId="6961295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613" w:type="dxa"/>
            <w:noWrap w:val="0"/>
            <w:vAlign w:val="top"/>
          </w:tcPr>
          <w:p w14:paraId="47B9117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05" w:type="dxa"/>
            <w:noWrap w:val="0"/>
            <w:vAlign w:val="top"/>
          </w:tcPr>
          <w:p w14:paraId="14C2767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86" w:type="dxa"/>
            <w:noWrap w:val="0"/>
            <w:vAlign w:val="top"/>
          </w:tcPr>
          <w:p w14:paraId="737BDBC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37" w:type="dxa"/>
            <w:noWrap w:val="0"/>
            <w:vAlign w:val="top"/>
          </w:tcPr>
          <w:p w14:paraId="172E631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50" w:type="dxa"/>
            <w:noWrap w:val="0"/>
            <w:vAlign w:val="top"/>
          </w:tcPr>
          <w:p w14:paraId="0D9294A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491" w:type="dxa"/>
            <w:noWrap w:val="0"/>
            <w:vAlign w:val="top"/>
          </w:tcPr>
          <w:p w14:paraId="0AD794E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709" w:type="dxa"/>
            <w:noWrap w:val="0"/>
            <w:vAlign w:val="top"/>
          </w:tcPr>
          <w:p w14:paraId="31F6D52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559" w:type="dxa"/>
            <w:noWrap w:val="0"/>
            <w:vAlign w:val="top"/>
          </w:tcPr>
          <w:p w14:paraId="646D880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20" w:type="dxa"/>
            <w:noWrap w:val="0"/>
            <w:vAlign w:val="top"/>
          </w:tcPr>
          <w:p w14:paraId="4D9046D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460" w:type="dxa"/>
            <w:noWrap w:val="0"/>
            <w:vAlign w:val="top"/>
          </w:tcPr>
          <w:p w14:paraId="0BF6960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49" w:type="dxa"/>
            <w:noWrap w:val="0"/>
            <w:vAlign w:val="top"/>
          </w:tcPr>
          <w:p w14:paraId="6B2B5A3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01" w:type="dxa"/>
            <w:noWrap w:val="0"/>
            <w:vAlign w:val="top"/>
          </w:tcPr>
          <w:p w14:paraId="7259443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61" w:type="dxa"/>
            <w:noWrap w:val="0"/>
            <w:vAlign w:val="top"/>
          </w:tcPr>
          <w:p w14:paraId="51B6314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480" w:type="dxa"/>
            <w:noWrap w:val="0"/>
            <w:vAlign w:val="top"/>
          </w:tcPr>
          <w:p w14:paraId="606E05F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14:paraId="1FE46E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 w:hRule="atLeast"/>
          <w:jc w:val="center"/>
        </w:trPr>
        <w:tc>
          <w:tcPr>
            <w:tcW w:w="302" w:type="dxa"/>
            <w:vMerge w:val="continue"/>
            <w:tcBorders>
              <w:top w:val="single" w:color="auto" w:sz="4" w:space="0"/>
              <w:bottom w:val="single" w:color="auto" w:sz="4" w:space="0"/>
            </w:tcBorders>
            <w:noWrap w:val="0"/>
            <w:vAlign w:val="top"/>
          </w:tcPr>
          <w:p w14:paraId="2A1F535D">
            <w:pPr>
              <w:jc w:val="center"/>
              <w:rPr>
                <w:rFonts w:hint="eastAsia" w:ascii="仿宋_GB2312" w:hAnsi="仿宋_GB2312" w:eastAsia="仿宋_GB2312" w:cs="仿宋_GB2312"/>
                <w:szCs w:val="21"/>
              </w:rPr>
            </w:pPr>
          </w:p>
        </w:tc>
        <w:tc>
          <w:tcPr>
            <w:tcW w:w="400" w:type="dxa"/>
            <w:vMerge w:val="continue"/>
            <w:tcBorders>
              <w:top w:val="single" w:color="auto" w:sz="4" w:space="0"/>
              <w:bottom w:val="single" w:color="auto" w:sz="4" w:space="0"/>
            </w:tcBorders>
            <w:noWrap w:val="0"/>
            <w:vAlign w:val="top"/>
          </w:tcPr>
          <w:p w14:paraId="7EE9FF48">
            <w:pPr>
              <w:jc w:val="center"/>
              <w:rPr>
                <w:rFonts w:hint="eastAsia" w:ascii="仿宋_GB2312" w:hAnsi="仿宋_GB2312" w:eastAsia="仿宋_GB2312" w:cs="仿宋_GB2312"/>
                <w:szCs w:val="21"/>
              </w:rPr>
            </w:pPr>
          </w:p>
        </w:tc>
        <w:tc>
          <w:tcPr>
            <w:tcW w:w="697" w:type="dxa"/>
            <w:noWrap w:val="0"/>
            <w:vAlign w:val="top"/>
          </w:tcPr>
          <w:p w14:paraId="5DFEFE2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3∽6</w:t>
            </w:r>
          </w:p>
        </w:tc>
        <w:tc>
          <w:tcPr>
            <w:tcW w:w="709" w:type="dxa"/>
            <w:noWrap w:val="0"/>
            <w:vAlign w:val="top"/>
          </w:tcPr>
          <w:p w14:paraId="427D0CA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613" w:type="dxa"/>
            <w:noWrap w:val="0"/>
            <w:vAlign w:val="top"/>
          </w:tcPr>
          <w:p w14:paraId="4FB4BCE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505" w:type="dxa"/>
            <w:noWrap w:val="0"/>
            <w:vAlign w:val="top"/>
          </w:tcPr>
          <w:p w14:paraId="582BD26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586" w:type="dxa"/>
            <w:noWrap w:val="0"/>
            <w:vAlign w:val="top"/>
          </w:tcPr>
          <w:p w14:paraId="0566E1C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437" w:type="dxa"/>
            <w:noWrap w:val="0"/>
            <w:vAlign w:val="top"/>
          </w:tcPr>
          <w:p w14:paraId="4DE5FC7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750" w:type="dxa"/>
            <w:noWrap w:val="0"/>
            <w:vAlign w:val="top"/>
          </w:tcPr>
          <w:p w14:paraId="477F106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5∽20</w:t>
            </w:r>
          </w:p>
        </w:tc>
        <w:tc>
          <w:tcPr>
            <w:tcW w:w="491" w:type="dxa"/>
            <w:noWrap w:val="0"/>
            <w:vAlign w:val="top"/>
          </w:tcPr>
          <w:p w14:paraId="565CCD3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09" w:type="dxa"/>
            <w:vMerge w:val="restart"/>
            <w:noWrap w:val="0"/>
            <w:vAlign w:val="top"/>
          </w:tcPr>
          <w:p w14:paraId="3F9ABB42">
            <w:pPr>
              <w:jc w:val="center"/>
              <w:rPr>
                <w:rFonts w:hint="eastAsia" w:ascii="仿宋_GB2312" w:hAnsi="仿宋_GB2312" w:eastAsia="仿宋_GB2312" w:cs="仿宋_GB2312"/>
                <w:szCs w:val="21"/>
              </w:rPr>
            </w:pPr>
          </w:p>
          <w:p w14:paraId="16A2DDB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559" w:type="dxa"/>
            <w:vMerge w:val="restart"/>
            <w:noWrap w:val="0"/>
            <w:vAlign w:val="top"/>
          </w:tcPr>
          <w:p w14:paraId="6A2679EF">
            <w:pPr>
              <w:jc w:val="center"/>
              <w:rPr>
                <w:rFonts w:hint="eastAsia" w:ascii="仿宋_GB2312" w:hAnsi="仿宋_GB2312" w:eastAsia="仿宋_GB2312" w:cs="仿宋_GB2312"/>
                <w:szCs w:val="21"/>
              </w:rPr>
            </w:pPr>
          </w:p>
          <w:p w14:paraId="03EF103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20" w:type="dxa"/>
            <w:vMerge w:val="restart"/>
            <w:noWrap w:val="0"/>
            <w:vAlign w:val="top"/>
          </w:tcPr>
          <w:p w14:paraId="4193725B">
            <w:pPr>
              <w:jc w:val="center"/>
              <w:rPr>
                <w:rFonts w:hint="eastAsia" w:ascii="仿宋_GB2312" w:hAnsi="仿宋_GB2312" w:eastAsia="仿宋_GB2312" w:cs="仿宋_GB2312"/>
                <w:szCs w:val="21"/>
              </w:rPr>
            </w:pPr>
          </w:p>
          <w:p w14:paraId="3EF5592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460" w:type="dxa"/>
            <w:vMerge w:val="restart"/>
            <w:noWrap w:val="0"/>
            <w:vAlign w:val="top"/>
          </w:tcPr>
          <w:p w14:paraId="6FA42225">
            <w:pPr>
              <w:jc w:val="center"/>
              <w:rPr>
                <w:rFonts w:hint="eastAsia" w:ascii="仿宋_GB2312" w:hAnsi="仿宋_GB2312" w:eastAsia="仿宋_GB2312" w:cs="仿宋_GB2312"/>
                <w:szCs w:val="21"/>
              </w:rPr>
            </w:pPr>
          </w:p>
          <w:p w14:paraId="3A7B0B6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49" w:type="dxa"/>
            <w:noWrap w:val="0"/>
            <w:vAlign w:val="top"/>
          </w:tcPr>
          <w:p w14:paraId="3DF50C2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501" w:type="dxa"/>
            <w:noWrap w:val="0"/>
            <w:vAlign w:val="top"/>
          </w:tcPr>
          <w:p w14:paraId="638DE53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761" w:type="dxa"/>
            <w:noWrap w:val="0"/>
            <w:vAlign w:val="top"/>
          </w:tcPr>
          <w:p w14:paraId="5714EE7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10∽30</w:t>
            </w:r>
          </w:p>
        </w:tc>
        <w:tc>
          <w:tcPr>
            <w:tcW w:w="480" w:type="dxa"/>
            <w:noWrap w:val="0"/>
            <w:vAlign w:val="top"/>
          </w:tcPr>
          <w:p w14:paraId="47DD71D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r>
      <w:tr w14:paraId="023E9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 w:hRule="atLeast"/>
          <w:jc w:val="center"/>
        </w:trPr>
        <w:tc>
          <w:tcPr>
            <w:tcW w:w="302" w:type="dxa"/>
            <w:vMerge w:val="continue"/>
            <w:tcBorders>
              <w:top w:val="single" w:color="auto" w:sz="4" w:space="0"/>
              <w:bottom w:val="single" w:color="auto" w:sz="4" w:space="0"/>
            </w:tcBorders>
            <w:noWrap w:val="0"/>
            <w:vAlign w:val="top"/>
          </w:tcPr>
          <w:p w14:paraId="258FE2C4">
            <w:pPr>
              <w:jc w:val="center"/>
              <w:rPr>
                <w:rFonts w:hint="eastAsia" w:ascii="仿宋_GB2312" w:hAnsi="仿宋_GB2312" w:eastAsia="仿宋_GB2312" w:cs="仿宋_GB2312"/>
                <w:szCs w:val="21"/>
              </w:rPr>
            </w:pPr>
          </w:p>
        </w:tc>
        <w:tc>
          <w:tcPr>
            <w:tcW w:w="400" w:type="dxa"/>
            <w:vMerge w:val="continue"/>
            <w:tcBorders>
              <w:top w:val="single" w:color="auto" w:sz="4" w:space="0"/>
              <w:bottom w:val="single" w:color="auto" w:sz="4" w:space="0"/>
            </w:tcBorders>
            <w:noWrap w:val="0"/>
            <w:vAlign w:val="top"/>
          </w:tcPr>
          <w:p w14:paraId="0BC91AE3">
            <w:pPr>
              <w:jc w:val="center"/>
              <w:rPr>
                <w:rFonts w:hint="eastAsia" w:ascii="仿宋_GB2312" w:hAnsi="仿宋_GB2312" w:eastAsia="仿宋_GB2312" w:cs="仿宋_GB2312"/>
                <w:szCs w:val="21"/>
              </w:rPr>
            </w:pPr>
          </w:p>
        </w:tc>
        <w:tc>
          <w:tcPr>
            <w:tcW w:w="697" w:type="dxa"/>
            <w:noWrap w:val="0"/>
            <w:vAlign w:val="top"/>
          </w:tcPr>
          <w:p w14:paraId="2ABB9AC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&gt;6</w:t>
            </w:r>
          </w:p>
        </w:tc>
        <w:tc>
          <w:tcPr>
            <w:tcW w:w="709" w:type="dxa"/>
            <w:noWrap w:val="0"/>
            <w:vAlign w:val="top"/>
          </w:tcPr>
          <w:p w14:paraId="2DBA7CC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613" w:type="dxa"/>
            <w:noWrap w:val="0"/>
            <w:vAlign w:val="top"/>
          </w:tcPr>
          <w:p w14:paraId="23A0872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505" w:type="dxa"/>
            <w:noWrap w:val="0"/>
            <w:vAlign w:val="top"/>
          </w:tcPr>
          <w:p w14:paraId="0925ABB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586" w:type="dxa"/>
            <w:noWrap w:val="0"/>
            <w:vAlign w:val="top"/>
          </w:tcPr>
          <w:p w14:paraId="60A8243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437" w:type="dxa"/>
            <w:noWrap w:val="0"/>
            <w:vAlign w:val="top"/>
          </w:tcPr>
          <w:p w14:paraId="6D09B13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50" w:type="dxa"/>
            <w:noWrap w:val="0"/>
            <w:vAlign w:val="top"/>
          </w:tcPr>
          <w:p w14:paraId="5CE16C0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&gt;20</w:t>
            </w:r>
          </w:p>
        </w:tc>
        <w:tc>
          <w:tcPr>
            <w:tcW w:w="491" w:type="dxa"/>
            <w:noWrap w:val="0"/>
            <w:vAlign w:val="top"/>
          </w:tcPr>
          <w:p w14:paraId="171D30D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09" w:type="dxa"/>
            <w:vMerge w:val="continue"/>
            <w:noWrap w:val="0"/>
            <w:vAlign w:val="top"/>
          </w:tcPr>
          <w:p w14:paraId="5B7B928A">
            <w:pPr>
              <w:jc w:val="center"/>
              <w:rPr>
                <w:rFonts w:hint="eastAsia" w:ascii="仿宋_GB2312" w:hAnsi="仿宋_GB2312" w:eastAsia="仿宋_GB2312" w:cs="仿宋_GB2312"/>
                <w:szCs w:val="21"/>
              </w:rPr>
            </w:pPr>
          </w:p>
        </w:tc>
        <w:tc>
          <w:tcPr>
            <w:tcW w:w="559" w:type="dxa"/>
            <w:vMerge w:val="continue"/>
            <w:noWrap w:val="0"/>
            <w:vAlign w:val="top"/>
          </w:tcPr>
          <w:p w14:paraId="673F9924">
            <w:pPr>
              <w:jc w:val="center"/>
              <w:rPr>
                <w:rFonts w:hint="eastAsia" w:ascii="仿宋_GB2312" w:hAnsi="仿宋_GB2312" w:eastAsia="仿宋_GB2312" w:cs="仿宋_GB2312"/>
                <w:szCs w:val="21"/>
              </w:rPr>
            </w:pPr>
          </w:p>
        </w:tc>
        <w:tc>
          <w:tcPr>
            <w:tcW w:w="720" w:type="dxa"/>
            <w:vMerge w:val="continue"/>
            <w:noWrap w:val="0"/>
            <w:vAlign w:val="top"/>
          </w:tcPr>
          <w:p w14:paraId="584C4000">
            <w:pPr>
              <w:jc w:val="center"/>
              <w:rPr>
                <w:rFonts w:hint="eastAsia" w:ascii="仿宋_GB2312" w:hAnsi="仿宋_GB2312" w:eastAsia="仿宋_GB2312" w:cs="仿宋_GB2312"/>
                <w:szCs w:val="21"/>
              </w:rPr>
            </w:pPr>
          </w:p>
        </w:tc>
        <w:tc>
          <w:tcPr>
            <w:tcW w:w="460" w:type="dxa"/>
            <w:vMerge w:val="continue"/>
            <w:noWrap w:val="0"/>
            <w:vAlign w:val="top"/>
          </w:tcPr>
          <w:p w14:paraId="453C05D7">
            <w:pPr>
              <w:jc w:val="center"/>
              <w:rPr>
                <w:rFonts w:hint="eastAsia" w:ascii="仿宋_GB2312" w:hAnsi="仿宋_GB2312" w:eastAsia="仿宋_GB2312" w:cs="仿宋_GB2312"/>
                <w:szCs w:val="21"/>
              </w:rPr>
            </w:pPr>
          </w:p>
        </w:tc>
        <w:tc>
          <w:tcPr>
            <w:tcW w:w="749" w:type="dxa"/>
            <w:noWrap w:val="0"/>
            <w:vAlign w:val="top"/>
          </w:tcPr>
          <w:p w14:paraId="49B2A88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&gt;5</w:t>
            </w:r>
          </w:p>
        </w:tc>
        <w:tc>
          <w:tcPr>
            <w:tcW w:w="501" w:type="dxa"/>
            <w:noWrap w:val="0"/>
            <w:vAlign w:val="top"/>
          </w:tcPr>
          <w:p w14:paraId="16D3EED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61" w:type="dxa"/>
            <w:noWrap w:val="0"/>
            <w:vAlign w:val="top"/>
          </w:tcPr>
          <w:p w14:paraId="79999A1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&gt;30</w:t>
            </w:r>
          </w:p>
        </w:tc>
        <w:tc>
          <w:tcPr>
            <w:tcW w:w="480" w:type="dxa"/>
            <w:noWrap w:val="0"/>
            <w:vAlign w:val="top"/>
          </w:tcPr>
          <w:p w14:paraId="4EADEAF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r>
      <w:tr w14:paraId="4FF667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 w:hRule="atLeast"/>
          <w:jc w:val="center"/>
        </w:trPr>
        <w:tc>
          <w:tcPr>
            <w:tcW w:w="302" w:type="dxa"/>
            <w:vMerge w:val="continue"/>
            <w:tcBorders>
              <w:top w:val="single" w:color="auto" w:sz="4" w:space="0"/>
              <w:bottom w:val="single" w:color="auto" w:sz="4" w:space="0"/>
            </w:tcBorders>
            <w:noWrap w:val="0"/>
            <w:vAlign w:val="top"/>
          </w:tcPr>
          <w:p w14:paraId="66B153DE">
            <w:pPr>
              <w:jc w:val="center"/>
              <w:rPr>
                <w:rFonts w:hint="eastAsia" w:ascii="仿宋_GB2312" w:hAnsi="仿宋_GB2312" w:eastAsia="仿宋_GB2312" w:cs="仿宋_GB2312"/>
                <w:szCs w:val="21"/>
              </w:rPr>
            </w:pPr>
          </w:p>
        </w:tc>
        <w:tc>
          <w:tcPr>
            <w:tcW w:w="400" w:type="dxa"/>
            <w:vMerge w:val="restart"/>
            <w:tcBorders>
              <w:top w:val="single" w:color="auto" w:sz="4" w:space="0"/>
              <w:bottom w:val="single" w:color="auto" w:sz="4" w:space="0"/>
            </w:tcBorders>
            <w:noWrap w:val="0"/>
            <w:vAlign w:val="top"/>
          </w:tcPr>
          <w:p w14:paraId="558D554C">
            <w:pPr>
              <w:jc w:val="center"/>
              <w:rPr>
                <w:rFonts w:hint="eastAsia" w:ascii="仿宋_GB2312" w:hAnsi="仿宋_GB2312" w:eastAsia="仿宋_GB2312" w:cs="仿宋_GB2312"/>
                <w:szCs w:val="21"/>
              </w:rPr>
            </w:pPr>
          </w:p>
          <w:p w14:paraId="407A48D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人行道</w:t>
            </w:r>
          </w:p>
        </w:tc>
        <w:tc>
          <w:tcPr>
            <w:tcW w:w="697" w:type="dxa"/>
            <w:noWrap w:val="0"/>
            <w:vAlign w:val="top"/>
          </w:tcPr>
          <w:p w14:paraId="5110306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709" w:type="dxa"/>
            <w:noWrap w:val="0"/>
            <w:vAlign w:val="top"/>
          </w:tcPr>
          <w:p w14:paraId="6C3F6026">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613" w:type="dxa"/>
            <w:noWrap w:val="0"/>
            <w:vAlign w:val="top"/>
          </w:tcPr>
          <w:p w14:paraId="12887A5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505" w:type="dxa"/>
            <w:noWrap w:val="0"/>
            <w:vAlign w:val="top"/>
          </w:tcPr>
          <w:p w14:paraId="505F100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586" w:type="dxa"/>
            <w:noWrap w:val="0"/>
            <w:vAlign w:val="top"/>
          </w:tcPr>
          <w:p w14:paraId="24DDF3F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437" w:type="dxa"/>
            <w:noWrap w:val="0"/>
            <w:vAlign w:val="top"/>
          </w:tcPr>
          <w:p w14:paraId="6BBD9A8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50" w:type="dxa"/>
            <w:noWrap w:val="0"/>
            <w:vAlign w:val="top"/>
          </w:tcPr>
          <w:p w14:paraId="5C1AFCB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≤20</w:t>
            </w:r>
          </w:p>
        </w:tc>
        <w:tc>
          <w:tcPr>
            <w:tcW w:w="491" w:type="dxa"/>
            <w:noWrap w:val="0"/>
            <w:vAlign w:val="top"/>
          </w:tcPr>
          <w:p w14:paraId="156A6CA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709" w:type="dxa"/>
            <w:noWrap w:val="0"/>
            <w:vAlign w:val="top"/>
          </w:tcPr>
          <w:p w14:paraId="61CDFF8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59" w:type="dxa"/>
            <w:noWrap w:val="0"/>
            <w:vAlign w:val="top"/>
          </w:tcPr>
          <w:p w14:paraId="13F2368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20" w:type="dxa"/>
            <w:noWrap w:val="0"/>
            <w:vAlign w:val="top"/>
          </w:tcPr>
          <w:p w14:paraId="0DF001B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460" w:type="dxa"/>
            <w:noWrap w:val="0"/>
            <w:vAlign w:val="top"/>
          </w:tcPr>
          <w:p w14:paraId="634FBE8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49" w:type="dxa"/>
            <w:noWrap w:val="0"/>
            <w:vAlign w:val="top"/>
          </w:tcPr>
          <w:p w14:paraId="771A444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501" w:type="dxa"/>
            <w:noWrap w:val="0"/>
            <w:vAlign w:val="top"/>
          </w:tcPr>
          <w:p w14:paraId="298DC40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61" w:type="dxa"/>
            <w:noWrap w:val="0"/>
            <w:vAlign w:val="top"/>
          </w:tcPr>
          <w:p w14:paraId="553718D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480" w:type="dxa"/>
            <w:noWrap w:val="0"/>
            <w:vAlign w:val="top"/>
          </w:tcPr>
          <w:p w14:paraId="3DABAC8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r>
      <w:tr w14:paraId="0D959F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 w:hRule="atLeast"/>
          <w:jc w:val="center"/>
        </w:trPr>
        <w:tc>
          <w:tcPr>
            <w:tcW w:w="302" w:type="dxa"/>
            <w:vMerge w:val="continue"/>
            <w:tcBorders>
              <w:top w:val="single" w:color="auto" w:sz="4" w:space="0"/>
              <w:bottom w:val="single" w:color="auto" w:sz="4" w:space="0"/>
            </w:tcBorders>
            <w:noWrap w:val="0"/>
            <w:vAlign w:val="top"/>
          </w:tcPr>
          <w:p w14:paraId="367E5830">
            <w:pPr>
              <w:jc w:val="center"/>
              <w:rPr>
                <w:rFonts w:hint="eastAsia" w:ascii="仿宋_GB2312" w:hAnsi="仿宋_GB2312" w:eastAsia="仿宋_GB2312" w:cs="仿宋_GB2312"/>
                <w:szCs w:val="21"/>
              </w:rPr>
            </w:pPr>
          </w:p>
        </w:tc>
        <w:tc>
          <w:tcPr>
            <w:tcW w:w="400" w:type="dxa"/>
            <w:vMerge w:val="continue"/>
            <w:tcBorders>
              <w:top w:val="single" w:color="auto" w:sz="4" w:space="0"/>
              <w:bottom w:val="single" w:color="auto" w:sz="4" w:space="0"/>
            </w:tcBorders>
            <w:noWrap w:val="0"/>
            <w:vAlign w:val="top"/>
          </w:tcPr>
          <w:p w14:paraId="7A0E36C4">
            <w:pPr>
              <w:jc w:val="center"/>
              <w:rPr>
                <w:rFonts w:hint="eastAsia" w:ascii="仿宋_GB2312" w:hAnsi="仿宋_GB2312" w:eastAsia="仿宋_GB2312" w:cs="仿宋_GB2312"/>
                <w:szCs w:val="21"/>
              </w:rPr>
            </w:pPr>
          </w:p>
        </w:tc>
        <w:tc>
          <w:tcPr>
            <w:tcW w:w="697" w:type="dxa"/>
            <w:noWrap w:val="0"/>
            <w:vAlign w:val="top"/>
          </w:tcPr>
          <w:p w14:paraId="63576A5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3∽6</w:t>
            </w:r>
          </w:p>
        </w:tc>
        <w:tc>
          <w:tcPr>
            <w:tcW w:w="709" w:type="dxa"/>
            <w:noWrap w:val="0"/>
            <w:vAlign w:val="top"/>
          </w:tcPr>
          <w:p w14:paraId="0EC002B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613" w:type="dxa"/>
            <w:vMerge w:val="restart"/>
            <w:noWrap w:val="0"/>
            <w:vAlign w:val="center"/>
          </w:tcPr>
          <w:p w14:paraId="07D30345">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w:t>
            </w:r>
          </w:p>
        </w:tc>
        <w:tc>
          <w:tcPr>
            <w:tcW w:w="505" w:type="dxa"/>
            <w:vMerge w:val="restart"/>
            <w:noWrap w:val="0"/>
            <w:vAlign w:val="center"/>
          </w:tcPr>
          <w:p w14:paraId="5C7F0A4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586" w:type="dxa"/>
            <w:vMerge w:val="restart"/>
            <w:noWrap w:val="0"/>
            <w:vAlign w:val="center"/>
          </w:tcPr>
          <w:p w14:paraId="6A5FF43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w:t>
            </w:r>
          </w:p>
        </w:tc>
        <w:tc>
          <w:tcPr>
            <w:tcW w:w="437" w:type="dxa"/>
            <w:vMerge w:val="restart"/>
            <w:noWrap w:val="0"/>
            <w:vAlign w:val="top"/>
          </w:tcPr>
          <w:p w14:paraId="344FC2BF">
            <w:pPr>
              <w:jc w:val="center"/>
              <w:rPr>
                <w:rFonts w:hint="eastAsia" w:ascii="仿宋_GB2312" w:hAnsi="仿宋_GB2312" w:eastAsia="仿宋_GB2312" w:cs="仿宋_GB2312"/>
                <w:szCs w:val="21"/>
              </w:rPr>
            </w:pPr>
          </w:p>
          <w:p w14:paraId="56BDF9C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50" w:type="dxa"/>
            <w:noWrap w:val="0"/>
            <w:vAlign w:val="top"/>
          </w:tcPr>
          <w:p w14:paraId="327EC65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20∽40</w:t>
            </w:r>
          </w:p>
        </w:tc>
        <w:tc>
          <w:tcPr>
            <w:tcW w:w="491" w:type="dxa"/>
            <w:noWrap w:val="0"/>
            <w:vAlign w:val="top"/>
          </w:tcPr>
          <w:p w14:paraId="17E85BE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709" w:type="dxa"/>
            <w:noWrap w:val="0"/>
            <w:vAlign w:val="top"/>
          </w:tcPr>
          <w:p w14:paraId="5EABDC6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559" w:type="dxa"/>
            <w:noWrap w:val="0"/>
            <w:vAlign w:val="top"/>
          </w:tcPr>
          <w:p w14:paraId="2952F52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720" w:type="dxa"/>
            <w:noWrap w:val="0"/>
            <w:vAlign w:val="top"/>
          </w:tcPr>
          <w:p w14:paraId="5BD54E1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2∽4</w:t>
            </w:r>
          </w:p>
        </w:tc>
        <w:tc>
          <w:tcPr>
            <w:tcW w:w="460" w:type="dxa"/>
            <w:noWrap w:val="0"/>
            <w:vAlign w:val="top"/>
          </w:tcPr>
          <w:p w14:paraId="388F18A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749" w:type="dxa"/>
            <w:noWrap w:val="0"/>
            <w:vAlign w:val="top"/>
          </w:tcPr>
          <w:p w14:paraId="37E055FF">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2∽5</w:t>
            </w:r>
          </w:p>
        </w:tc>
        <w:tc>
          <w:tcPr>
            <w:tcW w:w="501" w:type="dxa"/>
            <w:noWrap w:val="0"/>
            <w:vAlign w:val="top"/>
          </w:tcPr>
          <w:p w14:paraId="2FB1949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761" w:type="dxa"/>
            <w:noWrap w:val="0"/>
            <w:vAlign w:val="top"/>
          </w:tcPr>
          <w:p w14:paraId="285100E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10∽30</w:t>
            </w:r>
          </w:p>
        </w:tc>
        <w:tc>
          <w:tcPr>
            <w:tcW w:w="480" w:type="dxa"/>
            <w:noWrap w:val="0"/>
            <w:vAlign w:val="top"/>
          </w:tcPr>
          <w:p w14:paraId="63590BF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r>
      <w:tr w14:paraId="44663C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 w:hRule="atLeast"/>
          <w:jc w:val="center"/>
        </w:trPr>
        <w:tc>
          <w:tcPr>
            <w:tcW w:w="302" w:type="dxa"/>
            <w:vMerge w:val="continue"/>
            <w:tcBorders>
              <w:top w:val="single" w:color="auto" w:sz="4" w:space="0"/>
              <w:bottom w:val="single" w:color="auto" w:sz="4" w:space="0"/>
            </w:tcBorders>
            <w:noWrap w:val="0"/>
            <w:vAlign w:val="top"/>
          </w:tcPr>
          <w:p w14:paraId="18337AA9">
            <w:pPr>
              <w:jc w:val="center"/>
              <w:rPr>
                <w:rFonts w:hint="eastAsia" w:ascii="仿宋_GB2312" w:hAnsi="仿宋_GB2312" w:eastAsia="仿宋_GB2312" w:cs="仿宋_GB2312"/>
                <w:szCs w:val="21"/>
              </w:rPr>
            </w:pPr>
          </w:p>
        </w:tc>
        <w:tc>
          <w:tcPr>
            <w:tcW w:w="400" w:type="dxa"/>
            <w:vMerge w:val="continue"/>
            <w:tcBorders>
              <w:top w:val="single" w:color="auto" w:sz="4" w:space="0"/>
              <w:bottom w:val="single" w:color="auto" w:sz="4" w:space="0"/>
            </w:tcBorders>
            <w:noWrap w:val="0"/>
            <w:vAlign w:val="top"/>
          </w:tcPr>
          <w:p w14:paraId="35B53E4E">
            <w:pPr>
              <w:jc w:val="center"/>
              <w:rPr>
                <w:rFonts w:hint="eastAsia" w:ascii="仿宋_GB2312" w:hAnsi="仿宋_GB2312" w:eastAsia="仿宋_GB2312" w:cs="仿宋_GB2312"/>
                <w:szCs w:val="21"/>
              </w:rPr>
            </w:pPr>
          </w:p>
        </w:tc>
        <w:tc>
          <w:tcPr>
            <w:tcW w:w="697" w:type="dxa"/>
            <w:tcBorders>
              <w:bottom w:val="single" w:color="auto" w:sz="4" w:space="0"/>
            </w:tcBorders>
            <w:noWrap w:val="0"/>
            <w:vAlign w:val="top"/>
          </w:tcPr>
          <w:p w14:paraId="0DBDE00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&gt;6</w:t>
            </w:r>
          </w:p>
        </w:tc>
        <w:tc>
          <w:tcPr>
            <w:tcW w:w="709" w:type="dxa"/>
            <w:tcBorders>
              <w:bottom w:val="single" w:color="auto" w:sz="4" w:space="0"/>
            </w:tcBorders>
            <w:noWrap w:val="0"/>
            <w:vAlign w:val="top"/>
          </w:tcPr>
          <w:p w14:paraId="2C37E83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613" w:type="dxa"/>
            <w:vMerge w:val="continue"/>
            <w:tcBorders>
              <w:bottom w:val="single" w:color="auto" w:sz="4" w:space="0"/>
            </w:tcBorders>
            <w:noWrap w:val="0"/>
            <w:vAlign w:val="top"/>
          </w:tcPr>
          <w:p w14:paraId="020727D8">
            <w:pPr>
              <w:jc w:val="center"/>
              <w:rPr>
                <w:rFonts w:hint="eastAsia" w:ascii="仿宋_GB2312" w:hAnsi="仿宋_GB2312" w:eastAsia="仿宋_GB2312" w:cs="仿宋_GB2312"/>
                <w:szCs w:val="21"/>
              </w:rPr>
            </w:pPr>
          </w:p>
        </w:tc>
        <w:tc>
          <w:tcPr>
            <w:tcW w:w="505" w:type="dxa"/>
            <w:vMerge w:val="continue"/>
            <w:tcBorders>
              <w:bottom w:val="single" w:color="auto" w:sz="4" w:space="0"/>
            </w:tcBorders>
            <w:noWrap w:val="0"/>
            <w:vAlign w:val="top"/>
          </w:tcPr>
          <w:p w14:paraId="14882133">
            <w:pPr>
              <w:jc w:val="center"/>
              <w:rPr>
                <w:rFonts w:hint="eastAsia" w:ascii="仿宋_GB2312" w:hAnsi="仿宋_GB2312" w:eastAsia="仿宋_GB2312" w:cs="仿宋_GB2312"/>
                <w:szCs w:val="21"/>
              </w:rPr>
            </w:pPr>
          </w:p>
        </w:tc>
        <w:tc>
          <w:tcPr>
            <w:tcW w:w="586" w:type="dxa"/>
            <w:vMerge w:val="continue"/>
            <w:tcBorders>
              <w:bottom w:val="single" w:color="auto" w:sz="4" w:space="0"/>
            </w:tcBorders>
            <w:noWrap w:val="0"/>
            <w:vAlign w:val="top"/>
          </w:tcPr>
          <w:p w14:paraId="357B408E">
            <w:pPr>
              <w:jc w:val="center"/>
              <w:rPr>
                <w:rFonts w:hint="eastAsia" w:ascii="仿宋_GB2312" w:hAnsi="仿宋_GB2312" w:eastAsia="仿宋_GB2312" w:cs="仿宋_GB2312"/>
                <w:szCs w:val="21"/>
              </w:rPr>
            </w:pPr>
          </w:p>
        </w:tc>
        <w:tc>
          <w:tcPr>
            <w:tcW w:w="437" w:type="dxa"/>
            <w:vMerge w:val="continue"/>
            <w:tcBorders>
              <w:bottom w:val="single" w:color="auto" w:sz="4" w:space="0"/>
            </w:tcBorders>
            <w:noWrap w:val="0"/>
            <w:vAlign w:val="top"/>
          </w:tcPr>
          <w:p w14:paraId="243D42E1">
            <w:pPr>
              <w:jc w:val="center"/>
              <w:rPr>
                <w:rFonts w:hint="eastAsia" w:ascii="仿宋_GB2312" w:hAnsi="仿宋_GB2312" w:eastAsia="仿宋_GB2312" w:cs="仿宋_GB2312"/>
                <w:szCs w:val="21"/>
              </w:rPr>
            </w:pPr>
          </w:p>
        </w:tc>
        <w:tc>
          <w:tcPr>
            <w:tcW w:w="750" w:type="dxa"/>
            <w:tcBorders>
              <w:bottom w:val="single" w:color="auto" w:sz="4" w:space="0"/>
            </w:tcBorders>
            <w:noWrap w:val="0"/>
            <w:vAlign w:val="top"/>
          </w:tcPr>
          <w:p w14:paraId="47B2E5F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&gt;40</w:t>
            </w:r>
          </w:p>
        </w:tc>
        <w:tc>
          <w:tcPr>
            <w:tcW w:w="491" w:type="dxa"/>
            <w:tcBorders>
              <w:bottom w:val="single" w:color="auto" w:sz="4" w:space="0"/>
            </w:tcBorders>
            <w:noWrap w:val="0"/>
            <w:vAlign w:val="top"/>
          </w:tcPr>
          <w:p w14:paraId="5F2D5F2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09" w:type="dxa"/>
            <w:tcBorders>
              <w:bottom w:val="single" w:color="auto" w:sz="4" w:space="0"/>
            </w:tcBorders>
            <w:noWrap w:val="0"/>
            <w:vAlign w:val="top"/>
          </w:tcPr>
          <w:p w14:paraId="7B52727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559" w:type="dxa"/>
            <w:tcBorders>
              <w:bottom w:val="single" w:color="auto" w:sz="4" w:space="0"/>
            </w:tcBorders>
            <w:noWrap w:val="0"/>
            <w:vAlign w:val="top"/>
          </w:tcPr>
          <w:p w14:paraId="0156627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20" w:type="dxa"/>
            <w:tcBorders>
              <w:bottom w:val="single" w:color="auto" w:sz="4" w:space="0"/>
            </w:tcBorders>
            <w:noWrap w:val="0"/>
            <w:vAlign w:val="top"/>
          </w:tcPr>
          <w:p w14:paraId="1998223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&gt;4</w:t>
            </w:r>
          </w:p>
        </w:tc>
        <w:tc>
          <w:tcPr>
            <w:tcW w:w="460" w:type="dxa"/>
            <w:tcBorders>
              <w:bottom w:val="single" w:color="auto" w:sz="4" w:space="0"/>
            </w:tcBorders>
            <w:noWrap w:val="0"/>
            <w:vAlign w:val="top"/>
          </w:tcPr>
          <w:p w14:paraId="676D1C2E">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49" w:type="dxa"/>
            <w:tcBorders>
              <w:bottom w:val="single" w:color="auto" w:sz="4" w:space="0"/>
            </w:tcBorders>
            <w:noWrap w:val="0"/>
            <w:vAlign w:val="top"/>
          </w:tcPr>
          <w:p w14:paraId="52591077">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&gt;5</w:t>
            </w:r>
          </w:p>
        </w:tc>
        <w:tc>
          <w:tcPr>
            <w:tcW w:w="501" w:type="dxa"/>
            <w:tcBorders>
              <w:bottom w:val="single" w:color="auto" w:sz="4" w:space="0"/>
            </w:tcBorders>
            <w:noWrap w:val="0"/>
            <w:vAlign w:val="top"/>
          </w:tcPr>
          <w:p w14:paraId="470154E0">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c>
          <w:tcPr>
            <w:tcW w:w="761" w:type="dxa"/>
            <w:tcBorders>
              <w:bottom w:val="single" w:color="auto" w:sz="4" w:space="0"/>
            </w:tcBorders>
            <w:noWrap w:val="0"/>
            <w:vAlign w:val="top"/>
          </w:tcPr>
          <w:p w14:paraId="2772209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&gt;30</w:t>
            </w:r>
          </w:p>
        </w:tc>
        <w:tc>
          <w:tcPr>
            <w:tcW w:w="480" w:type="dxa"/>
            <w:tcBorders>
              <w:bottom w:val="single" w:color="auto" w:sz="4" w:space="0"/>
            </w:tcBorders>
            <w:noWrap w:val="0"/>
            <w:vAlign w:val="top"/>
          </w:tcPr>
          <w:p w14:paraId="7CDCC99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0</w:t>
            </w:r>
          </w:p>
        </w:tc>
      </w:tr>
      <w:tr w14:paraId="495AF5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 w:hRule="atLeast"/>
          <w:jc w:val="center"/>
        </w:trPr>
        <w:tc>
          <w:tcPr>
            <w:tcW w:w="10429" w:type="dxa"/>
            <w:gridSpan w:val="18"/>
            <w:tcBorders>
              <w:top w:val="single" w:color="auto" w:sz="4" w:space="0"/>
              <w:left w:val="single" w:color="auto" w:sz="4" w:space="0"/>
              <w:bottom w:val="single" w:color="auto" w:sz="4" w:space="0"/>
              <w:right w:val="single" w:color="auto" w:sz="4" w:space="0"/>
            </w:tcBorders>
            <w:noWrap w:val="0"/>
            <w:vAlign w:val="center"/>
          </w:tcPr>
          <w:p w14:paraId="04421DEB">
            <w:pPr>
              <w:jc w:val="left"/>
              <w:rPr>
                <w:rFonts w:hint="eastAsia" w:ascii="仿宋_GB2312" w:hAnsi="仿宋_GB2312" w:eastAsia="仿宋_GB2312" w:cs="仿宋_GB2312"/>
                <w:szCs w:val="21"/>
              </w:rPr>
            </w:pPr>
            <w:r>
              <w:rPr>
                <w:rFonts w:hint="eastAsia" w:ascii="仿宋_GB2312" w:hAnsi="仿宋_GB2312" w:eastAsia="仿宋_GB2312" w:cs="仿宋_GB2312"/>
                <w:szCs w:val="21"/>
              </w:rPr>
              <w:t>说明：</w:t>
            </w:r>
          </w:p>
          <w:p w14:paraId="7A537272">
            <w:pPr>
              <w:jc w:val="left"/>
              <w:rPr>
                <w:rFonts w:hint="eastAsia" w:ascii="仿宋_GB2312" w:hAnsi="仿宋_GB2312" w:eastAsia="仿宋_GB2312" w:cs="仿宋_GB2312"/>
                <w:szCs w:val="21"/>
              </w:rPr>
            </w:pPr>
            <w:r>
              <w:rPr>
                <w:rFonts w:hint="eastAsia" w:ascii="仿宋_GB2312" w:hAnsi="仿宋_GB2312" w:eastAsia="仿宋_GB2312" w:cs="仿宋_GB2312"/>
                <w:szCs w:val="21"/>
              </w:rPr>
              <w:t>1、成堆纸塑、果皮等垃圾应以小于等于 0.25m2 为 1“个”，大于 0.25m2 的按照倍数累进计数；</w:t>
            </w:r>
          </w:p>
          <w:p w14:paraId="7323B65D">
            <w:pPr>
              <w:jc w:val="left"/>
              <w:rPr>
                <w:rFonts w:hint="eastAsia" w:ascii="仿宋_GB2312" w:hAnsi="仿宋_GB2312" w:eastAsia="仿宋_GB2312" w:cs="仿宋_GB2312"/>
                <w:szCs w:val="21"/>
              </w:rPr>
            </w:pPr>
            <w:r>
              <w:rPr>
                <w:rFonts w:hint="eastAsia" w:ascii="仿宋_GB2312" w:hAnsi="仿宋_GB2312" w:eastAsia="仿宋_GB2312" w:cs="仿宋_GB2312"/>
                <w:szCs w:val="21"/>
              </w:rPr>
              <w:t>2、成片污渍应以小于等于 1m2 为 1“处”，大于 1m2 的按照倍数累进计数；</w:t>
            </w:r>
          </w:p>
          <w:p w14:paraId="53B36988">
            <w:pPr>
              <w:jc w:val="left"/>
              <w:rPr>
                <w:rFonts w:hint="eastAsia" w:ascii="仿宋_GB2312" w:hAnsi="仿宋_GB2312" w:eastAsia="仿宋_GB2312" w:cs="仿宋_GB2312"/>
                <w:szCs w:val="21"/>
              </w:rPr>
            </w:pPr>
            <w:r>
              <w:rPr>
                <w:rFonts w:hint="eastAsia" w:ascii="仿宋_GB2312" w:hAnsi="仿宋_GB2312" w:eastAsia="仿宋_GB2312" w:cs="仿宋_GB2312"/>
                <w:szCs w:val="21"/>
              </w:rPr>
              <w:t>4、植物落叶、落花、落果根据其性状可不计为可见垃圾，陈旧性污渍应不计为污渍，水渍应不计为污渍；</w:t>
            </w:r>
          </w:p>
          <w:p w14:paraId="5EE6704A">
            <w:pPr>
              <w:jc w:val="left"/>
              <w:rPr>
                <w:rFonts w:hint="eastAsia" w:ascii="仿宋_GB2312" w:hAnsi="仿宋_GB2312" w:eastAsia="仿宋_GB2312" w:cs="仿宋_GB2312"/>
                <w:szCs w:val="21"/>
              </w:rPr>
            </w:pPr>
            <w:r>
              <w:rPr>
                <w:rFonts w:hint="eastAsia" w:ascii="仿宋_GB2312" w:hAnsi="仿宋_GB2312" w:eastAsia="仿宋_GB2312" w:cs="仿宋_GB2312"/>
                <w:szCs w:val="21"/>
              </w:rPr>
              <w:t>5、道路等级中车行道、人行道满分各为 100 分，每级道路得分为车行道得分和人行道得分的平均值。</w:t>
            </w:r>
          </w:p>
        </w:tc>
      </w:tr>
    </w:tbl>
    <w:p w14:paraId="4AAF8863">
      <w:pPr>
        <w:rPr>
          <w:rFonts w:hint="eastAsia"/>
          <w:lang w:val="zh-CN"/>
        </w:rPr>
      </w:pPr>
    </w:p>
    <w:p w14:paraId="292EC014">
      <w:pPr>
        <w:pStyle w:val="7"/>
        <w:rPr>
          <w:rFonts w:hint="eastAsia"/>
          <w:lang w:val="zh-CN"/>
        </w:rPr>
      </w:pPr>
    </w:p>
    <w:p w14:paraId="3D99B0FC">
      <w:pPr>
        <w:rPr>
          <w:rFonts w:hint="eastAsia"/>
          <w:lang w:val="zh-CN"/>
        </w:rPr>
        <w:sectPr>
          <w:pgSz w:w="11905" w:h="16838"/>
          <w:pgMar w:top="1440" w:right="1080" w:bottom="1440" w:left="1080" w:header="850" w:footer="975" w:gutter="0"/>
          <w:cols w:space="720" w:num="1"/>
          <w:docGrid w:linePitch="312" w:charSpace="0"/>
        </w:sectPr>
      </w:pPr>
    </w:p>
    <w:p w14:paraId="0C0487D7">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3、西安高新区直管道路清扫保洁质量月度打分表（  月）</w:t>
      </w:r>
    </w:p>
    <w:tbl>
      <w:tblPr>
        <w:tblStyle w:val="10"/>
        <w:tblW w:w="10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092"/>
        <w:gridCol w:w="1156"/>
        <w:gridCol w:w="986"/>
        <w:gridCol w:w="1220"/>
        <w:gridCol w:w="1071"/>
        <w:gridCol w:w="1644"/>
        <w:gridCol w:w="1033"/>
        <w:gridCol w:w="1325"/>
      </w:tblGrid>
      <w:tr w14:paraId="2732D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9" w:hRule="exact"/>
          <w:jc w:val="center"/>
        </w:trPr>
        <w:tc>
          <w:tcPr>
            <w:tcW w:w="860" w:type="dxa"/>
            <w:noWrap/>
            <w:vAlign w:val="center"/>
          </w:tcPr>
          <w:p w14:paraId="13EB2278">
            <w:pPr>
              <w:jc w:val="center"/>
              <w:rPr>
                <w:rFonts w:hint="eastAsia" w:ascii="仿宋_GB2312" w:hAnsi="仿宋_GB2312" w:eastAsia="仿宋_GB2312" w:cs="仿宋_GB2312"/>
                <w:b/>
                <w:bCs/>
                <w:szCs w:val="21"/>
              </w:rPr>
            </w:pPr>
          </w:p>
          <w:p w14:paraId="68630653">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考核</w:t>
            </w:r>
          </w:p>
          <w:p w14:paraId="65B4E443">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项目</w:t>
            </w:r>
          </w:p>
          <w:p w14:paraId="17BDE8B1">
            <w:pPr>
              <w:pStyle w:val="7"/>
              <w:rPr>
                <w:rFonts w:hint="eastAsia" w:ascii="仿宋_GB2312" w:hAnsi="仿宋_GB2312" w:eastAsia="仿宋_GB2312" w:cs="仿宋_GB2312"/>
                <w:sz w:val="21"/>
                <w:szCs w:val="21"/>
              </w:rPr>
            </w:pPr>
          </w:p>
        </w:tc>
        <w:tc>
          <w:tcPr>
            <w:tcW w:w="1093" w:type="dxa"/>
            <w:noWrap/>
            <w:vAlign w:val="center"/>
          </w:tcPr>
          <w:p w14:paraId="50FC2BFE">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果皮纸屑塑料袋烟头等垃圾</w:t>
            </w:r>
          </w:p>
        </w:tc>
        <w:tc>
          <w:tcPr>
            <w:tcW w:w="1157" w:type="dxa"/>
            <w:noWrap/>
            <w:vAlign w:val="center"/>
          </w:tcPr>
          <w:p w14:paraId="099BEA82">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积泥</w:t>
            </w:r>
          </w:p>
          <w:p w14:paraId="41E76119">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污水</w:t>
            </w:r>
          </w:p>
        </w:tc>
        <w:tc>
          <w:tcPr>
            <w:tcW w:w="986" w:type="dxa"/>
            <w:noWrap/>
            <w:vAlign w:val="center"/>
          </w:tcPr>
          <w:p w14:paraId="314CD7D8">
            <w:pPr>
              <w:jc w:val="center"/>
              <w:rPr>
                <w:rFonts w:hint="eastAsia" w:ascii="仿宋_GB2312" w:hAnsi="仿宋_GB2312" w:eastAsia="仿宋_GB2312" w:cs="仿宋_GB2312"/>
                <w:b/>
                <w:bCs/>
                <w:szCs w:val="21"/>
              </w:rPr>
            </w:pPr>
          </w:p>
          <w:p w14:paraId="2408BDA9">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路面</w:t>
            </w:r>
          </w:p>
          <w:p w14:paraId="2C98DD7E">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积尘</w:t>
            </w:r>
          </w:p>
          <w:p w14:paraId="63B337DC">
            <w:pPr>
              <w:jc w:val="center"/>
              <w:rPr>
                <w:rFonts w:hint="eastAsia" w:ascii="仿宋_GB2312" w:hAnsi="仿宋_GB2312" w:eastAsia="仿宋_GB2312" w:cs="仿宋_GB2312"/>
                <w:b/>
                <w:bCs/>
                <w:szCs w:val="21"/>
              </w:rPr>
            </w:pPr>
          </w:p>
        </w:tc>
        <w:tc>
          <w:tcPr>
            <w:tcW w:w="1221" w:type="dxa"/>
            <w:noWrap/>
            <w:vAlign w:val="center"/>
          </w:tcPr>
          <w:p w14:paraId="3DDA4441">
            <w:pPr>
              <w:jc w:val="center"/>
              <w:rPr>
                <w:rFonts w:hint="eastAsia" w:ascii="仿宋_GB2312" w:hAnsi="仿宋_GB2312" w:eastAsia="仿宋_GB2312" w:cs="仿宋_GB2312"/>
                <w:b/>
                <w:bCs/>
                <w:szCs w:val="21"/>
              </w:rPr>
            </w:pPr>
          </w:p>
          <w:p w14:paraId="140EEF15">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痰迹</w:t>
            </w:r>
          </w:p>
          <w:p w14:paraId="5AF5458D">
            <w:pPr>
              <w:jc w:val="center"/>
              <w:rPr>
                <w:rFonts w:hint="eastAsia" w:ascii="仿宋_GB2312" w:hAnsi="仿宋_GB2312" w:eastAsia="仿宋_GB2312" w:cs="仿宋_GB2312"/>
                <w:b/>
                <w:bCs/>
                <w:szCs w:val="21"/>
              </w:rPr>
            </w:pPr>
          </w:p>
        </w:tc>
        <w:tc>
          <w:tcPr>
            <w:tcW w:w="1072" w:type="dxa"/>
            <w:noWrap/>
            <w:vAlign w:val="center"/>
          </w:tcPr>
          <w:p w14:paraId="0C8031CF">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小广告</w:t>
            </w:r>
          </w:p>
          <w:p w14:paraId="04341165">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乱贴</w:t>
            </w:r>
          </w:p>
          <w:p w14:paraId="4048CE21">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乱画</w:t>
            </w:r>
          </w:p>
        </w:tc>
        <w:tc>
          <w:tcPr>
            <w:tcW w:w="1645" w:type="dxa"/>
            <w:noWrap/>
            <w:vAlign w:val="center"/>
          </w:tcPr>
          <w:p w14:paraId="4F1F8501">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停留</w:t>
            </w:r>
          </w:p>
          <w:p w14:paraId="0B4F8C7E">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时间</w:t>
            </w:r>
          </w:p>
        </w:tc>
        <w:tc>
          <w:tcPr>
            <w:tcW w:w="1033" w:type="dxa"/>
            <w:noWrap/>
            <w:vAlign w:val="center"/>
          </w:tcPr>
          <w:p w14:paraId="0090578D">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果皮箱等环卫设施</w:t>
            </w:r>
          </w:p>
          <w:p w14:paraId="74CAB863">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管理</w:t>
            </w:r>
          </w:p>
        </w:tc>
        <w:tc>
          <w:tcPr>
            <w:tcW w:w="1326" w:type="dxa"/>
            <w:noWrap/>
            <w:vAlign w:val="center"/>
          </w:tcPr>
          <w:p w14:paraId="524289E4">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环卫工人</w:t>
            </w:r>
          </w:p>
          <w:p w14:paraId="595031B2">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管理</w:t>
            </w:r>
          </w:p>
        </w:tc>
      </w:tr>
      <w:tr w14:paraId="077B4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2" w:hRule="exact"/>
          <w:jc w:val="center"/>
        </w:trPr>
        <w:tc>
          <w:tcPr>
            <w:tcW w:w="860" w:type="dxa"/>
            <w:noWrap/>
            <w:vAlign w:val="center"/>
          </w:tcPr>
          <w:p w14:paraId="47532808">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评分</w:t>
            </w:r>
          </w:p>
          <w:p w14:paraId="26698812">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标准</w:t>
            </w:r>
          </w:p>
        </w:tc>
        <w:tc>
          <w:tcPr>
            <w:tcW w:w="1093" w:type="dxa"/>
            <w:noWrap/>
            <w:vAlign w:val="center"/>
          </w:tcPr>
          <w:p w14:paraId="2E9CA59D">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一级≤4</w:t>
            </w:r>
          </w:p>
          <w:p w14:paraId="67F28181">
            <w:pPr>
              <w:pStyle w:val="7"/>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二级≤8</w:t>
            </w:r>
          </w:p>
          <w:p w14:paraId="02D0B071">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超出每处扣0.5分</w:t>
            </w:r>
          </w:p>
        </w:tc>
        <w:tc>
          <w:tcPr>
            <w:tcW w:w="1157" w:type="dxa"/>
            <w:noWrap/>
            <w:vAlign w:val="center"/>
          </w:tcPr>
          <w:p w14:paraId="5A852E1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一级≤2</w:t>
            </w:r>
          </w:p>
          <w:p w14:paraId="61CE30D8">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二级≤4</w:t>
            </w:r>
          </w:p>
          <w:p w14:paraId="69463201">
            <w:pPr>
              <w:pStyle w:val="7"/>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超出每处扣0.5分</w:t>
            </w:r>
          </w:p>
        </w:tc>
        <w:tc>
          <w:tcPr>
            <w:tcW w:w="986" w:type="dxa"/>
            <w:noWrap/>
            <w:vAlign w:val="center"/>
          </w:tcPr>
          <w:p w14:paraId="04A200F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严重-5</w:t>
            </w:r>
          </w:p>
          <w:p w14:paraId="598DD58A">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轻微-2</w:t>
            </w:r>
          </w:p>
          <w:p w14:paraId="0EF602D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合格不扣分</w:t>
            </w:r>
          </w:p>
        </w:tc>
        <w:tc>
          <w:tcPr>
            <w:tcW w:w="1221" w:type="dxa"/>
            <w:noWrap/>
            <w:vAlign w:val="center"/>
          </w:tcPr>
          <w:p w14:paraId="3DBF2023">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一级≤3</w:t>
            </w:r>
          </w:p>
          <w:p w14:paraId="584F138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二级≤6</w:t>
            </w:r>
          </w:p>
          <w:p w14:paraId="7FD58A97">
            <w:pPr>
              <w:pStyle w:val="7"/>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超出每处扣0.5分</w:t>
            </w:r>
          </w:p>
        </w:tc>
        <w:tc>
          <w:tcPr>
            <w:tcW w:w="1072" w:type="dxa"/>
            <w:noWrap/>
            <w:vAlign w:val="center"/>
          </w:tcPr>
          <w:p w14:paraId="7D3D5522">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一级≤2</w:t>
            </w:r>
          </w:p>
          <w:p w14:paraId="2B842E8B">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二级≤4</w:t>
            </w:r>
          </w:p>
          <w:p w14:paraId="7B1AA49A">
            <w:pPr>
              <w:pStyle w:val="7"/>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超出每处扣0.5分</w:t>
            </w:r>
          </w:p>
        </w:tc>
        <w:tc>
          <w:tcPr>
            <w:tcW w:w="1645" w:type="dxa"/>
            <w:noWrap/>
            <w:vAlign w:val="center"/>
          </w:tcPr>
          <w:p w14:paraId="3C39E30D">
            <w:pPr>
              <w:jc w:val="left"/>
              <w:rPr>
                <w:rFonts w:hint="eastAsia" w:ascii="仿宋_GB2312" w:hAnsi="仿宋_GB2312" w:eastAsia="仿宋_GB2312" w:cs="仿宋_GB2312"/>
                <w:szCs w:val="21"/>
              </w:rPr>
            </w:pPr>
            <w:r>
              <w:rPr>
                <w:rFonts w:hint="eastAsia" w:ascii="仿宋_GB2312" w:hAnsi="仿宋_GB2312" w:eastAsia="仿宋_GB2312" w:cs="仿宋_GB2312"/>
                <w:szCs w:val="21"/>
              </w:rPr>
              <w:t>一级≤10分钟</w:t>
            </w:r>
          </w:p>
          <w:p w14:paraId="132E1FE7">
            <w:pPr>
              <w:jc w:val="left"/>
              <w:rPr>
                <w:rFonts w:hint="eastAsia" w:ascii="仿宋_GB2312" w:hAnsi="仿宋_GB2312" w:eastAsia="仿宋_GB2312" w:cs="仿宋_GB2312"/>
                <w:szCs w:val="21"/>
              </w:rPr>
            </w:pPr>
            <w:r>
              <w:rPr>
                <w:rFonts w:hint="eastAsia" w:ascii="仿宋_GB2312" w:hAnsi="仿宋_GB2312" w:eastAsia="仿宋_GB2312" w:cs="仿宋_GB2312"/>
                <w:szCs w:val="21"/>
              </w:rPr>
              <w:t>二级≤20分钟</w:t>
            </w:r>
          </w:p>
          <w:p w14:paraId="0FE007C4">
            <w:pPr>
              <w:pStyle w:val="7"/>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超时扣0.5分</w:t>
            </w:r>
          </w:p>
        </w:tc>
        <w:tc>
          <w:tcPr>
            <w:tcW w:w="1033" w:type="dxa"/>
            <w:noWrap/>
            <w:vAlign w:val="center"/>
          </w:tcPr>
          <w:p w14:paraId="4444A36C">
            <w:pPr>
              <w:jc w:val="left"/>
              <w:rPr>
                <w:rFonts w:hint="eastAsia" w:ascii="仿宋_GB2312" w:hAnsi="仿宋_GB2312" w:eastAsia="仿宋_GB2312" w:cs="仿宋_GB2312"/>
                <w:szCs w:val="21"/>
              </w:rPr>
            </w:pPr>
            <w:r>
              <w:rPr>
                <w:rFonts w:hint="eastAsia" w:ascii="仿宋_GB2312" w:hAnsi="仿宋_GB2312" w:eastAsia="仿宋_GB2312" w:cs="仿宋_GB2312"/>
                <w:szCs w:val="21"/>
              </w:rPr>
              <w:t>未擦洗-2分；</w:t>
            </w:r>
          </w:p>
          <w:p w14:paraId="075EDBDB">
            <w:pPr>
              <w:jc w:val="left"/>
              <w:rPr>
                <w:rFonts w:hint="eastAsia" w:ascii="仿宋_GB2312" w:hAnsi="仿宋_GB2312" w:eastAsia="仿宋_GB2312" w:cs="仿宋_GB2312"/>
                <w:szCs w:val="21"/>
              </w:rPr>
            </w:pPr>
            <w:r>
              <w:rPr>
                <w:rFonts w:hint="eastAsia" w:ascii="仿宋_GB2312" w:hAnsi="仿宋_GB2312" w:eastAsia="仿宋_GB2312" w:cs="仿宋_GB2312"/>
                <w:szCs w:val="21"/>
              </w:rPr>
              <w:t>清理不及时-3分；满溢-5分</w:t>
            </w:r>
          </w:p>
        </w:tc>
        <w:tc>
          <w:tcPr>
            <w:tcW w:w="1326" w:type="dxa"/>
            <w:noWrap/>
            <w:vAlign w:val="center"/>
          </w:tcPr>
          <w:p w14:paraId="0D3FCB1D">
            <w:pPr>
              <w:jc w:val="left"/>
              <w:rPr>
                <w:rFonts w:hint="eastAsia" w:ascii="仿宋_GB2312" w:hAnsi="仿宋_GB2312" w:eastAsia="仿宋_GB2312" w:cs="仿宋_GB2312"/>
                <w:szCs w:val="21"/>
              </w:rPr>
            </w:pPr>
            <w:r>
              <w:rPr>
                <w:rFonts w:hint="eastAsia" w:ascii="仿宋_GB2312" w:hAnsi="仿宋_GB2312" w:eastAsia="仿宋_GB2312" w:cs="仿宋_GB2312"/>
                <w:szCs w:val="21"/>
              </w:rPr>
              <w:t>着装不规范-3分</w:t>
            </w:r>
          </w:p>
          <w:p w14:paraId="1C39D311">
            <w:pPr>
              <w:pStyle w:val="7"/>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工作状态差-5分</w:t>
            </w:r>
          </w:p>
          <w:p w14:paraId="2F89793B">
            <w:pPr>
              <w:jc w:val="left"/>
              <w:rPr>
                <w:rFonts w:hint="eastAsia" w:ascii="仿宋_GB2312" w:hAnsi="仿宋_GB2312" w:eastAsia="仿宋_GB2312" w:cs="仿宋_GB2312"/>
                <w:szCs w:val="21"/>
              </w:rPr>
            </w:pPr>
            <w:r>
              <w:rPr>
                <w:rFonts w:hint="eastAsia" w:ascii="仿宋_GB2312" w:hAnsi="仿宋_GB2312" w:eastAsia="仿宋_GB2312" w:cs="仿宋_GB2312"/>
                <w:szCs w:val="21"/>
              </w:rPr>
              <w:t>违反安全规范-10分</w:t>
            </w:r>
          </w:p>
        </w:tc>
      </w:tr>
      <w:tr w14:paraId="1C44B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exact"/>
          <w:jc w:val="center"/>
        </w:trPr>
        <w:tc>
          <w:tcPr>
            <w:tcW w:w="860" w:type="dxa"/>
            <w:noWrap/>
            <w:vAlign w:val="center"/>
          </w:tcPr>
          <w:p w14:paraId="50274108">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检查</w:t>
            </w:r>
          </w:p>
          <w:p w14:paraId="46A10914">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结果</w:t>
            </w:r>
          </w:p>
        </w:tc>
        <w:tc>
          <w:tcPr>
            <w:tcW w:w="1093" w:type="dxa"/>
            <w:noWrap/>
            <w:vAlign w:val="center"/>
          </w:tcPr>
          <w:p w14:paraId="0A0466CC">
            <w:pPr>
              <w:jc w:val="center"/>
              <w:rPr>
                <w:rFonts w:hint="eastAsia" w:ascii="仿宋_GB2312" w:hAnsi="仿宋_GB2312" w:eastAsia="仿宋_GB2312" w:cs="仿宋_GB2312"/>
                <w:szCs w:val="21"/>
              </w:rPr>
            </w:pPr>
          </w:p>
        </w:tc>
        <w:tc>
          <w:tcPr>
            <w:tcW w:w="1157" w:type="dxa"/>
            <w:noWrap/>
            <w:vAlign w:val="center"/>
          </w:tcPr>
          <w:p w14:paraId="25B55961">
            <w:pPr>
              <w:jc w:val="center"/>
              <w:rPr>
                <w:rFonts w:hint="eastAsia" w:ascii="仿宋_GB2312" w:hAnsi="仿宋_GB2312" w:eastAsia="仿宋_GB2312" w:cs="仿宋_GB2312"/>
                <w:szCs w:val="21"/>
              </w:rPr>
            </w:pPr>
          </w:p>
        </w:tc>
        <w:tc>
          <w:tcPr>
            <w:tcW w:w="986" w:type="dxa"/>
            <w:noWrap/>
            <w:vAlign w:val="center"/>
          </w:tcPr>
          <w:p w14:paraId="12382F8B">
            <w:pPr>
              <w:jc w:val="center"/>
              <w:rPr>
                <w:rFonts w:hint="eastAsia" w:ascii="仿宋_GB2312" w:hAnsi="仿宋_GB2312" w:eastAsia="仿宋_GB2312" w:cs="仿宋_GB2312"/>
                <w:szCs w:val="21"/>
              </w:rPr>
            </w:pPr>
          </w:p>
        </w:tc>
        <w:tc>
          <w:tcPr>
            <w:tcW w:w="1221" w:type="dxa"/>
            <w:noWrap/>
            <w:vAlign w:val="center"/>
          </w:tcPr>
          <w:p w14:paraId="5DD7400A">
            <w:pPr>
              <w:jc w:val="center"/>
              <w:rPr>
                <w:rFonts w:hint="eastAsia" w:ascii="仿宋_GB2312" w:hAnsi="仿宋_GB2312" w:eastAsia="仿宋_GB2312" w:cs="仿宋_GB2312"/>
                <w:szCs w:val="21"/>
              </w:rPr>
            </w:pPr>
          </w:p>
        </w:tc>
        <w:tc>
          <w:tcPr>
            <w:tcW w:w="1072" w:type="dxa"/>
            <w:noWrap/>
            <w:vAlign w:val="center"/>
          </w:tcPr>
          <w:p w14:paraId="542461CC">
            <w:pPr>
              <w:jc w:val="center"/>
              <w:rPr>
                <w:rFonts w:hint="eastAsia" w:ascii="仿宋_GB2312" w:hAnsi="仿宋_GB2312" w:eastAsia="仿宋_GB2312" w:cs="仿宋_GB2312"/>
                <w:szCs w:val="21"/>
              </w:rPr>
            </w:pPr>
          </w:p>
        </w:tc>
        <w:tc>
          <w:tcPr>
            <w:tcW w:w="1645" w:type="dxa"/>
            <w:noWrap/>
            <w:vAlign w:val="center"/>
          </w:tcPr>
          <w:p w14:paraId="4BEB036A">
            <w:pPr>
              <w:jc w:val="center"/>
              <w:rPr>
                <w:rFonts w:hint="eastAsia" w:ascii="仿宋_GB2312" w:hAnsi="仿宋_GB2312" w:eastAsia="仿宋_GB2312" w:cs="仿宋_GB2312"/>
                <w:szCs w:val="21"/>
              </w:rPr>
            </w:pPr>
          </w:p>
        </w:tc>
        <w:tc>
          <w:tcPr>
            <w:tcW w:w="1033" w:type="dxa"/>
            <w:noWrap/>
            <w:vAlign w:val="center"/>
          </w:tcPr>
          <w:p w14:paraId="335D2079">
            <w:pPr>
              <w:jc w:val="center"/>
              <w:rPr>
                <w:rFonts w:hint="eastAsia" w:ascii="仿宋_GB2312" w:hAnsi="仿宋_GB2312" w:eastAsia="仿宋_GB2312" w:cs="仿宋_GB2312"/>
                <w:szCs w:val="21"/>
              </w:rPr>
            </w:pPr>
          </w:p>
        </w:tc>
        <w:tc>
          <w:tcPr>
            <w:tcW w:w="1326" w:type="dxa"/>
            <w:noWrap/>
            <w:vAlign w:val="center"/>
          </w:tcPr>
          <w:p w14:paraId="7A5460B7">
            <w:pPr>
              <w:jc w:val="center"/>
              <w:rPr>
                <w:rFonts w:hint="eastAsia" w:ascii="仿宋_GB2312" w:hAnsi="仿宋_GB2312" w:eastAsia="仿宋_GB2312" w:cs="仿宋_GB2312"/>
                <w:szCs w:val="21"/>
              </w:rPr>
            </w:pPr>
          </w:p>
        </w:tc>
      </w:tr>
      <w:tr w14:paraId="6E3EC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exact"/>
          <w:jc w:val="center"/>
        </w:trPr>
        <w:tc>
          <w:tcPr>
            <w:tcW w:w="860" w:type="dxa"/>
            <w:noWrap/>
            <w:vAlign w:val="center"/>
          </w:tcPr>
          <w:p w14:paraId="5643AF5A">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扣分</w:t>
            </w:r>
          </w:p>
          <w:p w14:paraId="28A2FF53">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分值</w:t>
            </w:r>
          </w:p>
        </w:tc>
        <w:tc>
          <w:tcPr>
            <w:tcW w:w="1093" w:type="dxa"/>
            <w:noWrap/>
            <w:vAlign w:val="center"/>
          </w:tcPr>
          <w:p w14:paraId="15915FBF">
            <w:pPr>
              <w:jc w:val="center"/>
              <w:rPr>
                <w:rFonts w:hint="eastAsia" w:ascii="仿宋_GB2312" w:hAnsi="仿宋_GB2312" w:eastAsia="仿宋_GB2312" w:cs="仿宋_GB2312"/>
                <w:szCs w:val="21"/>
              </w:rPr>
            </w:pPr>
          </w:p>
        </w:tc>
        <w:tc>
          <w:tcPr>
            <w:tcW w:w="1157" w:type="dxa"/>
            <w:noWrap/>
            <w:vAlign w:val="center"/>
          </w:tcPr>
          <w:p w14:paraId="7F56B6E4">
            <w:pPr>
              <w:jc w:val="center"/>
              <w:rPr>
                <w:rFonts w:hint="eastAsia" w:ascii="仿宋_GB2312" w:hAnsi="仿宋_GB2312" w:eastAsia="仿宋_GB2312" w:cs="仿宋_GB2312"/>
                <w:szCs w:val="21"/>
              </w:rPr>
            </w:pPr>
          </w:p>
        </w:tc>
        <w:tc>
          <w:tcPr>
            <w:tcW w:w="986" w:type="dxa"/>
            <w:noWrap/>
            <w:vAlign w:val="center"/>
          </w:tcPr>
          <w:p w14:paraId="6DFCA922">
            <w:pPr>
              <w:jc w:val="center"/>
              <w:rPr>
                <w:rFonts w:hint="eastAsia" w:ascii="仿宋_GB2312" w:hAnsi="仿宋_GB2312" w:eastAsia="仿宋_GB2312" w:cs="仿宋_GB2312"/>
                <w:szCs w:val="21"/>
              </w:rPr>
            </w:pPr>
          </w:p>
        </w:tc>
        <w:tc>
          <w:tcPr>
            <w:tcW w:w="1221" w:type="dxa"/>
            <w:noWrap/>
            <w:vAlign w:val="center"/>
          </w:tcPr>
          <w:p w14:paraId="57471A8A">
            <w:pPr>
              <w:jc w:val="center"/>
              <w:rPr>
                <w:rFonts w:hint="eastAsia" w:ascii="仿宋_GB2312" w:hAnsi="仿宋_GB2312" w:eastAsia="仿宋_GB2312" w:cs="仿宋_GB2312"/>
                <w:szCs w:val="21"/>
              </w:rPr>
            </w:pPr>
          </w:p>
        </w:tc>
        <w:tc>
          <w:tcPr>
            <w:tcW w:w="1072" w:type="dxa"/>
            <w:noWrap/>
            <w:vAlign w:val="center"/>
          </w:tcPr>
          <w:p w14:paraId="1CFDBAB1">
            <w:pPr>
              <w:jc w:val="center"/>
              <w:rPr>
                <w:rFonts w:hint="eastAsia" w:ascii="仿宋_GB2312" w:hAnsi="仿宋_GB2312" w:eastAsia="仿宋_GB2312" w:cs="仿宋_GB2312"/>
                <w:szCs w:val="21"/>
              </w:rPr>
            </w:pPr>
          </w:p>
        </w:tc>
        <w:tc>
          <w:tcPr>
            <w:tcW w:w="1645" w:type="dxa"/>
            <w:noWrap/>
            <w:vAlign w:val="center"/>
          </w:tcPr>
          <w:p w14:paraId="7F1D2059">
            <w:pPr>
              <w:jc w:val="center"/>
              <w:rPr>
                <w:rFonts w:hint="eastAsia" w:ascii="仿宋_GB2312" w:hAnsi="仿宋_GB2312" w:eastAsia="仿宋_GB2312" w:cs="仿宋_GB2312"/>
                <w:szCs w:val="21"/>
              </w:rPr>
            </w:pPr>
          </w:p>
        </w:tc>
        <w:tc>
          <w:tcPr>
            <w:tcW w:w="1033" w:type="dxa"/>
            <w:noWrap/>
            <w:vAlign w:val="center"/>
          </w:tcPr>
          <w:p w14:paraId="6E5B5AED">
            <w:pPr>
              <w:jc w:val="center"/>
              <w:rPr>
                <w:rFonts w:hint="eastAsia" w:ascii="仿宋_GB2312" w:hAnsi="仿宋_GB2312" w:eastAsia="仿宋_GB2312" w:cs="仿宋_GB2312"/>
                <w:szCs w:val="21"/>
              </w:rPr>
            </w:pPr>
          </w:p>
        </w:tc>
        <w:tc>
          <w:tcPr>
            <w:tcW w:w="1326" w:type="dxa"/>
            <w:noWrap/>
            <w:vAlign w:val="center"/>
          </w:tcPr>
          <w:p w14:paraId="45F64416">
            <w:pPr>
              <w:jc w:val="center"/>
              <w:rPr>
                <w:rFonts w:hint="eastAsia" w:ascii="仿宋_GB2312" w:hAnsi="仿宋_GB2312" w:eastAsia="仿宋_GB2312" w:cs="仿宋_GB2312"/>
                <w:szCs w:val="21"/>
              </w:rPr>
            </w:pPr>
          </w:p>
        </w:tc>
      </w:tr>
      <w:tr w14:paraId="55473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exact"/>
          <w:jc w:val="center"/>
        </w:trPr>
        <w:tc>
          <w:tcPr>
            <w:tcW w:w="865" w:type="dxa"/>
            <w:noWrap/>
            <w:vAlign w:val="center"/>
          </w:tcPr>
          <w:p w14:paraId="37D2997B">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备注</w:t>
            </w:r>
          </w:p>
        </w:tc>
        <w:tc>
          <w:tcPr>
            <w:tcW w:w="9528" w:type="dxa"/>
            <w:gridSpan w:val="8"/>
            <w:noWrap/>
            <w:vAlign w:val="center"/>
          </w:tcPr>
          <w:p w14:paraId="0D6883C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抽取100米道路，对人行道、绿化带、车行道进行统一检测，相关标准参照《西安市城市道路清扫保洁技术规范》中的城市道路清扫保洁质量标准</w:t>
            </w:r>
          </w:p>
        </w:tc>
      </w:tr>
    </w:tbl>
    <w:p w14:paraId="7D172ECB">
      <w:pPr>
        <w:spacing w:line="440" w:lineRule="exact"/>
        <w:ind w:right="120"/>
        <w:jc w:val="left"/>
        <w:rPr>
          <w:rFonts w:hint="eastAsia" w:ascii="仿宋_GB2312" w:hAnsi="仿宋_GB2312" w:eastAsia="仿宋_GB2312" w:cs="仿宋_GB2312"/>
          <w:szCs w:val="21"/>
        </w:rPr>
      </w:pPr>
      <w:r>
        <w:rPr>
          <w:rFonts w:hint="eastAsia" w:ascii="仿宋_GB2312" w:hAnsi="仿宋_GB2312" w:eastAsia="仿宋_GB2312" w:cs="仿宋_GB2312"/>
          <w:szCs w:val="21"/>
        </w:rPr>
        <w:t xml:space="preserve">道路名称：                                道路级别：                              </w:t>
      </w:r>
    </w:p>
    <w:p w14:paraId="57E0BE5D">
      <w:pPr>
        <w:spacing w:line="440" w:lineRule="exact"/>
        <w:ind w:right="120"/>
        <w:jc w:val="left"/>
        <w:rPr>
          <w:rFonts w:hint="eastAsia" w:ascii="仿宋_GB2312" w:hAnsi="仿宋_GB2312" w:eastAsia="仿宋_GB2312" w:cs="仿宋_GB2312"/>
          <w:szCs w:val="21"/>
        </w:rPr>
      </w:pPr>
      <w:r>
        <w:rPr>
          <w:rFonts w:hint="eastAsia" w:ascii="仿宋_GB2312" w:hAnsi="仿宋_GB2312" w:eastAsia="仿宋_GB2312" w:cs="仿宋_GB2312"/>
          <w:szCs w:val="21"/>
        </w:rPr>
        <w:t>检查时间：                                综合得分：</w:t>
      </w:r>
    </w:p>
    <w:p w14:paraId="75B55A54">
      <w:pPr>
        <w:spacing w:line="440" w:lineRule="exact"/>
        <w:ind w:right="120"/>
        <w:rPr>
          <w:rFonts w:hint="eastAsia" w:ascii="仿宋_GB2312" w:hAnsi="仿宋_GB2312" w:eastAsia="仿宋_GB2312" w:cs="仿宋_GB2312"/>
          <w:szCs w:val="21"/>
        </w:rPr>
      </w:pPr>
      <w:r>
        <w:rPr>
          <w:rFonts w:hint="eastAsia" w:ascii="仿宋_GB2312" w:hAnsi="仿宋_GB2312" w:eastAsia="仿宋_GB2312" w:cs="仿宋_GB2312"/>
          <w:szCs w:val="21"/>
        </w:rPr>
        <w:t xml:space="preserve">受检单位：  </w:t>
      </w:r>
    </w:p>
    <w:p w14:paraId="1C5C2CCA">
      <w:pPr>
        <w:spacing w:line="440" w:lineRule="exact"/>
        <w:ind w:right="120"/>
        <w:rPr>
          <w:rFonts w:hint="eastAsia" w:ascii="仿宋_GB2312" w:hAnsi="仿宋_GB2312" w:eastAsia="仿宋_GB2312" w:cs="仿宋_GB2312"/>
          <w:szCs w:val="21"/>
        </w:rPr>
      </w:pPr>
      <w:r>
        <w:rPr>
          <w:rFonts w:hint="eastAsia" w:ascii="仿宋_GB2312" w:hAnsi="仿宋_GB2312" w:eastAsia="仿宋_GB2312" w:cs="仿宋_GB2312"/>
          <w:szCs w:val="21"/>
        </w:rPr>
        <w:t xml:space="preserve">                                                                                       </w:t>
      </w:r>
    </w:p>
    <w:p w14:paraId="3C696852">
      <w:pPr>
        <w:adjustRightInd w:val="0"/>
        <w:snapToGrid w:val="0"/>
        <w:spacing w:line="360" w:lineRule="auto"/>
        <w:rPr>
          <w:rFonts w:hint="eastAsia" w:ascii="仿宋_GB2312" w:hAnsi="仿宋_GB2312" w:eastAsia="仿宋_GB2312" w:cs="仿宋_GB2312"/>
          <w:b/>
          <w:sz w:val="24"/>
          <w:szCs w:val="24"/>
        </w:rPr>
      </w:pPr>
      <w:r>
        <w:rPr>
          <w:rFonts w:hint="eastAsia" w:ascii="仿宋_GB2312" w:hAnsi="仿宋_GB2312" w:eastAsia="仿宋_GB2312" w:cs="仿宋_GB2312"/>
          <w:szCs w:val="21"/>
        </w:rPr>
        <w:t>负责人签字:</w:t>
      </w:r>
    </w:p>
    <w:p w14:paraId="23AF8129">
      <w:pPr>
        <w:adjustRightInd w:val="0"/>
        <w:snapToGrid w:val="0"/>
        <w:spacing w:line="360" w:lineRule="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br w:type="page"/>
      </w:r>
      <w:r>
        <w:rPr>
          <w:rFonts w:hint="eastAsia" w:ascii="仿宋_GB2312" w:hAnsi="仿宋_GB2312" w:eastAsia="仿宋_GB2312" w:cs="仿宋_GB2312"/>
          <w:b/>
          <w:sz w:val="24"/>
          <w:szCs w:val="24"/>
        </w:rPr>
        <w:t>附件2：</w:t>
      </w:r>
    </w:p>
    <w:p w14:paraId="40AA1A2A">
      <w:pPr>
        <w:spacing w:line="560" w:lineRule="exact"/>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8"/>
          <w:szCs w:val="28"/>
        </w:rPr>
        <w:t>西安高新区“厕所革命”检查考核办法</w:t>
      </w:r>
    </w:p>
    <w:p w14:paraId="5FA5AA31">
      <w:pPr>
        <w:spacing w:line="5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第一章 总则</w:t>
      </w:r>
    </w:p>
    <w:p w14:paraId="26DFA2DB">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 xml:space="preserve">第一条 </w:t>
      </w:r>
      <w:r>
        <w:rPr>
          <w:rFonts w:hint="eastAsia" w:ascii="仿宋_GB2312" w:hAnsi="仿宋_GB2312" w:eastAsia="仿宋_GB2312" w:cs="仿宋_GB2312"/>
          <w:sz w:val="24"/>
          <w:szCs w:val="24"/>
        </w:rPr>
        <w:t>为贯彻落实市委、市政府关于“厕所革命”、工作指示精神，充分调动全区公厕管理参与者工作积极性，形成推进高新区“厕所革命”发展的强大合力，进一步提升高新区公厕的管理水平。现依据《西安市“厕所革命”检查考核办法》、《西安市开展“厕所革命”工作实施方案》和《西安市城市市容和环境卫生管理条例》，特制定专项考评奖励办法。</w:t>
      </w:r>
    </w:p>
    <w:p w14:paraId="6729DD85">
      <w:pPr>
        <w:spacing w:line="560" w:lineRule="exact"/>
        <w:ind w:firstLine="480"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第二章 考评原则</w:t>
      </w:r>
    </w:p>
    <w:p w14:paraId="63EECD1E">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第二条</w:t>
      </w:r>
      <w:r>
        <w:rPr>
          <w:rFonts w:hint="eastAsia" w:ascii="仿宋_GB2312" w:hAnsi="仿宋_GB2312" w:eastAsia="仿宋_GB2312" w:cs="仿宋_GB2312"/>
          <w:sz w:val="24"/>
          <w:szCs w:val="24"/>
        </w:rPr>
        <w:t xml:space="preserve"> 以奖励先进、激励后进为宗旨，按照“公平、公正、公开”的原则，确保高新区“厕所革命”和工作取得实质成效，促使公厕管理水平迈上新台阶，打造一批符合西安市“国际化大都市”形象的优秀公厕，更好的服务市民群众。</w:t>
      </w:r>
    </w:p>
    <w:p w14:paraId="6EEAB24B">
      <w:pPr>
        <w:spacing w:line="560" w:lineRule="exact"/>
        <w:ind w:firstLine="480"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第三章 考评范围</w:t>
      </w:r>
    </w:p>
    <w:p w14:paraId="4437A8F6">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第三条</w:t>
      </w:r>
      <w:r>
        <w:rPr>
          <w:rFonts w:hint="eastAsia" w:ascii="仿宋_GB2312" w:hAnsi="仿宋_GB2312" w:eastAsia="仿宋_GB2312" w:cs="仿宋_GB2312"/>
          <w:sz w:val="24"/>
          <w:szCs w:val="24"/>
        </w:rPr>
        <w:t xml:space="preserve"> 本考评范围包含高新区下辖各承包单位管理的公共厕所，重点对公厕日常保洁管理情况进行打分考评。</w:t>
      </w:r>
    </w:p>
    <w:p w14:paraId="690AE10F">
      <w:pPr>
        <w:spacing w:line="560" w:lineRule="exact"/>
        <w:ind w:firstLine="480"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第四章 检查内容及考核标准</w:t>
      </w:r>
    </w:p>
    <w:p w14:paraId="168B3FC7">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第四条</w:t>
      </w:r>
      <w:r>
        <w:rPr>
          <w:rFonts w:hint="eastAsia" w:ascii="仿宋_GB2312" w:hAnsi="仿宋_GB2312" w:eastAsia="仿宋_GB2312" w:cs="仿宋_GB2312"/>
          <w:sz w:val="24"/>
          <w:szCs w:val="24"/>
        </w:rPr>
        <w:t xml:space="preserve"> 考核原则：全区考评一月一评，由高新区城市管理和综合执法局“厕所革命”领导小组办公室统一负责全区“厕所革命”检查考核工作，依据“厕所革命”开展情况，并结合上级领导检查、新闻媒体曝光、群众投诉和检查组每月检查汇总等情况进行综合考评。</w:t>
      </w:r>
    </w:p>
    <w:p w14:paraId="24314B3D">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第五条</w:t>
      </w:r>
      <w:r>
        <w:rPr>
          <w:rFonts w:hint="eastAsia" w:ascii="仿宋_GB2312" w:hAnsi="仿宋_GB2312" w:eastAsia="仿宋_GB2312" w:cs="仿宋_GB2312"/>
          <w:sz w:val="24"/>
          <w:szCs w:val="24"/>
        </w:rPr>
        <w:t xml:space="preserve"> 检查内容：工作部署、措施推动、日常管理，落实情况。</w:t>
      </w:r>
    </w:p>
    <w:p w14:paraId="0B4404ED">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第六条</w:t>
      </w:r>
      <w:r>
        <w:rPr>
          <w:rFonts w:hint="eastAsia" w:ascii="仿宋_GB2312" w:hAnsi="仿宋_GB2312" w:eastAsia="仿宋_GB2312" w:cs="仿宋_GB2312"/>
          <w:sz w:val="24"/>
          <w:szCs w:val="24"/>
        </w:rPr>
        <w:t xml:space="preserve"> 考核方式：全年检查采取日常检查、月考评、定点复查、暗查暗访相结合的检查方式。</w:t>
      </w:r>
    </w:p>
    <w:p w14:paraId="70CC76F4">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第七条</w:t>
      </w:r>
      <w:r>
        <w:rPr>
          <w:rFonts w:hint="eastAsia" w:ascii="仿宋_GB2312" w:hAnsi="仿宋_GB2312" w:eastAsia="仿宋_GB2312" w:cs="仿宋_GB2312"/>
          <w:sz w:val="24"/>
          <w:szCs w:val="24"/>
        </w:rPr>
        <w:t xml:space="preserve"> 考核标准</w:t>
      </w:r>
    </w:p>
    <w:p w14:paraId="1A98146E">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（一）公厕设施确保正常使用，能做到随坏随修。</w:t>
      </w:r>
    </w:p>
    <w:p w14:paraId="1719B6FE">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日常卫生达到：1.室内卫生做到：“十净、五无、一整洁”。“十净”：地面净、墙壁净、门窗净、蹲位净、隔板净、便池净、洁具净、灯具净、牌匾净、周边环境净。“五无”：墙面无污渍、室内无灰网、便池无尿碱、公厕无剧臭、立面无乱画；“一整洁”：管理间干净整洁无杂物。2.室外周边卫生做到：“三无”。公厕外10米范围内，无烟头、无垃圾杂物，外墙干净、无“野广告”。</w:t>
      </w:r>
    </w:p>
    <w:p w14:paraId="08058705">
      <w:pPr>
        <w:spacing w:line="560" w:lineRule="exact"/>
        <w:ind w:firstLine="480"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第五章 评分办法</w:t>
      </w:r>
    </w:p>
    <w:p w14:paraId="2F74C32B">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第八条</w:t>
      </w:r>
      <w:r>
        <w:rPr>
          <w:rFonts w:hint="eastAsia" w:ascii="仿宋_GB2312" w:hAnsi="仿宋_GB2312" w:eastAsia="仿宋_GB2312" w:cs="仿宋_GB2312"/>
          <w:sz w:val="24"/>
          <w:szCs w:val="24"/>
        </w:rPr>
        <w:t xml:space="preserve"> 考评基础分为100分，实行累积扣分或加分，全区各承包单位按当月最终实际得分进行排名。</w:t>
      </w:r>
    </w:p>
    <w:p w14:paraId="6AEE7924">
      <w:pPr>
        <w:spacing w:line="560" w:lineRule="exact"/>
        <w:ind w:firstLine="480"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第六章 追责办法</w:t>
      </w:r>
    </w:p>
    <w:p w14:paraId="4043241A">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第九条</w:t>
      </w:r>
      <w:r>
        <w:rPr>
          <w:rFonts w:hint="eastAsia" w:ascii="仿宋_GB2312" w:hAnsi="仿宋_GB2312" w:eastAsia="仿宋_GB2312" w:cs="仿宋_GB2312"/>
          <w:sz w:val="24"/>
          <w:szCs w:val="24"/>
        </w:rPr>
        <w:t xml:space="preserve"> 处罚标准</w:t>
      </w:r>
    </w:p>
    <w:p w14:paraId="59C4A60C">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（一）巡查人员日常检查工作中，发现责任区公厕问题严重未处理、影响高新区“厕所革命”工作推进的，经拍照取证核实后，每次给予相关承包单位扣除1分、并处罚1000元。</w:t>
      </w:r>
    </w:p>
    <w:p w14:paraId="55D3A7D7">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（二）月考评由考评小组，对承包单位责任区域内公厕进行全面考核每次抽查两座公厕进行打分考核，考核表取两座公厕平均分，每1分折合月承包费1000元。</w:t>
      </w:r>
    </w:p>
    <w:p w14:paraId="2DF63411">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（三）按照大数据公厕管理平台，对公厕进行日常管理及监督，对于出现问题未及时整改或整改不到位等问题进行相应处罚。</w:t>
      </w:r>
    </w:p>
    <w:p w14:paraId="40C225C2">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（四）责任区公厕问题严重未处理、被市民投诉反映，影响高新区“厕所革命”工作推进的，经核实后，每次给予相关承包单位扣除1分、并处罚1000元。</w:t>
      </w:r>
    </w:p>
    <w:p w14:paraId="61F53F71">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（五）接待检查、日常工作安排时，不听从上级部门主管调遣、未按要求安排工作或阳奉阴违、不按时整治整改的，每次给予相关承包单位扣除5分、并处罚1000元。</w:t>
      </w:r>
    </w:p>
    <w:p w14:paraId="5A19691F">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（六）对同一问题反复出现、同一座公厕问题多次整改通报，影响高新区“厕所革命”工作推进的，每次给予相关承包单位扣除5分、并处罚1000元。</w:t>
      </w:r>
    </w:p>
    <w:p w14:paraId="35FE6249">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（七）“厕所革命”领导小组办公室在全区进行公厕专项检查工作中，发现责任区公厕问题严重未处理、影响高新区“厕所革命”工作推进的，每次给予相关承包单位扣除2分、并处罚2000元。</w:t>
      </w:r>
    </w:p>
    <w:p w14:paraId="0E978111">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（八）责任区公厕问题严重未处理、受到区级领导、新闻媒体点名批评或通报的，每次给予相关承包单位扣除5分、并处罚2000元。</w:t>
      </w:r>
    </w:p>
    <w:p w14:paraId="004E7643">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（九）责任区公厕问题严重未处理、受到市级领导、管理部门、新闻媒体点名批评或通报的，每次给予相关承包单位扣除10分、并处罚5000元。</w:t>
      </w:r>
    </w:p>
    <w:p w14:paraId="155827CC">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（十）责任区公厕问题严重未处理、受到省级领导、管理部门、新闻媒体点名批评或通报的，每次给予相关承包单位扣除20分、并处罚5000元。</w:t>
      </w:r>
    </w:p>
    <w:p w14:paraId="758DED2D">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（十一）责任区公厕问题严重未处理、受到国家级领导、管理部门、新闻媒体点名批评或通报的，给予相关承包单位处罚10000元、并终止合同。</w:t>
      </w:r>
    </w:p>
    <w:p w14:paraId="504EDDDF">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（十二）对迎接创卫、创文等重大复审工作中，思想不重视，行动不积极，措施不得力，整改不认真，对复审工作造成恶劣影响的，每次给予相关承包单位10分、并处罚50000元、并终止合同。</w:t>
      </w:r>
    </w:p>
    <w:p w14:paraId="23FE6272">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（十三）公厕管理相关人员未经合理流程、请示批准，私自上访，聚众闹事造成恶劣影响的，每次给予相关承包单位扣除20分、并处罚100000元、并终止合同。</w:t>
      </w:r>
    </w:p>
    <w:p w14:paraId="6DB2931C">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（十四）如因公厕管理不当，发生重大人身安全、消防安全等事故的，每次给予相关承包单位扣除20分、并处罚100000元、并终止合同。</w:t>
      </w:r>
    </w:p>
    <w:p w14:paraId="3BE75114">
      <w:pPr>
        <w:spacing w:line="560" w:lineRule="exact"/>
        <w:ind w:firstLine="480"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第七章 督办考核</w:t>
      </w:r>
    </w:p>
    <w:p w14:paraId="0498580C">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第十条</w:t>
      </w:r>
      <w:r>
        <w:rPr>
          <w:rFonts w:hint="eastAsia" w:ascii="仿宋_GB2312" w:hAnsi="仿宋_GB2312" w:eastAsia="仿宋_GB2312" w:cs="仿宋_GB2312"/>
          <w:sz w:val="24"/>
          <w:szCs w:val="24"/>
        </w:rPr>
        <w:t xml:space="preserve"> 督办考核程序</w:t>
      </w:r>
    </w:p>
    <w:p w14:paraId="28A20E08">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被市级部门通报和区级领导点名批评、以及新闻媒体曝光属实的公厕，由高新区城市管理和综合执法局“厕所革命”领导小组办公室进行督办并全区通报，被通报承包单位当月不得参加全区公厕专项检查评比。</w:t>
      </w:r>
    </w:p>
    <w:p w14:paraId="20ABA74C">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在日常检查中，“厕所革命”领导小组办公室根据公厕日常管护存在的问题，进行全区通报；对未整改或整改不到位的承包单位，将下达督办单。一次督办仍未整改到位的，将下达二次督办单，并按“处罚标准”相关条例进行处罚，同时抄报区级监察部门和考评部门；二次督办仍未整改到位的，下达三次督办单，并按“处罚标准”相关条例进行处罚，同时抄报区级主要领导，同时该承包单位当月不得参加全区公厕专项检查评比。</w:t>
      </w:r>
    </w:p>
    <w:p w14:paraId="7A1AF17E">
      <w:pPr>
        <w:spacing w:line="56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凡在督办问责整改工作过程中存在弄虚作假等严重阻碍“厕所革命”工作推进的单位，“厕所革命”领导小组办公室将报送高新区城市管理和综合执法局，同时向局领导申请由管委会、党工委启动问责追责程序。</w:t>
      </w:r>
    </w:p>
    <w:p w14:paraId="0D297704">
      <w:pPr>
        <w:spacing w:line="560" w:lineRule="exact"/>
        <w:ind w:firstLine="480" w:firstLineChars="20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第八章 附则</w:t>
      </w:r>
    </w:p>
    <w:p w14:paraId="41F64D1E">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 xml:space="preserve">第十一条 </w:t>
      </w:r>
      <w:r>
        <w:rPr>
          <w:rFonts w:hint="eastAsia" w:ascii="仿宋_GB2312" w:hAnsi="仿宋_GB2312" w:eastAsia="仿宋_GB2312" w:cs="仿宋_GB2312"/>
          <w:sz w:val="24"/>
          <w:szCs w:val="24"/>
        </w:rPr>
        <w:t>本检查考核办法由高新区城市管理和综合执法局负责解释，并根据市级管理部门最新相关文件精神给予相应调整。</w:t>
      </w:r>
    </w:p>
    <w:p w14:paraId="0CF2DAFB">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第十二条</w:t>
      </w:r>
      <w:r>
        <w:rPr>
          <w:rFonts w:hint="eastAsia" w:ascii="仿宋_GB2312" w:hAnsi="仿宋_GB2312" w:eastAsia="仿宋_GB2312" w:cs="仿宋_GB2312"/>
          <w:sz w:val="24"/>
          <w:szCs w:val="24"/>
        </w:rPr>
        <w:t>本检查考核办法附西安市高新区“厕所革命”检查考核打分细则。</w:t>
      </w:r>
    </w:p>
    <w:p w14:paraId="40ECF772">
      <w:pPr>
        <w:spacing w:line="560" w:lineRule="exact"/>
        <w:ind w:firstLine="482" w:firstLineChars="200"/>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第十三条</w:t>
      </w:r>
      <w:r>
        <w:rPr>
          <w:rFonts w:hint="eastAsia" w:ascii="仿宋_GB2312" w:hAnsi="仿宋_GB2312" w:eastAsia="仿宋_GB2312" w:cs="仿宋_GB2312"/>
          <w:sz w:val="24"/>
          <w:szCs w:val="24"/>
        </w:rPr>
        <w:t>本检查考核办法自公布之日起实施。</w:t>
      </w:r>
    </w:p>
    <w:p w14:paraId="6EF2DB63">
      <w:pPr>
        <w:spacing w:line="560" w:lineRule="exact"/>
        <w:rPr>
          <w:rFonts w:hint="eastAsia" w:ascii="仿宋_GB2312" w:hAnsi="仿宋_GB2312" w:eastAsia="仿宋_GB2312" w:cs="仿宋_GB2312"/>
          <w:sz w:val="24"/>
          <w:szCs w:val="24"/>
        </w:rPr>
        <w:sectPr>
          <w:pgSz w:w="11905" w:h="16838"/>
          <w:pgMar w:top="1440" w:right="1080" w:bottom="1440" w:left="1080" w:header="850" w:footer="975" w:gutter="0"/>
          <w:cols w:space="720" w:num="1"/>
          <w:docGrid w:linePitch="312" w:charSpace="0"/>
        </w:sectPr>
      </w:pPr>
    </w:p>
    <w:p w14:paraId="33AF9516">
      <w:pPr>
        <w:spacing w:line="360" w:lineRule="auto"/>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西安高新区“厕所革命”检查考核细则</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544"/>
        <w:gridCol w:w="544"/>
        <w:gridCol w:w="3886"/>
        <w:gridCol w:w="4526"/>
      </w:tblGrid>
      <w:tr w14:paraId="6CBC9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246" w:type="pct"/>
            <w:noWrap w:val="0"/>
            <w:vAlign w:val="center"/>
          </w:tcPr>
          <w:p w14:paraId="0F9DDBD5">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序号</w:t>
            </w:r>
          </w:p>
        </w:tc>
        <w:tc>
          <w:tcPr>
            <w:tcW w:w="363" w:type="pct"/>
            <w:gridSpan w:val="2"/>
            <w:noWrap w:val="0"/>
            <w:vAlign w:val="center"/>
          </w:tcPr>
          <w:p w14:paraId="30681D59">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考核内容</w:t>
            </w:r>
          </w:p>
        </w:tc>
        <w:tc>
          <w:tcPr>
            <w:tcW w:w="2056" w:type="pct"/>
            <w:noWrap w:val="0"/>
            <w:vAlign w:val="center"/>
          </w:tcPr>
          <w:p w14:paraId="48F20354">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具体工作要求</w:t>
            </w:r>
          </w:p>
        </w:tc>
        <w:tc>
          <w:tcPr>
            <w:tcW w:w="2333" w:type="pct"/>
            <w:noWrap w:val="0"/>
            <w:vAlign w:val="center"/>
          </w:tcPr>
          <w:p w14:paraId="0807AB63">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扣分标准</w:t>
            </w:r>
          </w:p>
        </w:tc>
      </w:tr>
      <w:tr w14:paraId="30641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246" w:type="pct"/>
            <w:vMerge w:val="restart"/>
            <w:noWrap w:val="0"/>
            <w:vAlign w:val="center"/>
          </w:tcPr>
          <w:p w14:paraId="0B4FDA51">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p>
        </w:tc>
        <w:tc>
          <w:tcPr>
            <w:tcW w:w="363" w:type="pct"/>
            <w:gridSpan w:val="2"/>
            <w:vMerge w:val="restart"/>
            <w:noWrap w:val="0"/>
            <w:textDirection w:val="tbRlV"/>
            <w:vAlign w:val="center"/>
          </w:tcPr>
          <w:p w14:paraId="0BD8E736">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工作部署</w:t>
            </w:r>
          </w:p>
        </w:tc>
        <w:tc>
          <w:tcPr>
            <w:tcW w:w="2056" w:type="pct"/>
            <w:noWrap w:val="0"/>
            <w:vAlign w:val="center"/>
          </w:tcPr>
          <w:p w14:paraId="2EB70E29">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制定“厕所革命”公厕管理工作方案，成立领导小组。</w:t>
            </w:r>
          </w:p>
        </w:tc>
        <w:tc>
          <w:tcPr>
            <w:tcW w:w="2333" w:type="pct"/>
            <w:noWrap w:val="0"/>
            <w:vAlign w:val="center"/>
          </w:tcPr>
          <w:p w14:paraId="3ABDE4CF">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未按照要求制定工作方案，建立领导小组的，“一票否决”，总成绩以0分计算。</w:t>
            </w:r>
          </w:p>
        </w:tc>
      </w:tr>
      <w:tr w14:paraId="5F0E9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246" w:type="pct"/>
            <w:vMerge w:val="continue"/>
            <w:noWrap w:val="0"/>
            <w:vAlign w:val="center"/>
          </w:tcPr>
          <w:p w14:paraId="324EB6A7">
            <w:pPr>
              <w:adjustRightInd w:val="0"/>
              <w:snapToGrid w:val="0"/>
              <w:jc w:val="center"/>
              <w:rPr>
                <w:rFonts w:hint="eastAsia" w:ascii="仿宋_GB2312" w:hAnsi="仿宋_GB2312" w:eastAsia="仿宋_GB2312" w:cs="仿宋_GB2312"/>
                <w:b/>
                <w:bCs/>
                <w:sz w:val="24"/>
                <w:szCs w:val="24"/>
              </w:rPr>
            </w:pPr>
          </w:p>
        </w:tc>
        <w:tc>
          <w:tcPr>
            <w:tcW w:w="363" w:type="pct"/>
            <w:gridSpan w:val="2"/>
            <w:vMerge w:val="continue"/>
            <w:noWrap w:val="0"/>
            <w:vAlign w:val="center"/>
          </w:tcPr>
          <w:p w14:paraId="6C005DDD">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43B6DA8A">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按照考核工作要求，制定本单位自检自查办法。</w:t>
            </w:r>
          </w:p>
        </w:tc>
        <w:tc>
          <w:tcPr>
            <w:tcW w:w="2333" w:type="pct"/>
            <w:noWrap w:val="0"/>
            <w:vAlign w:val="center"/>
          </w:tcPr>
          <w:p w14:paraId="75E5DC3F">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未按要求制定本单位自检自查办法的，扣10分。</w:t>
            </w:r>
          </w:p>
        </w:tc>
      </w:tr>
      <w:tr w14:paraId="2ACF7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46" w:type="pct"/>
            <w:vMerge w:val="restart"/>
            <w:noWrap w:val="0"/>
            <w:vAlign w:val="center"/>
          </w:tcPr>
          <w:p w14:paraId="0F6B9FEF">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2</w:t>
            </w:r>
          </w:p>
        </w:tc>
        <w:tc>
          <w:tcPr>
            <w:tcW w:w="363" w:type="pct"/>
            <w:gridSpan w:val="2"/>
            <w:vMerge w:val="restart"/>
            <w:noWrap w:val="0"/>
            <w:textDirection w:val="tbRlV"/>
            <w:vAlign w:val="center"/>
          </w:tcPr>
          <w:p w14:paraId="3BF93838">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措施推动</w:t>
            </w:r>
          </w:p>
        </w:tc>
        <w:tc>
          <w:tcPr>
            <w:tcW w:w="2056" w:type="pct"/>
            <w:noWrap w:val="0"/>
            <w:vAlign w:val="center"/>
          </w:tcPr>
          <w:p w14:paraId="3673126D">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对本单位管辖公厕的“厕所革命”和公厕管理落实情况开展自查检查工作。</w:t>
            </w:r>
          </w:p>
        </w:tc>
        <w:tc>
          <w:tcPr>
            <w:tcW w:w="2333" w:type="pct"/>
            <w:noWrap w:val="0"/>
            <w:vAlign w:val="center"/>
          </w:tcPr>
          <w:p w14:paraId="112ECB58">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每月未开展自查检查的，扣3分。</w:t>
            </w:r>
          </w:p>
        </w:tc>
      </w:tr>
      <w:tr w14:paraId="669D5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246" w:type="pct"/>
            <w:vMerge w:val="continue"/>
            <w:noWrap w:val="0"/>
            <w:vAlign w:val="center"/>
          </w:tcPr>
          <w:p w14:paraId="3F98B348">
            <w:pPr>
              <w:adjustRightInd w:val="0"/>
              <w:snapToGrid w:val="0"/>
              <w:jc w:val="center"/>
              <w:rPr>
                <w:rFonts w:hint="eastAsia" w:ascii="仿宋_GB2312" w:hAnsi="仿宋_GB2312" w:eastAsia="仿宋_GB2312" w:cs="仿宋_GB2312"/>
                <w:b/>
                <w:bCs/>
                <w:sz w:val="24"/>
                <w:szCs w:val="24"/>
              </w:rPr>
            </w:pPr>
          </w:p>
        </w:tc>
        <w:tc>
          <w:tcPr>
            <w:tcW w:w="363" w:type="pct"/>
            <w:gridSpan w:val="2"/>
            <w:vMerge w:val="continue"/>
            <w:noWrap w:val="0"/>
            <w:vAlign w:val="center"/>
          </w:tcPr>
          <w:p w14:paraId="416585F0">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2E38A06F">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建立自检自查工作台账。</w:t>
            </w:r>
          </w:p>
        </w:tc>
        <w:tc>
          <w:tcPr>
            <w:tcW w:w="2333" w:type="pct"/>
            <w:noWrap w:val="0"/>
            <w:vAlign w:val="center"/>
          </w:tcPr>
          <w:p w14:paraId="679E8C35">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自检自查工作台账不全的扣3-5分。</w:t>
            </w:r>
          </w:p>
        </w:tc>
      </w:tr>
      <w:tr w14:paraId="754FA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246" w:type="pct"/>
            <w:vMerge w:val="restart"/>
            <w:noWrap w:val="0"/>
            <w:vAlign w:val="center"/>
          </w:tcPr>
          <w:p w14:paraId="69AD5396">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3</w:t>
            </w:r>
          </w:p>
        </w:tc>
        <w:tc>
          <w:tcPr>
            <w:tcW w:w="183" w:type="pct"/>
            <w:vMerge w:val="restart"/>
            <w:noWrap w:val="0"/>
            <w:textDirection w:val="tbRlV"/>
            <w:vAlign w:val="center"/>
          </w:tcPr>
          <w:p w14:paraId="28C476BD">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日常管理</w:t>
            </w:r>
          </w:p>
        </w:tc>
        <w:tc>
          <w:tcPr>
            <w:tcW w:w="180" w:type="pct"/>
            <w:vMerge w:val="restart"/>
            <w:noWrap w:val="0"/>
            <w:textDirection w:val="tbRlV"/>
            <w:vAlign w:val="center"/>
          </w:tcPr>
          <w:p w14:paraId="625B22AC">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规范管理</w:t>
            </w:r>
          </w:p>
        </w:tc>
        <w:tc>
          <w:tcPr>
            <w:tcW w:w="2056" w:type="pct"/>
            <w:noWrap w:val="0"/>
            <w:vAlign w:val="center"/>
          </w:tcPr>
          <w:p w14:paraId="138A0146">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公厕管理员着工作服、挂工作牌上岗，做到坚守工作岗位，不脱岗漏岗；未经批准不得随意关停厕所。</w:t>
            </w:r>
          </w:p>
        </w:tc>
        <w:tc>
          <w:tcPr>
            <w:tcW w:w="2333" w:type="pct"/>
            <w:noWrap w:val="0"/>
            <w:vAlign w:val="center"/>
          </w:tcPr>
          <w:p w14:paraId="30268E64">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公厕管理员未着工服或未挂工牌上岗各扣1分；迟到、早退串岗扣1分，脱岗半小时以内扣2分，半小时以上扣10分。随意关停厕所或关停厕所未告知原因扣10分。</w:t>
            </w:r>
          </w:p>
        </w:tc>
      </w:tr>
      <w:tr w14:paraId="06AA0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46" w:type="pct"/>
            <w:vMerge w:val="continue"/>
            <w:noWrap w:val="0"/>
            <w:vAlign w:val="center"/>
          </w:tcPr>
          <w:p w14:paraId="60815C78">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64B8E533">
            <w:pPr>
              <w:adjustRightInd w:val="0"/>
              <w:snapToGrid w:val="0"/>
              <w:jc w:val="center"/>
              <w:rPr>
                <w:rFonts w:hint="eastAsia" w:ascii="仿宋_GB2312" w:hAnsi="仿宋_GB2312" w:eastAsia="仿宋_GB2312" w:cs="仿宋_GB2312"/>
                <w:b/>
                <w:bCs/>
                <w:sz w:val="24"/>
                <w:szCs w:val="24"/>
              </w:rPr>
            </w:pPr>
          </w:p>
        </w:tc>
        <w:tc>
          <w:tcPr>
            <w:tcW w:w="180" w:type="pct"/>
            <w:vMerge w:val="continue"/>
            <w:noWrap w:val="0"/>
            <w:vAlign w:val="center"/>
          </w:tcPr>
          <w:p w14:paraId="71D630FE">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42497B0B">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公厕内外制度牌、标识牌和公示牌完好、悬挂规范，是否明确责任人、职责、监督电话等内容。</w:t>
            </w:r>
          </w:p>
        </w:tc>
        <w:tc>
          <w:tcPr>
            <w:tcW w:w="2333" w:type="pct"/>
            <w:noWrap w:val="0"/>
            <w:vAlign w:val="center"/>
          </w:tcPr>
          <w:p w14:paraId="7519434A">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制度牌、标示牌、公示牌破损或未规范悬挂或内容不全的，每处扣5分。</w:t>
            </w:r>
          </w:p>
        </w:tc>
      </w:tr>
      <w:tr w14:paraId="5A5A0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246" w:type="pct"/>
            <w:vMerge w:val="continue"/>
            <w:noWrap w:val="0"/>
            <w:vAlign w:val="center"/>
          </w:tcPr>
          <w:p w14:paraId="6A0A0227">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01FFBDD5">
            <w:pPr>
              <w:adjustRightInd w:val="0"/>
              <w:snapToGrid w:val="0"/>
              <w:jc w:val="center"/>
              <w:rPr>
                <w:rFonts w:hint="eastAsia" w:ascii="仿宋_GB2312" w:hAnsi="仿宋_GB2312" w:eastAsia="仿宋_GB2312" w:cs="仿宋_GB2312"/>
                <w:b/>
                <w:bCs/>
                <w:sz w:val="24"/>
                <w:szCs w:val="24"/>
              </w:rPr>
            </w:pPr>
          </w:p>
        </w:tc>
        <w:tc>
          <w:tcPr>
            <w:tcW w:w="180" w:type="pct"/>
            <w:vMerge w:val="continue"/>
            <w:noWrap w:val="0"/>
            <w:vAlign w:val="center"/>
          </w:tcPr>
          <w:p w14:paraId="26294CB5">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2D23D545">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各公厕“所长”积极落实职责按照检查、反馈、协调、处置、督查“五步工作法”,各项管理记录如实、规范填写。</w:t>
            </w:r>
          </w:p>
        </w:tc>
        <w:tc>
          <w:tcPr>
            <w:tcW w:w="2333" w:type="pct"/>
            <w:noWrap w:val="0"/>
            <w:vAlign w:val="center"/>
          </w:tcPr>
          <w:p w14:paraId="306E68DD">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《日志本》未按时填写、填写不规范或与实际情况不符的每次扣2分；《检查表》未按时填写、填写不规范或与实际情况不符的每次扣2分。</w:t>
            </w:r>
          </w:p>
        </w:tc>
      </w:tr>
      <w:tr w14:paraId="0A107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246" w:type="pct"/>
            <w:vMerge w:val="continue"/>
            <w:noWrap w:val="0"/>
            <w:vAlign w:val="center"/>
          </w:tcPr>
          <w:p w14:paraId="2588C3D9">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27CEAF85">
            <w:pPr>
              <w:adjustRightInd w:val="0"/>
              <w:snapToGrid w:val="0"/>
              <w:jc w:val="center"/>
              <w:rPr>
                <w:rFonts w:hint="eastAsia" w:ascii="仿宋_GB2312" w:hAnsi="仿宋_GB2312" w:eastAsia="仿宋_GB2312" w:cs="仿宋_GB2312"/>
                <w:b/>
                <w:bCs/>
                <w:sz w:val="24"/>
                <w:szCs w:val="24"/>
              </w:rPr>
            </w:pPr>
          </w:p>
        </w:tc>
        <w:tc>
          <w:tcPr>
            <w:tcW w:w="180" w:type="pct"/>
            <w:vMerge w:val="restart"/>
            <w:noWrap w:val="0"/>
            <w:textDirection w:val="tbRlV"/>
            <w:vAlign w:val="center"/>
          </w:tcPr>
          <w:p w14:paraId="2E82BF59">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卫生质量</w:t>
            </w:r>
          </w:p>
        </w:tc>
        <w:tc>
          <w:tcPr>
            <w:tcW w:w="2056" w:type="pct"/>
            <w:noWrap w:val="0"/>
            <w:vAlign w:val="center"/>
          </w:tcPr>
          <w:p w14:paraId="439F97CB">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厕所内部设施、器具清洁（墙壁、地面、面盆、拖地池、门窗、窗台等）及时清扫保洁，做到厕内无积灰，见脏就扫无污迹、无蛛网、无尘埃、地面无积水、无卫生死角。</w:t>
            </w:r>
          </w:p>
        </w:tc>
        <w:tc>
          <w:tcPr>
            <w:tcW w:w="2333" w:type="pct"/>
            <w:noWrap w:val="0"/>
            <w:vAlign w:val="center"/>
          </w:tcPr>
          <w:p w14:paraId="7B6455CE">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一处不洁或有积水扣2分。</w:t>
            </w:r>
          </w:p>
        </w:tc>
      </w:tr>
      <w:tr w14:paraId="027C1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246" w:type="pct"/>
            <w:vMerge w:val="continue"/>
            <w:noWrap w:val="0"/>
            <w:vAlign w:val="center"/>
          </w:tcPr>
          <w:p w14:paraId="24236933">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1F26BADE">
            <w:pPr>
              <w:adjustRightInd w:val="0"/>
              <w:snapToGrid w:val="0"/>
              <w:jc w:val="center"/>
              <w:rPr>
                <w:rFonts w:hint="eastAsia" w:ascii="仿宋_GB2312" w:hAnsi="仿宋_GB2312" w:eastAsia="仿宋_GB2312" w:cs="仿宋_GB2312"/>
                <w:b/>
                <w:bCs/>
                <w:sz w:val="24"/>
                <w:szCs w:val="24"/>
              </w:rPr>
            </w:pPr>
          </w:p>
        </w:tc>
        <w:tc>
          <w:tcPr>
            <w:tcW w:w="180" w:type="pct"/>
            <w:vMerge w:val="continue"/>
            <w:noWrap w:val="0"/>
            <w:vAlign w:val="center"/>
          </w:tcPr>
          <w:p w14:paraId="179E70E4">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17089946">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大小便池畅通；大、小便池无污垢、无尿碱、无污物堵塞，大便池无污垢和排泄物；厕所内无蚊蝇、无异味。</w:t>
            </w:r>
          </w:p>
        </w:tc>
        <w:tc>
          <w:tcPr>
            <w:tcW w:w="2333" w:type="pct"/>
            <w:noWrap w:val="0"/>
            <w:vAlign w:val="center"/>
          </w:tcPr>
          <w:p w14:paraId="6B9DBC5A">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大、小便池堵塞或尿碱每处扣2分；大便池有污垢、排泄物扣2分；有蚊蝇扣1分，有异味扣2分。</w:t>
            </w:r>
          </w:p>
        </w:tc>
      </w:tr>
      <w:tr w14:paraId="3B2E8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46" w:type="pct"/>
            <w:vMerge w:val="continue"/>
            <w:noWrap w:val="0"/>
            <w:vAlign w:val="center"/>
          </w:tcPr>
          <w:p w14:paraId="750AD5FC">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08A9F19D">
            <w:pPr>
              <w:adjustRightInd w:val="0"/>
              <w:snapToGrid w:val="0"/>
              <w:jc w:val="center"/>
              <w:rPr>
                <w:rFonts w:hint="eastAsia" w:ascii="仿宋_GB2312" w:hAnsi="仿宋_GB2312" w:eastAsia="仿宋_GB2312" w:cs="仿宋_GB2312"/>
                <w:b/>
                <w:bCs/>
                <w:sz w:val="24"/>
                <w:szCs w:val="24"/>
              </w:rPr>
            </w:pPr>
          </w:p>
        </w:tc>
        <w:tc>
          <w:tcPr>
            <w:tcW w:w="180" w:type="pct"/>
            <w:vMerge w:val="continue"/>
            <w:noWrap w:val="0"/>
            <w:vAlign w:val="center"/>
          </w:tcPr>
          <w:p w14:paraId="0A931E1B">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218C3E2C">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休息室、管理间整洁，设施良好、清洁工具定点摆放且放置有序。</w:t>
            </w:r>
          </w:p>
        </w:tc>
        <w:tc>
          <w:tcPr>
            <w:tcW w:w="2333" w:type="pct"/>
            <w:noWrap w:val="0"/>
            <w:vAlign w:val="center"/>
          </w:tcPr>
          <w:p w14:paraId="140A60B5">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管理间内乱堆乱放，发现一处扣2分；不叠被子或床面、桌面、地面、墙面不整洁，发现一处，扣2分；清洁工具没有固定位置存放或乱摆乱放扣2分。</w:t>
            </w:r>
          </w:p>
        </w:tc>
      </w:tr>
      <w:tr w14:paraId="26C69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46" w:type="pct"/>
            <w:vMerge w:val="continue"/>
            <w:noWrap w:val="0"/>
            <w:vAlign w:val="center"/>
          </w:tcPr>
          <w:p w14:paraId="0FB227D3">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68566E34">
            <w:pPr>
              <w:adjustRightInd w:val="0"/>
              <w:snapToGrid w:val="0"/>
              <w:jc w:val="center"/>
              <w:rPr>
                <w:rFonts w:hint="eastAsia" w:ascii="仿宋_GB2312" w:hAnsi="仿宋_GB2312" w:eastAsia="仿宋_GB2312" w:cs="仿宋_GB2312"/>
                <w:b/>
                <w:bCs/>
                <w:sz w:val="24"/>
                <w:szCs w:val="24"/>
              </w:rPr>
            </w:pPr>
          </w:p>
        </w:tc>
        <w:tc>
          <w:tcPr>
            <w:tcW w:w="180" w:type="pct"/>
            <w:vMerge w:val="continue"/>
            <w:noWrap w:val="0"/>
            <w:vAlign w:val="center"/>
          </w:tcPr>
          <w:p w14:paraId="64F91695">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0E8B6A92">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公厕内外经常保持整洁，无乱刻乱画和“野广告”，厕所周围责任范围内随时保洁。</w:t>
            </w:r>
          </w:p>
        </w:tc>
        <w:tc>
          <w:tcPr>
            <w:tcW w:w="2333" w:type="pct"/>
            <w:noWrap w:val="0"/>
            <w:vAlign w:val="center"/>
          </w:tcPr>
          <w:p w14:paraId="26918A0A">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乱刻乱画、“野广告”未及时清理，每处扣2分；公厕有烟头、塑料、纸张、杂物等垃圾或杂物堆放每处扣2分。</w:t>
            </w:r>
          </w:p>
        </w:tc>
      </w:tr>
      <w:tr w14:paraId="1DB35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246" w:type="pct"/>
            <w:vMerge w:val="continue"/>
            <w:noWrap w:val="0"/>
            <w:vAlign w:val="center"/>
          </w:tcPr>
          <w:p w14:paraId="19579513">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00356B94">
            <w:pPr>
              <w:adjustRightInd w:val="0"/>
              <w:snapToGrid w:val="0"/>
              <w:jc w:val="center"/>
              <w:rPr>
                <w:rFonts w:hint="eastAsia" w:ascii="仿宋_GB2312" w:hAnsi="仿宋_GB2312" w:eastAsia="仿宋_GB2312" w:cs="仿宋_GB2312"/>
                <w:b/>
                <w:bCs/>
                <w:sz w:val="24"/>
                <w:szCs w:val="24"/>
              </w:rPr>
            </w:pPr>
          </w:p>
        </w:tc>
        <w:tc>
          <w:tcPr>
            <w:tcW w:w="180" w:type="pct"/>
            <w:vMerge w:val="continue"/>
            <w:noWrap w:val="0"/>
            <w:vAlign w:val="center"/>
          </w:tcPr>
          <w:p w14:paraId="381C5564">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53608FD5">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厕内定期更换灭鼠药，蚊蝇孳生期要定时进行消杀。</w:t>
            </w:r>
          </w:p>
        </w:tc>
        <w:tc>
          <w:tcPr>
            <w:tcW w:w="2333" w:type="pct"/>
            <w:noWrap w:val="0"/>
            <w:vAlign w:val="center"/>
          </w:tcPr>
          <w:p w14:paraId="5FD01BDA">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无灭鼠设施，扣5分；灭鼠药未定时更换，每次扣2分；未做到定时消杀蚊蝇，每次扣2分。</w:t>
            </w:r>
          </w:p>
        </w:tc>
      </w:tr>
      <w:tr w14:paraId="2C5DB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46" w:type="pct"/>
            <w:vMerge w:val="continue"/>
            <w:noWrap w:val="0"/>
            <w:vAlign w:val="center"/>
          </w:tcPr>
          <w:p w14:paraId="1727D6A2">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41499823">
            <w:pPr>
              <w:adjustRightInd w:val="0"/>
              <w:snapToGrid w:val="0"/>
              <w:jc w:val="center"/>
              <w:rPr>
                <w:rFonts w:hint="eastAsia" w:ascii="仿宋_GB2312" w:hAnsi="仿宋_GB2312" w:eastAsia="仿宋_GB2312" w:cs="仿宋_GB2312"/>
                <w:b/>
                <w:bCs/>
                <w:sz w:val="24"/>
                <w:szCs w:val="24"/>
              </w:rPr>
            </w:pPr>
          </w:p>
        </w:tc>
        <w:tc>
          <w:tcPr>
            <w:tcW w:w="180" w:type="pct"/>
            <w:noWrap w:val="0"/>
            <w:textDirection w:val="tbRlV"/>
            <w:vAlign w:val="center"/>
          </w:tcPr>
          <w:p w14:paraId="00ACE295">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设施管理</w:t>
            </w:r>
          </w:p>
        </w:tc>
        <w:tc>
          <w:tcPr>
            <w:tcW w:w="2056" w:type="pct"/>
            <w:noWrap w:val="0"/>
            <w:vAlign w:val="center"/>
          </w:tcPr>
          <w:p w14:paraId="061E54BD">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厕所设施完好无损（门、窗、洁具、面盆、灯、排风扇、烘手器、防蚊蝇、防风帘等设施器具）。</w:t>
            </w:r>
          </w:p>
        </w:tc>
        <w:tc>
          <w:tcPr>
            <w:tcW w:w="2333" w:type="pct"/>
            <w:noWrap w:val="0"/>
            <w:vAlign w:val="center"/>
          </w:tcPr>
          <w:p w14:paraId="70F0A67C">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每缺少一处扣2分，每损坏一处扣2分。</w:t>
            </w:r>
          </w:p>
        </w:tc>
      </w:tr>
      <w:tr w14:paraId="0E2BB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46" w:type="pct"/>
            <w:vMerge w:val="continue"/>
            <w:noWrap w:val="0"/>
            <w:vAlign w:val="center"/>
          </w:tcPr>
          <w:p w14:paraId="20A3EF02">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3DE5431E">
            <w:pPr>
              <w:adjustRightInd w:val="0"/>
              <w:snapToGrid w:val="0"/>
              <w:jc w:val="center"/>
              <w:rPr>
                <w:rFonts w:hint="eastAsia" w:ascii="仿宋_GB2312" w:hAnsi="仿宋_GB2312" w:eastAsia="仿宋_GB2312" w:cs="仿宋_GB2312"/>
                <w:b/>
                <w:bCs/>
                <w:sz w:val="24"/>
                <w:szCs w:val="24"/>
              </w:rPr>
            </w:pPr>
          </w:p>
        </w:tc>
        <w:tc>
          <w:tcPr>
            <w:tcW w:w="180" w:type="pct"/>
            <w:vMerge w:val="restart"/>
            <w:noWrap w:val="0"/>
            <w:textDirection w:val="tbRlV"/>
            <w:vAlign w:val="center"/>
          </w:tcPr>
          <w:p w14:paraId="7C883846">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文明服务</w:t>
            </w:r>
          </w:p>
        </w:tc>
        <w:tc>
          <w:tcPr>
            <w:tcW w:w="2056" w:type="pct"/>
            <w:noWrap w:val="0"/>
            <w:vAlign w:val="center"/>
          </w:tcPr>
          <w:p w14:paraId="57AA2FE1">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保洁员或卫生管理人员工作热情周到，优质服务，无市民投诉。</w:t>
            </w:r>
          </w:p>
        </w:tc>
        <w:tc>
          <w:tcPr>
            <w:tcW w:w="2333" w:type="pct"/>
            <w:noWrap w:val="0"/>
            <w:vAlign w:val="center"/>
          </w:tcPr>
          <w:p w14:paraId="6BC61953">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发生一般投诉，每次扣3分。</w:t>
            </w:r>
          </w:p>
        </w:tc>
      </w:tr>
      <w:tr w14:paraId="23622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246" w:type="pct"/>
            <w:vMerge w:val="continue"/>
            <w:noWrap w:val="0"/>
            <w:vAlign w:val="center"/>
          </w:tcPr>
          <w:p w14:paraId="68092B84">
            <w:pPr>
              <w:adjustRightInd w:val="0"/>
              <w:snapToGrid w:val="0"/>
              <w:jc w:val="center"/>
              <w:rPr>
                <w:rFonts w:hint="eastAsia" w:ascii="仿宋_GB2312" w:hAnsi="仿宋_GB2312" w:eastAsia="仿宋_GB2312" w:cs="仿宋_GB2312"/>
                <w:b/>
                <w:bCs/>
                <w:sz w:val="24"/>
                <w:szCs w:val="24"/>
              </w:rPr>
            </w:pPr>
          </w:p>
        </w:tc>
        <w:tc>
          <w:tcPr>
            <w:tcW w:w="183" w:type="pct"/>
            <w:vMerge w:val="continue"/>
            <w:noWrap w:val="0"/>
            <w:vAlign w:val="center"/>
          </w:tcPr>
          <w:p w14:paraId="603D31FC">
            <w:pPr>
              <w:adjustRightInd w:val="0"/>
              <w:snapToGrid w:val="0"/>
              <w:jc w:val="center"/>
              <w:rPr>
                <w:rFonts w:hint="eastAsia" w:ascii="仿宋_GB2312" w:hAnsi="仿宋_GB2312" w:eastAsia="仿宋_GB2312" w:cs="仿宋_GB2312"/>
                <w:b/>
                <w:bCs/>
                <w:sz w:val="24"/>
                <w:szCs w:val="24"/>
              </w:rPr>
            </w:pPr>
          </w:p>
        </w:tc>
        <w:tc>
          <w:tcPr>
            <w:tcW w:w="180" w:type="pct"/>
            <w:vMerge w:val="continue"/>
            <w:noWrap w:val="0"/>
            <w:vAlign w:val="center"/>
          </w:tcPr>
          <w:p w14:paraId="24B56099">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6E43415A">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厕所内有文明用语宣传和文化氛围，卫生承诺和保洁制度公示。</w:t>
            </w:r>
          </w:p>
        </w:tc>
        <w:tc>
          <w:tcPr>
            <w:tcW w:w="2333" w:type="pct"/>
            <w:noWrap w:val="0"/>
            <w:vAlign w:val="center"/>
          </w:tcPr>
          <w:p w14:paraId="203354AC">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无文明用语或文化氛围扣2分；承诺和卫生保洁制度未公示扣2分。</w:t>
            </w:r>
          </w:p>
        </w:tc>
      </w:tr>
      <w:tr w14:paraId="3400E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246" w:type="pct"/>
            <w:vMerge w:val="restart"/>
            <w:noWrap w:val="0"/>
            <w:vAlign w:val="center"/>
          </w:tcPr>
          <w:p w14:paraId="0E925306">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4</w:t>
            </w:r>
          </w:p>
        </w:tc>
        <w:tc>
          <w:tcPr>
            <w:tcW w:w="363" w:type="pct"/>
            <w:gridSpan w:val="2"/>
            <w:vMerge w:val="restart"/>
            <w:noWrap w:val="0"/>
            <w:textDirection w:val="tbRlV"/>
            <w:vAlign w:val="center"/>
          </w:tcPr>
          <w:p w14:paraId="2CA6C28E">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其  他</w:t>
            </w:r>
          </w:p>
        </w:tc>
        <w:tc>
          <w:tcPr>
            <w:tcW w:w="2056" w:type="pct"/>
            <w:noWrap w:val="0"/>
            <w:vAlign w:val="center"/>
          </w:tcPr>
          <w:p w14:paraId="02FE9143">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及时对检查发现的公厕日常问题进行整改，并回复整改情况。</w:t>
            </w:r>
          </w:p>
        </w:tc>
        <w:tc>
          <w:tcPr>
            <w:tcW w:w="2333" w:type="pct"/>
            <w:noWrap w:val="0"/>
            <w:vAlign w:val="center"/>
          </w:tcPr>
          <w:p w14:paraId="1334A8ED">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未及时整改的每次扣2分；未按时回复整改情况的，每次扣1分。</w:t>
            </w:r>
          </w:p>
        </w:tc>
      </w:tr>
      <w:tr w14:paraId="3875B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46" w:type="pct"/>
            <w:vMerge w:val="continue"/>
            <w:noWrap w:val="0"/>
            <w:vAlign w:val="center"/>
          </w:tcPr>
          <w:p w14:paraId="7A484A75">
            <w:pPr>
              <w:adjustRightInd w:val="0"/>
              <w:snapToGrid w:val="0"/>
              <w:jc w:val="center"/>
              <w:rPr>
                <w:rFonts w:hint="eastAsia" w:ascii="仿宋_GB2312" w:hAnsi="仿宋_GB2312" w:eastAsia="仿宋_GB2312" w:cs="仿宋_GB2312"/>
                <w:b/>
                <w:bCs/>
                <w:sz w:val="24"/>
                <w:szCs w:val="24"/>
              </w:rPr>
            </w:pPr>
          </w:p>
        </w:tc>
        <w:tc>
          <w:tcPr>
            <w:tcW w:w="363" w:type="pct"/>
            <w:gridSpan w:val="2"/>
            <w:vMerge w:val="continue"/>
            <w:noWrap w:val="0"/>
            <w:vAlign w:val="center"/>
          </w:tcPr>
          <w:p w14:paraId="57036D82">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41FAB28F">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按规定上报信息、工作资料等。</w:t>
            </w:r>
          </w:p>
        </w:tc>
        <w:tc>
          <w:tcPr>
            <w:tcW w:w="2333" w:type="pct"/>
            <w:noWrap w:val="0"/>
            <w:vAlign w:val="center"/>
          </w:tcPr>
          <w:p w14:paraId="6AD21691">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未按规定上报信息、工作资料的，每次扣3分。</w:t>
            </w:r>
          </w:p>
        </w:tc>
      </w:tr>
      <w:tr w14:paraId="4C8DA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46" w:type="pct"/>
            <w:vMerge w:val="continue"/>
            <w:noWrap w:val="0"/>
            <w:vAlign w:val="center"/>
          </w:tcPr>
          <w:p w14:paraId="10DD6AAF">
            <w:pPr>
              <w:adjustRightInd w:val="0"/>
              <w:snapToGrid w:val="0"/>
              <w:jc w:val="center"/>
              <w:rPr>
                <w:rFonts w:hint="eastAsia" w:ascii="仿宋_GB2312" w:hAnsi="仿宋_GB2312" w:eastAsia="仿宋_GB2312" w:cs="仿宋_GB2312"/>
                <w:b/>
                <w:bCs/>
                <w:sz w:val="24"/>
                <w:szCs w:val="24"/>
              </w:rPr>
            </w:pPr>
          </w:p>
        </w:tc>
        <w:tc>
          <w:tcPr>
            <w:tcW w:w="363" w:type="pct"/>
            <w:gridSpan w:val="2"/>
            <w:vMerge w:val="continue"/>
            <w:noWrap w:val="0"/>
            <w:vAlign w:val="center"/>
          </w:tcPr>
          <w:p w14:paraId="6527BC0F">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08238B47">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按规定参加区级会议及落实会议相关内容。</w:t>
            </w:r>
          </w:p>
        </w:tc>
        <w:tc>
          <w:tcPr>
            <w:tcW w:w="2333" w:type="pct"/>
            <w:noWrap w:val="0"/>
            <w:vAlign w:val="center"/>
          </w:tcPr>
          <w:p w14:paraId="2602404B">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未按规定参加会议，每次扣5分；未及时落实会议相关内容，每次扣5分。</w:t>
            </w:r>
          </w:p>
        </w:tc>
      </w:tr>
      <w:tr w14:paraId="7B5B1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46" w:type="pct"/>
            <w:vMerge w:val="continue"/>
            <w:noWrap w:val="0"/>
            <w:vAlign w:val="center"/>
          </w:tcPr>
          <w:p w14:paraId="40C4C59D">
            <w:pPr>
              <w:adjustRightInd w:val="0"/>
              <w:snapToGrid w:val="0"/>
              <w:jc w:val="center"/>
              <w:rPr>
                <w:rFonts w:hint="eastAsia" w:ascii="仿宋_GB2312" w:hAnsi="仿宋_GB2312" w:eastAsia="仿宋_GB2312" w:cs="仿宋_GB2312"/>
                <w:b/>
                <w:bCs/>
                <w:sz w:val="24"/>
                <w:szCs w:val="24"/>
              </w:rPr>
            </w:pPr>
          </w:p>
        </w:tc>
        <w:tc>
          <w:tcPr>
            <w:tcW w:w="363" w:type="pct"/>
            <w:gridSpan w:val="2"/>
            <w:vMerge w:val="continue"/>
            <w:noWrap w:val="0"/>
            <w:vAlign w:val="center"/>
          </w:tcPr>
          <w:p w14:paraId="5FC6DC4F">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49905CAB">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及时查实、处理群众投诉问题。</w:t>
            </w:r>
          </w:p>
        </w:tc>
        <w:tc>
          <w:tcPr>
            <w:tcW w:w="2333" w:type="pct"/>
            <w:noWrap w:val="0"/>
            <w:vAlign w:val="center"/>
          </w:tcPr>
          <w:p w14:paraId="11D22A11">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及时进行整改的扣1分；未按时限对群众投诉问题进行整改的，每次扣5分。</w:t>
            </w:r>
          </w:p>
        </w:tc>
      </w:tr>
      <w:tr w14:paraId="7A086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246" w:type="pct"/>
            <w:vMerge w:val="continue"/>
            <w:noWrap w:val="0"/>
            <w:vAlign w:val="center"/>
          </w:tcPr>
          <w:p w14:paraId="0E3612D7">
            <w:pPr>
              <w:adjustRightInd w:val="0"/>
              <w:snapToGrid w:val="0"/>
              <w:jc w:val="center"/>
              <w:rPr>
                <w:rFonts w:hint="eastAsia" w:ascii="仿宋_GB2312" w:hAnsi="仿宋_GB2312" w:eastAsia="仿宋_GB2312" w:cs="仿宋_GB2312"/>
                <w:b/>
                <w:bCs/>
                <w:sz w:val="24"/>
                <w:szCs w:val="24"/>
              </w:rPr>
            </w:pPr>
          </w:p>
        </w:tc>
        <w:tc>
          <w:tcPr>
            <w:tcW w:w="363" w:type="pct"/>
            <w:gridSpan w:val="2"/>
            <w:vMerge w:val="continue"/>
            <w:noWrap w:val="0"/>
            <w:vAlign w:val="center"/>
          </w:tcPr>
          <w:p w14:paraId="6F932840">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653D03B5">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及时对上级通报、媒体曝光的问题进行整改。</w:t>
            </w:r>
          </w:p>
        </w:tc>
        <w:tc>
          <w:tcPr>
            <w:tcW w:w="2333" w:type="pct"/>
            <w:noWrap w:val="0"/>
            <w:vAlign w:val="center"/>
          </w:tcPr>
          <w:p w14:paraId="5D664779">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及时整改问题的扣1分；未及时整改的每次扣5分；未按时回复整改情况的，每次扣5分。</w:t>
            </w:r>
          </w:p>
        </w:tc>
      </w:tr>
      <w:tr w14:paraId="3C06C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46" w:type="pct"/>
            <w:vMerge w:val="restart"/>
            <w:noWrap w:val="0"/>
            <w:vAlign w:val="center"/>
          </w:tcPr>
          <w:p w14:paraId="16398D0D">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5</w:t>
            </w:r>
          </w:p>
        </w:tc>
        <w:tc>
          <w:tcPr>
            <w:tcW w:w="363" w:type="pct"/>
            <w:gridSpan w:val="2"/>
            <w:vMerge w:val="restart"/>
            <w:noWrap w:val="0"/>
            <w:textDirection w:val="tbRlV"/>
            <w:vAlign w:val="center"/>
          </w:tcPr>
          <w:p w14:paraId="4F2BDA83">
            <w:pPr>
              <w:adjustRightInd w:val="0"/>
              <w:snapToGrid w:val="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加分项</w:t>
            </w:r>
          </w:p>
        </w:tc>
        <w:tc>
          <w:tcPr>
            <w:tcW w:w="2056" w:type="pct"/>
            <w:noWrap w:val="0"/>
            <w:vAlign w:val="center"/>
          </w:tcPr>
          <w:p w14:paraId="3EF00A51">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在“厕所革命”工作中创新亮点。</w:t>
            </w:r>
          </w:p>
        </w:tc>
        <w:tc>
          <w:tcPr>
            <w:tcW w:w="2333" w:type="pct"/>
            <w:noWrap w:val="0"/>
            <w:vAlign w:val="center"/>
          </w:tcPr>
          <w:p w14:paraId="0C6D4053">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工作中有创新亮点的，视情况加1-5分。</w:t>
            </w:r>
          </w:p>
        </w:tc>
      </w:tr>
      <w:tr w14:paraId="5B84D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46" w:type="pct"/>
            <w:vMerge w:val="continue"/>
            <w:noWrap w:val="0"/>
            <w:vAlign w:val="center"/>
          </w:tcPr>
          <w:p w14:paraId="3C3154F1">
            <w:pPr>
              <w:adjustRightInd w:val="0"/>
              <w:snapToGrid w:val="0"/>
              <w:jc w:val="center"/>
              <w:rPr>
                <w:rFonts w:hint="eastAsia" w:ascii="仿宋_GB2312" w:hAnsi="仿宋_GB2312" w:eastAsia="仿宋_GB2312" w:cs="仿宋_GB2312"/>
                <w:b/>
                <w:bCs/>
                <w:sz w:val="24"/>
                <w:szCs w:val="24"/>
              </w:rPr>
            </w:pPr>
          </w:p>
        </w:tc>
        <w:tc>
          <w:tcPr>
            <w:tcW w:w="363" w:type="pct"/>
            <w:gridSpan w:val="2"/>
            <w:vMerge w:val="continue"/>
            <w:noWrap w:val="0"/>
            <w:vAlign w:val="center"/>
          </w:tcPr>
          <w:p w14:paraId="69E0F542">
            <w:pPr>
              <w:adjustRightInd w:val="0"/>
              <w:snapToGrid w:val="0"/>
              <w:jc w:val="center"/>
              <w:rPr>
                <w:rFonts w:hint="eastAsia" w:ascii="仿宋_GB2312" w:hAnsi="仿宋_GB2312" w:eastAsia="仿宋_GB2312" w:cs="仿宋_GB2312"/>
                <w:b/>
                <w:bCs/>
                <w:sz w:val="24"/>
                <w:szCs w:val="24"/>
              </w:rPr>
            </w:pPr>
          </w:p>
        </w:tc>
        <w:tc>
          <w:tcPr>
            <w:tcW w:w="2056" w:type="pct"/>
            <w:noWrap w:val="0"/>
            <w:vAlign w:val="center"/>
          </w:tcPr>
          <w:p w14:paraId="19FE3B98">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市级以上媒体进行正面宣传报道。</w:t>
            </w:r>
          </w:p>
        </w:tc>
        <w:tc>
          <w:tcPr>
            <w:tcW w:w="2333" w:type="pct"/>
            <w:noWrap w:val="0"/>
            <w:vAlign w:val="center"/>
          </w:tcPr>
          <w:p w14:paraId="42BFB841">
            <w:pPr>
              <w:adjustRightInd w:val="0"/>
              <w:snapToGrid w:val="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市级以上媒体进行正面宣传报道的，每次加3分。</w:t>
            </w:r>
          </w:p>
        </w:tc>
      </w:tr>
    </w:tbl>
    <w:p w14:paraId="1BCAE0C6">
      <w:pPr>
        <w:rPr>
          <w:rFonts w:hint="eastAsia"/>
          <w:lang w:val="zh-CN"/>
        </w:rPr>
        <w:sectPr>
          <w:pgSz w:w="11905" w:h="16838"/>
          <w:pgMar w:top="1440" w:right="1080" w:bottom="1440" w:left="1080" w:header="850" w:footer="975" w:gutter="0"/>
          <w:cols w:space="720" w:num="1"/>
          <w:docGrid w:linePitch="312" w:charSpace="0"/>
        </w:sectPr>
      </w:pPr>
    </w:p>
    <w:p w14:paraId="20B61B48">
      <w:pPr>
        <w:pStyle w:val="8"/>
        <w:tabs>
          <w:tab w:val="left" w:pos="266"/>
        </w:tabs>
        <w:spacing w:line="520" w:lineRule="exact"/>
        <w:outlineLvl w:val="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附件3：</w:t>
      </w:r>
    </w:p>
    <w:p w14:paraId="5AA37E54">
      <w:pPr>
        <w:pStyle w:val="8"/>
        <w:tabs>
          <w:tab w:val="left" w:pos="266"/>
        </w:tabs>
        <w:spacing w:line="520" w:lineRule="exact"/>
        <w:jc w:val="center"/>
        <w:outlineLvl w:val="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西安高新区城市绿地管理养护考核办法（2025版）</w:t>
      </w:r>
    </w:p>
    <w:p w14:paraId="6A74351D">
      <w:pPr>
        <w:pStyle w:val="8"/>
        <w:tabs>
          <w:tab w:val="left" w:pos="266"/>
        </w:tabs>
        <w:spacing w:line="520" w:lineRule="exact"/>
        <w:ind w:left="2650" w:hanging="2650" w:hangingChars="1100"/>
        <w:rPr>
          <w:rFonts w:hint="eastAsia" w:ascii="仿宋_GB2312" w:hAnsi="仿宋_GB2312" w:eastAsia="仿宋_GB2312" w:cs="仿宋_GB2312"/>
          <w:b/>
          <w:sz w:val="24"/>
          <w:szCs w:val="24"/>
        </w:rPr>
      </w:pPr>
    </w:p>
    <w:p w14:paraId="7306538B">
      <w:pPr>
        <w:pStyle w:val="2"/>
        <w:keepLines/>
        <w:widowControl/>
        <w:numPr>
          <w:ilvl w:val="0"/>
          <w:numId w:val="4"/>
        </w:numPr>
        <w:tabs>
          <w:tab w:val="left" w:pos="266"/>
        </w:tabs>
        <w:kinsoku w:val="0"/>
        <w:autoSpaceDE w:val="0"/>
        <w:autoSpaceDN w:val="0"/>
        <w:adjustRightInd w:val="0"/>
        <w:snapToGrid w:val="0"/>
        <w:spacing w:line="520" w:lineRule="exact"/>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总 则</w:t>
      </w:r>
    </w:p>
    <w:p w14:paraId="7E13C568">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第一条办法目的</w:t>
      </w:r>
    </w:p>
    <w:p w14:paraId="724C3AF5">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为了进一步健全绿化养护管理体系，提升绿化养护管理水平，巩固绿化建设成果，更加科学合理评价绿化养护工作质量，形成常态化、长效化、精细化绿化养护管理机制，持续推动西安高新区（以下简称“高新区”）城市绿化工作高质量发展，根据《西安市城市绿化条例》、《园林绿化养护标准》及《西安高新区城市精细化管理标准(试行)》。结合实际，制定本办法。</w:t>
      </w:r>
    </w:p>
    <w:p w14:paraId="4696CA26">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第二条  考核范围</w:t>
      </w:r>
    </w:p>
    <w:p w14:paraId="54B639EE">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本办法适用于高新区道路（广场）绿化、公园绿地等已移交养护的公共绿地，建设项目养护期可参照本办法执行。</w:t>
      </w:r>
    </w:p>
    <w:p w14:paraId="16F5985D">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第三条  考核对象</w:t>
      </w:r>
    </w:p>
    <w:p w14:paraId="5D52CF0E">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高新区城市管理和综合执法局（以下简称“城管局”）负责城市绿地管理养护考核工作的组织实施，考核对象为在高新区范围内承揽城管局发包的园林绿化养护服务项目的企业单位（以下简称“养护单位”）。</w:t>
      </w:r>
    </w:p>
    <w:p w14:paraId="32DDD3EA">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第四条  考核原则</w:t>
      </w:r>
    </w:p>
    <w:p w14:paraId="317D70FE">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（一）严格标准，客观公正。坚持“一把尺子量到底”，统一养护质量标准，严格考核标准，统一考核内容，客观、公平、公正地实施考核。</w:t>
      </w:r>
    </w:p>
    <w:p w14:paraId="2C71C11C">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（二）量效同考、综合评价。坚持统筹兼顾，注重质与量相统一，综合运用计量考核和成效考核方式，全面评价绿化养护工作，并严格按考核结果结算付款。</w:t>
      </w:r>
    </w:p>
    <w:p w14:paraId="2FD7D7B3">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（三）精准考核、奖优罚劣。坚持指标量化、流程细化，确保考核可操作、易执行、能落地，同时明确考核责任、考核周期和奖罚措施，确保任务明确、责任清晰、奖罚分明。</w:t>
      </w:r>
    </w:p>
    <w:p w14:paraId="0CB7CBAF">
      <w:pPr>
        <w:pStyle w:val="2"/>
        <w:keepLines/>
        <w:widowControl/>
        <w:numPr>
          <w:ilvl w:val="0"/>
          <w:numId w:val="4"/>
        </w:numPr>
        <w:tabs>
          <w:tab w:val="left" w:pos="266"/>
        </w:tabs>
        <w:kinsoku w:val="0"/>
        <w:autoSpaceDE w:val="0"/>
        <w:autoSpaceDN w:val="0"/>
        <w:adjustRightInd w:val="0"/>
        <w:snapToGrid w:val="0"/>
        <w:spacing w:line="520" w:lineRule="exact"/>
        <w:ind w:left="420" w:left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考核标准与内容</w:t>
      </w:r>
    </w:p>
    <w:p w14:paraId="2DA8B556">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第五条  考核标准</w:t>
      </w:r>
    </w:p>
    <w:p w14:paraId="1DC9DF1D">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高新区城市绿地养护管理考核按照有关标准执行：</w:t>
      </w:r>
    </w:p>
    <w:p w14:paraId="308C9F94">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（一）《西安市城市绿化条例》；</w:t>
      </w:r>
    </w:p>
    <w:p w14:paraId="46773D89">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（二）《园林绿化养护标准》CJJT287-2018；</w:t>
      </w:r>
    </w:p>
    <w:p w14:paraId="59A2ED08">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（三）《西安高新区绿化养护管理标准(2025版)》；</w:t>
      </w:r>
    </w:p>
    <w:p w14:paraId="2A351A75">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（四）其他。《农药管理条例》（2022年修订版）《西安市公园条例》《城市公园管理办法》《西安城市绿化行业植保药品安全管理和使用规定》等。</w:t>
      </w:r>
    </w:p>
    <w:p w14:paraId="456E9259">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第六条  考核内容</w:t>
      </w:r>
    </w:p>
    <w:p w14:paraId="154377E7">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高新区城市绿地管理养护考核以城市主次干道、重点区域、关键节点和主要场所为核心，对道路绿化管理养护、公园（广场）管理养护、街景布置、安全管理、舆情管控以及执行落实有关制度要求情况进行考核。</w:t>
      </w:r>
    </w:p>
    <w:p w14:paraId="5A705C70">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（一）道路绿化管理养护。主要考核整形修剪、乔灌木和花卉养护、病虫害防治、浇水施肥、绿化带高台土清掏、苗木补栽、设施维护等工作情况。</w:t>
      </w:r>
    </w:p>
    <w:p w14:paraId="1641F500">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（二）公园（广场）管理养护。主要考核绿化养护、园容园貌、水域管理、游园秩序和安全、设施维护管理等工作情况。</w:t>
      </w:r>
    </w:p>
    <w:p w14:paraId="11B70B83">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（三）安全生产管理。主要考核安全生产制度的制定落实、安全生产保障措施的健全完善，以及安全生产问题的处理处置情况。</w:t>
      </w:r>
    </w:p>
    <w:p w14:paraId="3F76C75A">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（四）舆情管控。主要考核上级下发问题通报、舆情信息、群众投诉、媒体披露问题、城市服务热线转办线索等情况的接收、处置及整改情况。</w:t>
      </w:r>
    </w:p>
    <w:p w14:paraId="145F2A3B">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（五）有关政府法令、政策文件执行落实情况。严格落实省市区城市绿地管理养护相关的政府法令、政策或文件。</w:t>
      </w:r>
    </w:p>
    <w:p w14:paraId="7636E9BE">
      <w:pPr>
        <w:pStyle w:val="2"/>
        <w:keepLines/>
        <w:widowControl/>
        <w:numPr>
          <w:ilvl w:val="0"/>
          <w:numId w:val="4"/>
        </w:numPr>
        <w:tabs>
          <w:tab w:val="left" w:pos="266"/>
        </w:tabs>
        <w:kinsoku w:val="0"/>
        <w:autoSpaceDE w:val="0"/>
        <w:autoSpaceDN w:val="0"/>
        <w:adjustRightInd w:val="0"/>
        <w:snapToGrid w:val="0"/>
        <w:spacing w:line="520" w:lineRule="exact"/>
        <w:ind w:left="420" w:left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考核方式</w:t>
      </w:r>
    </w:p>
    <w:p w14:paraId="30145BCC">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考核方法</w:t>
      </w:r>
    </w:p>
    <w:p w14:paraId="61BF1B4F">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高新区城市绿地管理养护考核通过以定期考核为主，并辅以不定期考核的方式开展。</w:t>
      </w:r>
    </w:p>
    <w:p w14:paraId="5DE5F85B">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定期考核以周、月为周期进行考核，由计量考核和成效考核两部分组成；不定期考核指重大节假日、重大活动期间组织的随机考核和专项检查。</w:t>
      </w:r>
    </w:p>
    <w:p w14:paraId="2A50E237">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考核标准及方式</w:t>
      </w:r>
    </w:p>
    <w:p w14:paraId="398C4300">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考核分为计量考核和成效考核。计量考核以养护单位为主体按照日、周、月形式开展，成效考核以城管局为主体以周检、月检等形式开展。</w:t>
      </w:r>
    </w:p>
    <w:p w14:paraId="1BDED8E3">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（一）计量考核</w:t>
      </w:r>
    </w:p>
    <w:p w14:paraId="2CF1713B">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养护单位负责依据《西安高新区园林绿化养护分级管理、考核工作任务清单》编制养护计划，养护计划应包括以日为单位的养护工作内容、工作重点、工作频次等计量考核内容。养护单位需于每月底（25日前）将次月养护计划报城管执法局园林绿化部审定，并建立自查机制，落实周计划和月计划计量考核工作并做好养护服务资料备查。周计划在月计划基础上，结合实际天气变化及上周工作落实情况进行调整。《西安高新区园林绿化养护分级管理、考核工作任务清单》详见附件1.</w:t>
      </w:r>
    </w:p>
    <w:p w14:paraId="118394DF">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（二）成效考核</w:t>
      </w:r>
    </w:p>
    <w:p w14:paraId="353EDF80">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1、考核形式</w:t>
      </w:r>
    </w:p>
    <w:p w14:paraId="1C69F07C">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城管局绿化部负责月考核工作，月考核为每月最后一周，检查时间由考核小组确定并通知养护单位，检查内容针对当月养护作业重点、下发整改问题整改结果、投诉问题处理结果等随机确定，以抽检代全检，考核养护工作质量、成效及养护管理水平，发现问题及扣分情况以整改通知单形式下发，养护单位在接到整改通知单当日内完成整改（特殊情况可延长整改时限）。如遇考核养护服务水平差（扣分10分及以上）、下发整改通知单拒不整改等严重服务问题，可增加不定期考核频次。</w:t>
      </w:r>
    </w:p>
    <w:p w14:paraId="589127AE">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2、考核范围</w:t>
      </w:r>
    </w:p>
    <w:p w14:paraId="003F0E6D">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前1-2日确定抽检养护区域及事项，考核形式随机采取明查、暗访或不定期考核等方式进行。公园物业管理方面，月考核以绿化养护情况为主，单次周考核随机选定绿化、设施设备、保洁、安全安保、制度管理、公厕六个方面中的1-3项，进行现场、资料检查。道路养护方面每周开展至少1次绿化养护情况考核。</w:t>
      </w:r>
    </w:p>
    <w:p w14:paraId="1B327035">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3、考核小组成员</w:t>
      </w:r>
    </w:p>
    <w:p w14:paraId="005F306B">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由城管局负责组建两人以上考核小组。定期整理绩效考核中的典型问题、优秀做法等，对阶段性养护工作要点及时发布指导性工作通知，促进养护服务良性发展。</w:t>
      </w:r>
    </w:p>
    <w:p w14:paraId="4E610CE9">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4、考核结果呈现</w:t>
      </w:r>
    </w:p>
    <w:p w14:paraId="1159AECE">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周考核围绕发现养护服务中的问题、下发整改通知单、回访往期整改通知单问题整改情况三方面内容开展，以加、减分形式体现周考核成效，并计入月考总分。</w:t>
      </w:r>
    </w:p>
    <w:p w14:paraId="195F767F">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月考核最终得分在完成月考核基础上，结合周考核结果，填写月考核得分汇总表，考核得分为百分制，最终得分作为当月养护费用计算基数，按照合同约定计算最终养护费用。</w:t>
      </w:r>
    </w:p>
    <w:p w14:paraId="36EF81D2">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考核打分表详见附件2（道路、公园绿化）、附件3（公厕管理）、附件4（整改通知单）。</w:t>
      </w:r>
    </w:p>
    <w:p w14:paraId="34B394F1">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月度养护费用计算</w:t>
      </w:r>
    </w:p>
    <w:p w14:paraId="66D1CEA0">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分值90分以上为合格，拨付全额管理服务费用（管理服务费用=养护单价*养护面积）。每降低合格线1分，扣除当月全额承包费的1%，扣减至月全额管理费用60%时停止扣除计算，计算所得金额为当月管理服务费用。</w:t>
      </w:r>
    </w:p>
    <w:p w14:paraId="38EB386F">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月度养护费用=管理服务费用+奖罚费用。</w:t>
      </w:r>
    </w:p>
    <w:p w14:paraId="49489A53">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第九条  养护单位对考核中下达的限期整改问题，整改不力或拒不整改的，经催告仍不履行整改义务的，城管局有权安排其他队伍代为完成，费用由责任单位全部承担。</w:t>
      </w:r>
    </w:p>
    <w:p w14:paraId="180D7D90">
      <w:pPr>
        <w:pStyle w:val="2"/>
        <w:keepLines/>
        <w:widowControl/>
        <w:numPr>
          <w:ilvl w:val="0"/>
          <w:numId w:val="4"/>
        </w:numPr>
        <w:tabs>
          <w:tab w:val="left" w:pos="266"/>
        </w:tabs>
        <w:kinsoku w:val="0"/>
        <w:autoSpaceDE w:val="0"/>
        <w:autoSpaceDN w:val="0"/>
        <w:adjustRightInd w:val="0"/>
        <w:snapToGrid w:val="0"/>
        <w:spacing w:line="520" w:lineRule="exact"/>
        <w:ind w:left="420" w:left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奖惩措施</w:t>
      </w:r>
    </w:p>
    <w:p w14:paraId="705E39ED">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第十条 考核成绩低于75分（不含）的给予黄牌警告。连续两个月被黄牌警告的养护单位，终止当前合同。</w:t>
      </w:r>
    </w:p>
    <w:p w14:paraId="73BE997A">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第十一条  受到省、市、区级主管部门表扬或同级媒体正面宣传报道的、受到市级以上荣誉称号并保持一年的，根据影响程度，酌情给予奖励。</w:t>
      </w:r>
    </w:p>
    <w:p w14:paraId="550A14C6">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（一）受到省、市级主管部门督导检查通报表扬，受到市级以上荣誉称号并保持一年的，给予1-3万元奖励。</w:t>
      </w:r>
    </w:p>
    <w:p w14:paraId="38AA0B2B">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（二）被省、市主流媒体正面报道的，根据问题影响程度，给予1-2万元奖励。</w:t>
      </w:r>
    </w:p>
    <w:p w14:paraId="652A5A65">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（三）其他。</w:t>
      </w:r>
    </w:p>
    <w:p w14:paraId="3BCADBFC">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第十二条 有下列情形之一的，经城管局核查后给予相应处罚。</w:t>
      </w:r>
    </w:p>
    <w:p w14:paraId="5449D882">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（一）受到省、市主管部门督导检查通报批评，根据问题影响程度，处以1-3万元处罚。</w:t>
      </w:r>
    </w:p>
    <w:p w14:paraId="3239D3F1">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（二）被省、市主流媒体负面报道的，根据问题影响程度，处以1-2万元处罚。</w:t>
      </w:r>
    </w:p>
    <w:p w14:paraId="36993F8B">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（三）由于工作不力，导致市级以上荣誉称号被撤销的，处以5000元-10000元罚款。</w:t>
      </w:r>
    </w:p>
    <w:p w14:paraId="3103D546">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（四）其他。</w:t>
      </w:r>
    </w:p>
    <w:p w14:paraId="65CE134B">
      <w:pPr>
        <w:pStyle w:val="2"/>
        <w:keepLines/>
        <w:widowControl/>
        <w:numPr>
          <w:ilvl w:val="0"/>
          <w:numId w:val="4"/>
        </w:numPr>
        <w:tabs>
          <w:tab w:val="left" w:pos="266"/>
        </w:tabs>
        <w:kinsoku w:val="0"/>
        <w:autoSpaceDE w:val="0"/>
        <w:autoSpaceDN w:val="0"/>
        <w:adjustRightInd w:val="0"/>
        <w:snapToGrid w:val="0"/>
        <w:spacing w:line="520" w:lineRule="exact"/>
        <w:ind w:left="420" w:left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附  则</w:t>
      </w:r>
    </w:p>
    <w:p w14:paraId="6F53D7F9">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第十三条 各街办、各单位、各物业服务企业、各经营单位及其他城市绿地管理主体可参照本办法，结合各自实际情况，制定本辖区城市绿地管理养护考核办法。</w:t>
      </w:r>
    </w:p>
    <w:p w14:paraId="57D79663">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第十四条 住建局、各园区中心可参照本考核办法，督促项目建设单位建立各自的城市绿地管理养护考核办法并严格执行。</w:t>
      </w:r>
    </w:p>
    <w:p w14:paraId="1254FC34">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第十八条 本办法由高新区城市管理和综合执法局负责解释，自印发之日起施行。</w:t>
      </w:r>
    </w:p>
    <w:p w14:paraId="0F2FA042">
      <w:pPr>
        <w:tabs>
          <w:tab w:val="left" w:pos="266"/>
        </w:tabs>
        <w:spacing w:line="520" w:lineRule="exact"/>
        <w:ind w:firstLine="720" w:firstLineChars="300"/>
        <w:rPr>
          <w:rFonts w:hint="eastAsia" w:ascii="仿宋_GB2312" w:hAnsi="仿宋_GB2312" w:eastAsia="仿宋_GB2312" w:cs="仿宋_GB2312"/>
          <w:kern w:val="0"/>
          <w:sz w:val="24"/>
          <w:szCs w:val="24"/>
        </w:rPr>
      </w:pPr>
    </w:p>
    <w:p w14:paraId="52ECE1ED">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附件：1.西安高新区园林绿化养护分级管理、考核工作任务清单</w:t>
      </w:r>
    </w:p>
    <w:p w14:paraId="110896B7">
      <w:pPr>
        <w:tabs>
          <w:tab w:val="left" w:pos="266"/>
        </w:tabs>
        <w:spacing w:line="520" w:lineRule="exact"/>
        <w:ind w:firstLine="1200" w:firstLineChars="5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2.西安高新区道路绿化养护管理项目考评标准及得分统计表</w:t>
      </w:r>
    </w:p>
    <w:p w14:paraId="205682A6">
      <w:pPr>
        <w:tabs>
          <w:tab w:val="left" w:pos="266"/>
        </w:tabs>
        <w:spacing w:line="520" w:lineRule="exact"/>
        <w:ind w:firstLine="1200" w:firstLineChars="500"/>
        <w:rPr>
          <w:rFonts w:hint="eastAsia" w:ascii="仿宋_GB2312" w:hAnsi="仿宋_GB2312" w:eastAsia="仿宋_GB2312" w:cs="仿宋_GB2312"/>
          <w:kern w:val="0"/>
          <w:sz w:val="24"/>
          <w:szCs w:val="24"/>
        </w:rPr>
        <w:sectPr>
          <w:footnotePr>
            <w:numFmt w:val="decimalEnclosedCircleChinese"/>
          </w:footnotePr>
          <w:pgSz w:w="11905" w:h="16838"/>
          <w:pgMar w:top="1440" w:right="1080" w:bottom="1440" w:left="1080" w:header="850" w:footer="975" w:gutter="0"/>
          <w:cols w:space="720" w:num="1"/>
          <w:docGrid w:linePitch="312" w:charSpace="0"/>
        </w:sectPr>
      </w:pPr>
      <w:r>
        <w:rPr>
          <w:rFonts w:hint="eastAsia" w:ascii="仿宋_GB2312" w:hAnsi="仿宋_GB2312" w:eastAsia="仿宋_GB2312" w:cs="仿宋_GB2312"/>
          <w:kern w:val="0"/>
          <w:sz w:val="24"/>
          <w:szCs w:val="24"/>
        </w:rPr>
        <w:t>3. 整改通知单</w:t>
      </w:r>
    </w:p>
    <w:p w14:paraId="2E706D21">
      <w:pPr>
        <w:tabs>
          <w:tab w:val="left" w:pos="266"/>
        </w:tabs>
        <w:spacing w:line="520" w:lineRule="exact"/>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1、《西安高新区园林绿化养护分级管理、考核工作任务清单》</w:t>
      </w:r>
    </w:p>
    <w:tbl>
      <w:tblPr>
        <w:tblStyle w:val="10"/>
        <w:tblW w:w="5095" w:type="pct"/>
        <w:jc w:val="center"/>
        <w:tblLayout w:type="fixed"/>
        <w:tblCellMar>
          <w:top w:w="0" w:type="dxa"/>
          <w:left w:w="108" w:type="dxa"/>
          <w:bottom w:w="0" w:type="dxa"/>
          <w:right w:w="108" w:type="dxa"/>
        </w:tblCellMar>
      </w:tblPr>
      <w:tblGrid>
        <w:gridCol w:w="480"/>
        <w:gridCol w:w="795"/>
        <w:gridCol w:w="1505"/>
        <w:gridCol w:w="642"/>
        <w:gridCol w:w="596"/>
        <w:gridCol w:w="581"/>
        <w:gridCol w:w="619"/>
        <w:gridCol w:w="560"/>
        <w:gridCol w:w="564"/>
        <w:gridCol w:w="581"/>
        <w:gridCol w:w="658"/>
        <w:gridCol w:w="684"/>
        <w:gridCol w:w="668"/>
        <w:gridCol w:w="235"/>
        <w:gridCol w:w="369"/>
        <w:gridCol w:w="233"/>
        <w:gridCol w:w="380"/>
      </w:tblGrid>
      <w:tr w14:paraId="1ECAC39F">
        <w:tblPrEx>
          <w:tblCellMar>
            <w:top w:w="0" w:type="dxa"/>
            <w:left w:w="108" w:type="dxa"/>
            <w:bottom w:w="0" w:type="dxa"/>
            <w:right w:w="108" w:type="dxa"/>
          </w:tblCellMar>
        </w:tblPrEx>
        <w:trPr>
          <w:trHeight w:val="23" w:hRule="atLeast"/>
          <w:jc w:val="center"/>
        </w:trPr>
        <w:tc>
          <w:tcPr>
            <w:tcW w:w="236" w:type="pct"/>
            <w:vMerge w:val="restart"/>
            <w:tcBorders>
              <w:top w:val="single" w:color="000000" w:sz="4" w:space="0"/>
              <w:left w:val="single" w:color="000000" w:sz="4" w:space="0"/>
              <w:bottom w:val="single" w:color="000000" w:sz="4" w:space="0"/>
              <w:right w:val="single" w:color="000000" w:sz="4" w:space="0"/>
            </w:tcBorders>
            <w:noWrap/>
            <w:vAlign w:val="center"/>
          </w:tcPr>
          <w:p w14:paraId="317DA9C2">
            <w:pPr>
              <w:tabs>
                <w:tab w:val="left" w:pos="266"/>
              </w:tabs>
              <w:jc w:val="center"/>
              <w:rPr>
                <w:rFonts w:hint="eastAsia" w:ascii="仿宋_GB2312" w:hAnsi="仿宋_GB2312" w:eastAsia="仿宋_GB2312" w:cs="仿宋_GB2312"/>
                <w:kern w:val="0"/>
                <w:szCs w:val="21"/>
              </w:rPr>
            </w:pPr>
          </w:p>
        </w:tc>
        <w:tc>
          <w:tcPr>
            <w:tcW w:w="1132" w:type="pct"/>
            <w:gridSpan w:val="2"/>
            <w:vMerge w:val="restart"/>
            <w:tcBorders>
              <w:top w:val="single" w:color="000000" w:sz="4" w:space="0"/>
              <w:left w:val="single" w:color="000000" w:sz="4" w:space="0"/>
              <w:bottom w:val="single" w:color="000000" w:sz="4" w:space="0"/>
              <w:right w:val="single" w:color="000000" w:sz="4" w:space="0"/>
            </w:tcBorders>
            <w:noWrap/>
            <w:vAlign w:val="center"/>
          </w:tcPr>
          <w:p w14:paraId="375F0D81">
            <w:pPr>
              <w:tabs>
                <w:tab w:val="left" w:pos="266"/>
              </w:tabs>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季节/月份</w:t>
            </w:r>
          </w:p>
        </w:tc>
        <w:tc>
          <w:tcPr>
            <w:tcW w:w="895" w:type="pct"/>
            <w:gridSpan w:val="3"/>
            <w:tcBorders>
              <w:top w:val="single" w:color="000000" w:sz="4" w:space="0"/>
              <w:left w:val="single" w:color="000000" w:sz="4" w:space="0"/>
              <w:bottom w:val="single" w:color="000000" w:sz="4" w:space="0"/>
              <w:right w:val="single" w:color="000000" w:sz="4" w:space="0"/>
            </w:tcBorders>
            <w:noWrap/>
            <w:vAlign w:val="center"/>
          </w:tcPr>
          <w:p w14:paraId="5C74F671">
            <w:pPr>
              <w:tabs>
                <w:tab w:val="left" w:pos="266"/>
              </w:tabs>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春</w:t>
            </w:r>
          </w:p>
        </w:tc>
        <w:tc>
          <w:tcPr>
            <w:tcW w:w="859" w:type="pct"/>
            <w:gridSpan w:val="3"/>
            <w:tcBorders>
              <w:top w:val="single" w:color="000000" w:sz="4" w:space="0"/>
              <w:left w:val="single" w:color="000000" w:sz="4" w:space="0"/>
              <w:bottom w:val="single" w:color="000000" w:sz="4" w:space="0"/>
              <w:right w:val="single" w:color="000000" w:sz="4" w:space="0"/>
            </w:tcBorders>
            <w:noWrap/>
            <w:vAlign w:val="center"/>
          </w:tcPr>
          <w:p w14:paraId="522F630C">
            <w:pPr>
              <w:tabs>
                <w:tab w:val="left" w:pos="266"/>
              </w:tabs>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夏</w:t>
            </w:r>
          </w:p>
        </w:tc>
        <w:tc>
          <w:tcPr>
            <w:tcW w:w="946" w:type="pct"/>
            <w:gridSpan w:val="3"/>
            <w:tcBorders>
              <w:top w:val="single" w:color="000000" w:sz="4" w:space="0"/>
              <w:left w:val="single" w:color="000000" w:sz="4" w:space="0"/>
              <w:bottom w:val="single" w:color="000000" w:sz="4" w:space="0"/>
              <w:right w:val="single" w:color="000000" w:sz="4" w:space="0"/>
            </w:tcBorders>
            <w:noWrap/>
            <w:vAlign w:val="center"/>
          </w:tcPr>
          <w:p w14:paraId="4B5FBDE1">
            <w:pPr>
              <w:tabs>
                <w:tab w:val="left" w:pos="266"/>
              </w:tabs>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秋</w:t>
            </w:r>
          </w:p>
        </w:tc>
        <w:tc>
          <w:tcPr>
            <w:tcW w:w="928" w:type="pct"/>
            <w:gridSpan w:val="5"/>
            <w:tcBorders>
              <w:top w:val="single" w:color="000000" w:sz="4" w:space="0"/>
              <w:left w:val="single" w:color="000000" w:sz="4" w:space="0"/>
              <w:bottom w:val="single" w:color="000000" w:sz="4" w:space="0"/>
              <w:right w:val="single" w:color="000000" w:sz="4" w:space="0"/>
            </w:tcBorders>
            <w:noWrap/>
            <w:vAlign w:val="center"/>
          </w:tcPr>
          <w:p w14:paraId="4078130F">
            <w:pPr>
              <w:tabs>
                <w:tab w:val="left" w:pos="266"/>
              </w:tabs>
              <w:jc w:val="center"/>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冬</w:t>
            </w:r>
          </w:p>
        </w:tc>
      </w:tr>
      <w:tr w14:paraId="08D1446A">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9DC2436">
            <w:pPr>
              <w:tabs>
                <w:tab w:val="left" w:pos="266"/>
              </w:tabs>
              <w:jc w:val="center"/>
              <w:rPr>
                <w:rFonts w:hint="eastAsia" w:ascii="仿宋_GB2312" w:hAnsi="仿宋_GB2312" w:eastAsia="仿宋_GB2312" w:cs="仿宋_GB2312"/>
                <w:kern w:val="0"/>
                <w:szCs w:val="21"/>
              </w:rPr>
            </w:pPr>
          </w:p>
        </w:tc>
        <w:tc>
          <w:tcPr>
            <w:tcW w:w="1132"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14:paraId="62FA5401">
            <w:pPr>
              <w:tabs>
                <w:tab w:val="left" w:pos="266"/>
              </w:tabs>
              <w:jc w:val="center"/>
              <w:rPr>
                <w:rFonts w:hint="eastAsia" w:ascii="仿宋_GB2312" w:hAnsi="仿宋_GB2312" w:eastAsia="仿宋_GB2312" w:cs="仿宋_GB2312"/>
                <w:kern w:val="0"/>
                <w:szCs w:val="21"/>
              </w:rPr>
            </w:pP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2CA50A29">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910456C">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3B07345">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0C97FEA">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58E5612">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91D62CD">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5834DF5">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9</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9305120">
            <w:pPr>
              <w:tabs>
                <w:tab w:val="left" w:pos="266"/>
              </w:tabs>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0A2720B">
            <w:pPr>
              <w:tabs>
                <w:tab w:val="left" w:pos="266"/>
              </w:tabs>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11</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27BFC3D6">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DC3617A">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B6E24F1">
            <w:pPr>
              <w:tabs>
                <w:tab w:val="left" w:pos="266"/>
              </w:tabs>
              <w:ind w:firstLine="210" w:firstLineChars="100"/>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r>
      <w:tr w14:paraId="1FD47F82">
        <w:tblPrEx>
          <w:tblCellMar>
            <w:top w:w="0" w:type="dxa"/>
            <w:left w:w="108" w:type="dxa"/>
            <w:bottom w:w="0" w:type="dxa"/>
            <w:right w:w="108" w:type="dxa"/>
          </w:tblCellMar>
        </w:tblPrEx>
        <w:trPr>
          <w:trHeight w:val="23" w:hRule="atLeast"/>
          <w:jc w:val="center"/>
        </w:trPr>
        <w:tc>
          <w:tcPr>
            <w:tcW w:w="236" w:type="pct"/>
            <w:vMerge w:val="restart"/>
            <w:tcBorders>
              <w:top w:val="single" w:color="000000" w:sz="4" w:space="0"/>
              <w:left w:val="single" w:color="000000" w:sz="4" w:space="0"/>
              <w:bottom w:val="single" w:color="000000" w:sz="4" w:space="0"/>
              <w:right w:val="single" w:color="000000" w:sz="4" w:space="0"/>
            </w:tcBorders>
            <w:noWrap/>
            <w:vAlign w:val="center"/>
          </w:tcPr>
          <w:p w14:paraId="7F0C266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A档</w:t>
            </w: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73CDE23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浇水</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A1B1A2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DA2127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201DF30">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73E5C36">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5E6CB7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27C7C2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192871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B7BE3E9">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60FFC6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EB1A3CB">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36D3565">
            <w:pPr>
              <w:tabs>
                <w:tab w:val="left" w:pos="266"/>
              </w:tabs>
              <w:ind w:firstLine="210" w:firstLineChars="100"/>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9C1A1AD">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95C20CC">
            <w:pPr>
              <w:tabs>
                <w:tab w:val="left" w:pos="266"/>
              </w:tabs>
              <w:jc w:val="center"/>
              <w:rPr>
                <w:rFonts w:hint="eastAsia" w:ascii="仿宋_GB2312" w:hAnsi="仿宋_GB2312" w:eastAsia="仿宋_GB2312" w:cs="仿宋_GB2312"/>
                <w:kern w:val="0"/>
                <w:szCs w:val="21"/>
              </w:rPr>
            </w:pPr>
          </w:p>
        </w:tc>
      </w:tr>
      <w:tr w14:paraId="54EE50D8">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61913B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8E0C6D8">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795DE69">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EB9EBA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AC976AE">
            <w:pPr>
              <w:tabs>
                <w:tab w:val="left" w:pos="266"/>
              </w:tabs>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BA4C68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3AFC06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73F5A9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799E2A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4E6FF0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703856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F37CA35">
            <w:pPr>
              <w:tabs>
                <w:tab w:val="left" w:pos="266"/>
              </w:tabs>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458625D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C1B0583">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E5EBBE5">
            <w:pPr>
              <w:tabs>
                <w:tab w:val="left" w:pos="266"/>
              </w:tabs>
              <w:rPr>
                <w:rFonts w:hint="eastAsia" w:ascii="仿宋_GB2312" w:hAnsi="仿宋_GB2312" w:eastAsia="仿宋_GB2312" w:cs="仿宋_GB2312"/>
                <w:kern w:val="0"/>
                <w:szCs w:val="21"/>
              </w:rPr>
            </w:pPr>
          </w:p>
        </w:tc>
      </w:tr>
      <w:tr w14:paraId="7BB7C5E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65142AE">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E755EAB">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4EF463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C0A199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C08A5C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8CDE2B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8FA0DB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EF50EB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7BCEA5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66883A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9E0E07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341897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125C3FC6">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A9088E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BD63929">
            <w:pPr>
              <w:tabs>
                <w:tab w:val="left" w:pos="266"/>
              </w:tabs>
              <w:rPr>
                <w:rFonts w:hint="eastAsia" w:ascii="仿宋_GB2312" w:hAnsi="仿宋_GB2312" w:eastAsia="仿宋_GB2312" w:cs="仿宋_GB2312"/>
                <w:kern w:val="0"/>
                <w:szCs w:val="21"/>
              </w:rPr>
            </w:pPr>
          </w:p>
        </w:tc>
      </w:tr>
      <w:tr w14:paraId="5D486EC3">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A7A1BA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C04F79D">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F72EE3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DEAF54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428F10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38BEB4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7E8A2D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59516D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28438C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C572D2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271A23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33AEF0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4D8A5205">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C2266D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1D8ADA2">
            <w:pPr>
              <w:tabs>
                <w:tab w:val="left" w:pos="266"/>
              </w:tabs>
              <w:rPr>
                <w:rFonts w:hint="eastAsia" w:ascii="仿宋_GB2312" w:hAnsi="仿宋_GB2312" w:eastAsia="仿宋_GB2312" w:cs="仿宋_GB2312"/>
                <w:kern w:val="0"/>
                <w:szCs w:val="21"/>
              </w:rPr>
            </w:pPr>
          </w:p>
        </w:tc>
      </w:tr>
      <w:tr w14:paraId="14487A81">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4B734FC">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4D5B512">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377B3C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A2A8EC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1DB3B2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F1F7A8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87F56B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8E7EFA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E95DA9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E9D0AD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0C9246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5FF832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66BBB21">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1482B7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91910B4">
            <w:pPr>
              <w:tabs>
                <w:tab w:val="left" w:pos="266"/>
              </w:tabs>
              <w:rPr>
                <w:rFonts w:hint="eastAsia" w:ascii="仿宋_GB2312" w:hAnsi="仿宋_GB2312" w:eastAsia="仿宋_GB2312" w:cs="仿宋_GB2312"/>
                <w:kern w:val="0"/>
                <w:szCs w:val="21"/>
              </w:rPr>
            </w:pPr>
          </w:p>
        </w:tc>
      </w:tr>
      <w:tr w14:paraId="64C03EB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83BFCA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B923912">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929A95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1F2EF7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048B7A7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3CAC41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D95A13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514386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29C786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DF0648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17E5EB4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9B7BA3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F0B0B8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4FC2807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A94932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157F289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FB31C0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5FCE790">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261EAA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4AE0C3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97393D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9C831A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3726E7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996C65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DB0948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959066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435DB3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56F4A7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6F3968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9A6D5B6">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345173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55540D0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1FB0043">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4E81B09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病虫害防治</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A28B9BF">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630" w:type="pct"/>
            <w:gridSpan w:val="14"/>
            <w:vMerge w:val="restart"/>
            <w:tcBorders>
              <w:top w:val="single" w:color="000000" w:sz="4" w:space="0"/>
              <w:left w:val="single" w:color="000000" w:sz="4" w:space="0"/>
              <w:bottom w:val="single" w:color="000000" w:sz="4" w:space="0"/>
              <w:right w:val="single" w:color="000000" w:sz="4" w:space="0"/>
            </w:tcBorders>
            <w:noWrap/>
            <w:vAlign w:val="center"/>
          </w:tcPr>
          <w:p w14:paraId="6176268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乔木3次，冷季型草坪5次/年，暖季型草坪2次/年，其他植物全年2-3次，具体防治时间、频次因植物种类、天气等因素确定，病害重点参照全市病虫害防治月历及当年测报讯息实施，虫害根据监测结果及时防治</w:t>
            </w:r>
          </w:p>
        </w:tc>
      </w:tr>
      <w:tr w14:paraId="1B47E18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D9DBAA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E00B4DB">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5B2B83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1004ADEB">
            <w:pPr>
              <w:tabs>
                <w:tab w:val="left" w:pos="266"/>
              </w:tabs>
              <w:jc w:val="center"/>
              <w:rPr>
                <w:rFonts w:hint="eastAsia" w:ascii="仿宋_GB2312" w:hAnsi="仿宋_GB2312" w:eastAsia="仿宋_GB2312" w:cs="仿宋_GB2312"/>
                <w:kern w:val="0"/>
                <w:szCs w:val="21"/>
              </w:rPr>
            </w:pPr>
          </w:p>
        </w:tc>
      </w:tr>
      <w:tr w14:paraId="70BC9DC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D30A0A4">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EFE29E6">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15A103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59A31EB4">
            <w:pPr>
              <w:tabs>
                <w:tab w:val="left" w:pos="266"/>
              </w:tabs>
              <w:jc w:val="center"/>
              <w:rPr>
                <w:rFonts w:hint="eastAsia" w:ascii="仿宋_GB2312" w:hAnsi="仿宋_GB2312" w:eastAsia="仿宋_GB2312" w:cs="仿宋_GB2312"/>
                <w:kern w:val="0"/>
                <w:szCs w:val="21"/>
              </w:rPr>
            </w:pPr>
          </w:p>
        </w:tc>
      </w:tr>
      <w:tr w14:paraId="6EBEEE63">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EF9D74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B5DC9D5">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EEF610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0978B3AF">
            <w:pPr>
              <w:tabs>
                <w:tab w:val="left" w:pos="266"/>
              </w:tabs>
              <w:jc w:val="center"/>
              <w:rPr>
                <w:rFonts w:hint="eastAsia" w:ascii="仿宋_GB2312" w:hAnsi="仿宋_GB2312" w:eastAsia="仿宋_GB2312" w:cs="仿宋_GB2312"/>
                <w:kern w:val="0"/>
                <w:szCs w:val="21"/>
              </w:rPr>
            </w:pPr>
          </w:p>
        </w:tc>
      </w:tr>
      <w:tr w14:paraId="46D37B4B">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2E20E3F">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1885314">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A37799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36FA691C">
            <w:pPr>
              <w:tabs>
                <w:tab w:val="left" w:pos="266"/>
              </w:tabs>
              <w:jc w:val="center"/>
              <w:rPr>
                <w:rFonts w:hint="eastAsia" w:ascii="仿宋_GB2312" w:hAnsi="仿宋_GB2312" w:eastAsia="仿宋_GB2312" w:cs="仿宋_GB2312"/>
                <w:kern w:val="0"/>
                <w:szCs w:val="21"/>
              </w:rPr>
            </w:pPr>
          </w:p>
        </w:tc>
      </w:tr>
      <w:tr w14:paraId="411FE2BB">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A543CC5">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DB798C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0BF32FF">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0404DF34">
            <w:pPr>
              <w:tabs>
                <w:tab w:val="left" w:pos="266"/>
              </w:tabs>
              <w:jc w:val="center"/>
              <w:rPr>
                <w:rFonts w:hint="eastAsia" w:ascii="仿宋_GB2312" w:hAnsi="仿宋_GB2312" w:eastAsia="仿宋_GB2312" w:cs="仿宋_GB2312"/>
                <w:kern w:val="0"/>
                <w:szCs w:val="21"/>
              </w:rPr>
            </w:pPr>
          </w:p>
        </w:tc>
      </w:tr>
      <w:tr w14:paraId="676A2AF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E30C76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3AD0FD5">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FD1F29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02411CCC">
            <w:pPr>
              <w:tabs>
                <w:tab w:val="left" w:pos="266"/>
              </w:tabs>
              <w:jc w:val="center"/>
              <w:rPr>
                <w:rFonts w:hint="eastAsia" w:ascii="仿宋_GB2312" w:hAnsi="仿宋_GB2312" w:eastAsia="仿宋_GB2312" w:cs="仿宋_GB2312"/>
                <w:kern w:val="0"/>
                <w:szCs w:val="21"/>
              </w:rPr>
            </w:pPr>
          </w:p>
        </w:tc>
      </w:tr>
      <w:tr w14:paraId="0E8BE151">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02AD854">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6E297F4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修剪</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968E714">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DF48DBC">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9E6F146">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547B88E">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A4CAB74">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11BFD37">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E6AFAAB">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5194D6F">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3EA810E">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13E8283">
            <w:pPr>
              <w:tabs>
                <w:tab w:val="left" w:pos="266"/>
              </w:tabs>
              <w:jc w:val="center"/>
              <w:rPr>
                <w:rFonts w:hint="eastAsia" w:ascii="仿宋_GB2312" w:hAnsi="仿宋_GB2312" w:eastAsia="仿宋_GB2312" w:cs="仿宋_GB2312"/>
                <w:kern w:val="0"/>
                <w:szCs w:val="21"/>
              </w:rPr>
            </w:pPr>
          </w:p>
        </w:tc>
        <w:tc>
          <w:tcPr>
            <w:tcW w:w="928" w:type="pct"/>
            <w:gridSpan w:val="5"/>
            <w:tcBorders>
              <w:top w:val="single" w:color="000000" w:sz="4" w:space="0"/>
              <w:left w:val="single" w:color="000000" w:sz="4" w:space="0"/>
              <w:bottom w:val="single" w:color="000000" w:sz="4" w:space="0"/>
              <w:right w:val="single" w:color="000000" w:sz="4" w:space="0"/>
            </w:tcBorders>
            <w:noWrap/>
            <w:vAlign w:val="center"/>
          </w:tcPr>
          <w:p w14:paraId="5346329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12-2月份全面1次，每月考核当月进度1/3即为合格</w:t>
            </w:r>
          </w:p>
        </w:tc>
      </w:tr>
      <w:tr w14:paraId="2E52680A">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A3740DD">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AF6286D">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25099E4">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630" w:type="pct"/>
            <w:gridSpan w:val="14"/>
            <w:tcBorders>
              <w:top w:val="single" w:color="000000" w:sz="4" w:space="0"/>
              <w:left w:val="single" w:color="000000" w:sz="4" w:space="0"/>
              <w:bottom w:val="single" w:color="000000" w:sz="4" w:space="0"/>
              <w:right w:val="single" w:color="000000" w:sz="4" w:space="0"/>
            </w:tcBorders>
            <w:noWrap/>
            <w:vAlign w:val="center"/>
          </w:tcPr>
          <w:p w14:paraId="09C8478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全年2次，花灌木须保证花后修剪1次；月季例外，</w:t>
            </w:r>
          </w:p>
          <w:p w14:paraId="38E194C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全年8次（4,5,6，7,8，9,10，11）</w:t>
            </w:r>
          </w:p>
        </w:tc>
      </w:tr>
      <w:tr w14:paraId="6E87A7EB">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944CFAA">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2D60675">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1A1EDE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8B2B09A">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4825B7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49B1BDF">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FA0887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 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CF0DBF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54EF15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1394E7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90C34B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0B1E67A">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62708D6">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1DEFF7D">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09A708F5">
            <w:pPr>
              <w:tabs>
                <w:tab w:val="left" w:pos="266"/>
              </w:tabs>
              <w:jc w:val="center"/>
              <w:rPr>
                <w:rFonts w:hint="eastAsia" w:ascii="仿宋_GB2312" w:hAnsi="仿宋_GB2312" w:eastAsia="仿宋_GB2312" w:cs="仿宋_GB2312"/>
                <w:kern w:val="0"/>
                <w:szCs w:val="21"/>
              </w:rPr>
            </w:pPr>
          </w:p>
        </w:tc>
      </w:tr>
      <w:tr w14:paraId="17093022">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7BBB7D6">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98E287E">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9E8855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F143856">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DCE9C4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A8283B6">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7BD813C">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7FEBAF5">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C2351DB">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270D01A">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50A9217">
            <w:pPr>
              <w:tabs>
                <w:tab w:val="left" w:pos="266"/>
              </w:tabs>
              <w:jc w:val="center"/>
              <w:rPr>
                <w:rFonts w:hint="eastAsia" w:ascii="仿宋_GB2312" w:hAnsi="仿宋_GB2312" w:eastAsia="仿宋_GB2312" w:cs="仿宋_GB2312"/>
                <w:kern w:val="0"/>
                <w:szCs w:val="21"/>
              </w:rPr>
            </w:pPr>
          </w:p>
        </w:tc>
        <w:tc>
          <w:tcPr>
            <w:tcW w:w="666" w:type="pct"/>
            <w:gridSpan w:val="2"/>
            <w:tcBorders>
              <w:top w:val="single" w:color="000000" w:sz="4" w:space="0"/>
              <w:left w:val="single" w:color="000000" w:sz="4" w:space="0"/>
              <w:bottom w:val="single" w:color="000000" w:sz="4" w:space="0"/>
              <w:right w:val="single" w:color="000000" w:sz="4" w:space="0"/>
            </w:tcBorders>
            <w:noWrap/>
            <w:vAlign w:val="center"/>
          </w:tcPr>
          <w:p w14:paraId="4719264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09D9EDCF">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1578C7F">
            <w:pPr>
              <w:tabs>
                <w:tab w:val="left" w:pos="266"/>
              </w:tabs>
              <w:jc w:val="center"/>
              <w:rPr>
                <w:rFonts w:hint="eastAsia" w:ascii="仿宋_GB2312" w:hAnsi="仿宋_GB2312" w:eastAsia="仿宋_GB2312" w:cs="仿宋_GB2312"/>
                <w:kern w:val="0"/>
                <w:szCs w:val="21"/>
              </w:rPr>
            </w:pPr>
          </w:p>
        </w:tc>
      </w:tr>
      <w:tr w14:paraId="3BF013DF">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5177E8E">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50AD2D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C9447D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29FE6A03">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FF932B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3EED1DB">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B7C1C07">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B94DA6F">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314E376">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F1F4212">
            <w:pPr>
              <w:tabs>
                <w:tab w:val="left" w:pos="266"/>
              </w:tabs>
              <w:jc w:val="center"/>
              <w:rPr>
                <w:rFonts w:hint="eastAsia" w:ascii="仿宋_GB2312" w:hAnsi="仿宋_GB2312" w:eastAsia="仿宋_GB2312" w:cs="仿宋_GB2312"/>
                <w:kern w:val="0"/>
                <w:szCs w:val="21"/>
              </w:rPr>
            </w:pPr>
          </w:p>
        </w:tc>
        <w:tc>
          <w:tcPr>
            <w:tcW w:w="990" w:type="pct"/>
            <w:gridSpan w:val="3"/>
            <w:tcBorders>
              <w:top w:val="single" w:color="000000" w:sz="4" w:space="0"/>
              <w:left w:val="single" w:color="000000" w:sz="4" w:space="0"/>
              <w:bottom w:val="single" w:color="000000" w:sz="4" w:space="0"/>
              <w:right w:val="single" w:color="000000" w:sz="4" w:space="0"/>
            </w:tcBorders>
            <w:noWrap/>
            <w:vAlign w:val="center"/>
          </w:tcPr>
          <w:p w14:paraId="19D3B2F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C379209">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5573E14">
            <w:pPr>
              <w:tabs>
                <w:tab w:val="left" w:pos="266"/>
              </w:tabs>
              <w:jc w:val="center"/>
              <w:rPr>
                <w:rFonts w:hint="eastAsia" w:ascii="仿宋_GB2312" w:hAnsi="仿宋_GB2312" w:eastAsia="仿宋_GB2312" w:cs="仿宋_GB2312"/>
                <w:kern w:val="0"/>
                <w:szCs w:val="21"/>
              </w:rPr>
            </w:pPr>
          </w:p>
        </w:tc>
      </w:tr>
      <w:tr w14:paraId="6BF0F96C">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70573D2">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FE3DB1F">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8816DE2">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0C48EB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50D147E">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3C125F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9038D5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BCD7B5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B0EE38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E3359F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C001A27">
            <w:pPr>
              <w:tabs>
                <w:tab w:val="left" w:pos="266"/>
              </w:tabs>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A2F484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387E645">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5E98038">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7EC7A78">
            <w:pPr>
              <w:tabs>
                <w:tab w:val="left" w:pos="266"/>
              </w:tabs>
              <w:rPr>
                <w:rFonts w:hint="eastAsia" w:ascii="仿宋_GB2312" w:hAnsi="仿宋_GB2312" w:eastAsia="仿宋_GB2312" w:cs="仿宋_GB2312"/>
                <w:kern w:val="0"/>
                <w:szCs w:val="21"/>
              </w:rPr>
            </w:pPr>
          </w:p>
        </w:tc>
      </w:tr>
      <w:tr w14:paraId="35DC548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E225A9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CB9DB91">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E9B496E">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DC72E6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579" w:type="pct"/>
            <w:gridSpan w:val="2"/>
            <w:tcBorders>
              <w:top w:val="single" w:color="000000" w:sz="4" w:space="0"/>
              <w:left w:val="single" w:color="000000" w:sz="4" w:space="0"/>
              <w:bottom w:val="single" w:color="000000" w:sz="4" w:space="0"/>
              <w:right w:val="single" w:color="000000" w:sz="4" w:space="0"/>
            </w:tcBorders>
            <w:noWrap/>
            <w:vAlign w:val="center"/>
          </w:tcPr>
          <w:p w14:paraId="380642C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706167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42C0DD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E4D5CDA">
            <w:pPr>
              <w:tabs>
                <w:tab w:val="left" w:pos="266"/>
              </w:tabs>
              <w:rPr>
                <w:rFonts w:hint="eastAsia" w:ascii="仿宋_GB2312" w:hAnsi="仿宋_GB2312" w:eastAsia="仿宋_GB2312" w:cs="仿宋_GB2312"/>
                <w:kern w:val="0"/>
                <w:szCs w:val="21"/>
              </w:rPr>
            </w:pPr>
          </w:p>
        </w:tc>
        <w:tc>
          <w:tcPr>
            <w:tcW w:w="609" w:type="pct"/>
            <w:gridSpan w:val="2"/>
            <w:tcBorders>
              <w:top w:val="single" w:color="000000" w:sz="4" w:space="0"/>
              <w:left w:val="single" w:color="000000" w:sz="4" w:space="0"/>
              <w:bottom w:val="single" w:color="000000" w:sz="4" w:space="0"/>
              <w:right w:val="single" w:color="000000" w:sz="4" w:space="0"/>
            </w:tcBorders>
            <w:noWrap/>
            <w:vAlign w:val="center"/>
          </w:tcPr>
          <w:p w14:paraId="6DC989D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5F90643">
            <w:pPr>
              <w:tabs>
                <w:tab w:val="left" w:pos="266"/>
              </w:tabs>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3A209E8">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493D591">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B56C4EB">
            <w:pPr>
              <w:tabs>
                <w:tab w:val="left" w:pos="266"/>
              </w:tabs>
              <w:rPr>
                <w:rFonts w:hint="eastAsia" w:ascii="仿宋_GB2312" w:hAnsi="仿宋_GB2312" w:eastAsia="仿宋_GB2312" w:cs="仿宋_GB2312"/>
                <w:kern w:val="0"/>
                <w:szCs w:val="21"/>
              </w:rPr>
            </w:pPr>
          </w:p>
        </w:tc>
      </w:tr>
      <w:tr w14:paraId="6DC1574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68900E2">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15ABC7A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施肥（结合降雨或灌水实施）</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5FB9A4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63A74F1">
            <w:pPr>
              <w:tabs>
                <w:tab w:val="left" w:pos="266"/>
              </w:tabs>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7D4670D">
            <w:pPr>
              <w:tabs>
                <w:tab w:val="left" w:pos="266"/>
              </w:tabs>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1D21ABB">
            <w:pPr>
              <w:tabs>
                <w:tab w:val="left" w:pos="266"/>
              </w:tabs>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C005F1F">
            <w:pPr>
              <w:tabs>
                <w:tab w:val="left" w:pos="266"/>
              </w:tabs>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352D0EA">
            <w:pPr>
              <w:tabs>
                <w:tab w:val="left" w:pos="266"/>
              </w:tabs>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auto" w:sz="4" w:space="0"/>
              <w:right w:val="single" w:color="000000" w:sz="4" w:space="0"/>
            </w:tcBorders>
            <w:noWrap/>
            <w:vAlign w:val="center"/>
          </w:tcPr>
          <w:p w14:paraId="27C0A524">
            <w:pPr>
              <w:tabs>
                <w:tab w:val="left" w:pos="266"/>
              </w:tabs>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auto" w:sz="4" w:space="0"/>
              <w:right w:val="single" w:color="000000" w:sz="4" w:space="0"/>
            </w:tcBorders>
            <w:noWrap/>
            <w:vAlign w:val="center"/>
          </w:tcPr>
          <w:p w14:paraId="7804E18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auto" w:sz="4" w:space="0"/>
              <w:right w:val="single" w:color="000000" w:sz="4" w:space="0"/>
            </w:tcBorders>
            <w:noWrap/>
            <w:vAlign w:val="center"/>
          </w:tcPr>
          <w:p w14:paraId="0F29B3AB">
            <w:pPr>
              <w:tabs>
                <w:tab w:val="left" w:pos="266"/>
              </w:tabs>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B01C945">
            <w:pPr>
              <w:tabs>
                <w:tab w:val="left" w:pos="266"/>
              </w:tabs>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F4FF332">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8AFC24E">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C84FE4B">
            <w:pPr>
              <w:tabs>
                <w:tab w:val="left" w:pos="266"/>
              </w:tabs>
              <w:rPr>
                <w:rFonts w:hint="eastAsia" w:ascii="仿宋_GB2312" w:hAnsi="仿宋_GB2312" w:eastAsia="仿宋_GB2312" w:cs="仿宋_GB2312"/>
                <w:kern w:val="0"/>
                <w:szCs w:val="21"/>
              </w:rPr>
            </w:pPr>
          </w:p>
        </w:tc>
      </w:tr>
      <w:tr w14:paraId="0922ECA1">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2AE47EE">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762A1EB">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F18E084">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3E48DBB">
            <w:pPr>
              <w:tabs>
                <w:tab w:val="left" w:pos="266"/>
              </w:tabs>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A8C869A">
            <w:pPr>
              <w:tabs>
                <w:tab w:val="left" w:pos="266"/>
              </w:tabs>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CF344E8">
            <w:pPr>
              <w:tabs>
                <w:tab w:val="left" w:pos="266"/>
              </w:tabs>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D37888A">
            <w:pPr>
              <w:tabs>
                <w:tab w:val="left" w:pos="266"/>
              </w:tabs>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auto" w:sz="4" w:space="0"/>
            </w:tcBorders>
            <w:noWrap/>
            <w:vAlign w:val="center"/>
          </w:tcPr>
          <w:p w14:paraId="1810BE39">
            <w:pPr>
              <w:tabs>
                <w:tab w:val="left" w:pos="266"/>
              </w:tabs>
              <w:rPr>
                <w:rFonts w:hint="eastAsia" w:ascii="仿宋_GB2312" w:hAnsi="仿宋_GB2312" w:eastAsia="仿宋_GB2312" w:cs="仿宋_GB2312"/>
                <w:kern w:val="0"/>
                <w:szCs w:val="21"/>
              </w:rPr>
            </w:pPr>
          </w:p>
        </w:tc>
        <w:tc>
          <w:tcPr>
            <w:tcW w:w="277" w:type="pct"/>
            <w:tcBorders>
              <w:top w:val="single" w:color="auto" w:sz="4" w:space="0"/>
              <w:left w:val="single" w:color="auto" w:sz="4" w:space="0"/>
              <w:bottom w:val="single" w:color="auto" w:sz="4" w:space="0"/>
              <w:right w:val="single" w:color="auto" w:sz="4" w:space="0"/>
            </w:tcBorders>
            <w:noWrap/>
            <w:vAlign w:val="center"/>
          </w:tcPr>
          <w:p w14:paraId="5C72A87D">
            <w:pPr>
              <w:tabs>
                <w:tab w:val="left" w:pos="266"/>
              </w:tabs>
              <w:rPr>
                <w:rFonts w:hint="eastAsia" w:ascii="仿宋_GB2312" w:hAnsi="仿宋_GB2312" w:eastAsia="仿宋_GB2312" w:cs="仿宋_GB2312"/>
                <w:kern w:val="0"/>
                <w:szCs w:val="21"/>
              </w:rPr>
            </w:pPr>
          </w:p>
        </w:tc>
        <w:tc>
          <w:tcPr>
            <w:tcW w:w="286" w:type="pct"/>
            <w:tcBorders>
              <w:top w:val="single" w:color="auto" w:sz="4" w:space="0"/>
              <w:left w:val="single" w:color="auto" w:sz="4" w:space="0"/>
              <w:bottom w:val="single" w:color="auto" w:sz="4" w:space="0"/>
              <w:right w:val="single" w:color="auto" w:sz="4" w:space="0"/>
            </w:tcBorders>
            <w:noWrap/>
            <w:vAlign w:val="center"/>
          </w:tcPr>
          <w:p w14:paraId="347BF71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auto" w:sz="4" w:space="0"/>
              <w:left w:val="single" w:color="auto" w:sz="4" w:space="0"/>
              <w:bottom w:val="single" w:color="auto" w:sz="4" w:space="0"/>
              <w:right w:val="single" w:color="auto" w:sz="4" w:space="0"/>
            </w:tcBorders>
            <w:noWrap/>
            <w:vAlign w:val="center"/>
          </w:tcPr>
          <w:p w14:paraId="070FEE83">
            <w:pPr>
              <w:tabs>
                <w:tab w:val="left" w:pos="266"/>
              </w:tabs>
              <w:rPr>
                <w:rFonts w:hint="eastAsia" w:ascii="仿宋_GB2312" w:hAnsi="仿宋_GB2312" w:eastAsia="仿宋_GB2312" w:cs="仿宋_GB2312"/>
                <w:kern w:val="0"/>
                <w:szCs w:val="21"/>
              </w:rPr>
            </w:pPr>
          </w:p>
        </w:tc>
        <w:tc>
          <w:tcPr>
            <w:tcW w:w="337" w:type="pct"/>
            <w:tcBorders>
              <w:top w:val="single" w:color="000000" w:sz="4" w:space="0"/>
              <w:left w:val="single" w:color="auto" w:sz="4" w:space="0"/>
              <w:bottom w:val="single" w:color="000000" w:sz="4" w:space="0"/>
              <w:right w:val="single" w:color="000000" w:sz="4" w:space="0"/>
            </w:tcBorders>
            <w:noWrap/>
            <w:vAlign w:val="center"/>
          </w:tcPr>
          <w:p w14:paraId="4D5AC5ED">
            <w:pPr>
              <w:tabs>
                <w:tab w:val="left" w:pos="266"/>
              </w:tabs>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F5A87B5">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28DCE95">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8A5AD84">
            <w:pPr>
              <w:tabs>
                <w:tab w:val="left" w:pos="266"/>
              </w:tabs>
              <w:rPr>
                <w:rFonts w:hint="eastAsia" w:ascii="仿宋_GB2312" w:hAnsi="仿宋_GB2312" w:eastAsia="仿宋_GB2312" w:cs="仿宋_GB2312"/>
                <w:kern w:val="0"/>
                <w:szCs w:val="21"/>
              </w:rPr>
            </w:pPr>
          </w:p>
        </w:tc>
      </w:tr>
      <w:tr w14:paraId="615AB79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32412D4">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984ED43">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19857C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F84E46C">
            <w:pPr>
              <w:tabs>
                <w:tab w:val="left" w:pos="266"/>
              </w:tabs>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B57D72F">
            <w:pPr>
              <w:tabs>
                <w:tab w:val="left" w:pos="266"/>
              </w:tabs>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72DFB87">
            <w:pPr>
              <w:tabs>
                <w:tab w:val="left" w:pos="266"/>
              </w:tabs>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2DFDE8A">
            <w:pPr>
              <w:tabs>
                <w:tab w:val="left" w:pos="266"/>
              </w:tabs>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CFEFE62">
            <w:pPr>
              <w:tabs>
                <w:tab w:val="left" w:pos="266"/>
              </w:tabs>
              <w:rPr>
                <w:rFonts w:hint="eastAsia" w:ascii="仿宋_GB2312" w:hAnsi="仿宋_GB2312" w:eastAsia="仿宋_GB2312" w:cs="仿宋_GB2312"/>
                <w:kern w:val="0"/>
                <w:szCs w:val="21"/>
              </w:rPr>
            </w:pPr>
          </w:p>
        </w:tc>
        <w:tc>
          <w:tcPr>
            <w:tcW w:w="277" w:type="pct"/>
            <w:tcBorders>
              <w:top w:val="single" w:color="auto" w:sz="4" w:space="0"/>
              <w:left w:val="single" w:color="000000" w:sz="4" w:space="0"/>
              <w:bottom w:val="single" w:color="000000" w:sz="4" w:space="0"/>
              <w:right w:val="single" w:color="000000" w:sz="4" w:space="0"/>
            </w:tcBorders>
            <w:noWrap/>
            <w:vAlign w:val="center"/>
          </w:tcPr>
          <w:p w14:paraId="51CDEE1F">
            <w:pPr>
              <w:tabs>
                <w:tab w:val="left" w:pos="266"/>
              </w:tabs>
              <w:rPr>
                <w:rFonts w:hint="eastAsia" w:ascii="仿宋_GB2312" w:hAnsi="仿宋_GB2312" w:eastAsia="仿宋_GB2312" w:cs="仿宋_GB2312"/>
                <w:kern w:val="0"/>
                <w:szCs w:val="21"/>
              </w:rPr>
            </w:pPr>
          </w:p>
        </w:tc>
        <w:tc>
          <w:tcPr>
            <w:tcW w:w="286" w:type="pct"/>
            <w:tcBorders>
              <w:top w:val="single" w:color="auto" w:sz="4" w:space="0"/>
              <w:left w:val="single" w:color="000000" w:sz="4" w:space="0"/>
              <w:bottom w:val="single" w:color="000000" w:sz="4" w:space="0"/>
              <w:right w:val="single" w:color="000000" w:sz="4" w:space="0"/>
            </w:tcBorders>
            <w:noWrap/>
            <w:vAlign w:val="center"/>
          </w:tcPr>
          <w:p w14:paraId="7D9C1A1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auto" w:sz="4" w:space="0"/>
              <w:left w:val="single" w:color="000000" w:sz="4" w:space="0"/>
              <w:bottom w:val="single" w:color="000000" w:sz="4" w:space="0"/>
              <w:right w:val="single" w:color="000000" w:sz="4" w:space="0"/>
            </w:tcBorders>
            <w:noWrap/>
            <w:vAlign w:val="center"/>
          </w:tcPr>
          <w:p w14:paraId="57280BF8">
            <w:pPr>
              <w:tabs>
                <w:tab w:val="left" w:pos="266"/>
              </w:tabs>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DB233A2">
            <w:pPr>
              <w:tabs>
                <w:tab w:val="left" w:pos="266"/>
              </w:tabs>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1540878E">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0E4B3688">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33A11DA">
            <w:pPr>
              <w:tabs>
                <w:tab w:val="left" w:pos="266"/>
              </w:tabs>
              <w:rPr>
                <w:rFonts w:hint="eastAsia" w:ascii="仿宋_GB2312" w:hAnsi="仿宋_GB2312" w:eastAsia="仿宋_GB2312" w:cs="仿宋_GB2312"/>
                <w:kern w:val="0"/>
                <w:szCs w:val="21"/>
              </w:rPr>
            </w:pPr>
          </w:p>
        </w:tc>
      </w:tr>
      <w:tr w14:paraId="2A9E109B">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19A3802">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510EBA5">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2C9903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nil"/>
              <w:right w:val="single" w:color="000000" w:sz="4" w:space="0"/>
            </w:tcBorders>
            <w:noWrap/>
            <w:vAlign w:val="center"/>
          </w:tcPr>
          <w:p w14:paraId="0B86D00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A562EC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nil"/>
              <w:right w:val="single" w:color="000000" w:sz="4" w:space="0"/>
            </w:tcBorders>
            <w:noWrap/>
            <w:vAlign w:val="center"/>
          </w:tcPr>
          <w:p w14:paraId="1EBA2D1B">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32EC788">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8EF8CE8">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CC44133">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nil"/>
              <w:right w:val="single" w:color="000000" w:sz="4" w:space="0"/>
            </w:tcBorders>
            <w:noWrap/>
            <w:vAlign w:val="center"/>
          </w:tcPr>
          <w:p w14:paraId="138D515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nil"/>
              <w:right w:val="single" w:color="000000" w:sz="4" w:space="0"/>
            </w:tcBorders>
            <w:noWrap/>
            <w:vAlign w:val="center"/>
          </w:tcPr>
          <w:p w14:paraId="0DD1ED0C">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5BCAB0F">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6A45AA6F">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1F596F3">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BE632B7">
            <w:pPr>
              <w:tabs>
                <w:tab w:val="left" w:pos="266"/>
              </w:tabs>
              <w:jc w:val="center"/>
              <w:rPr>
                <w:rFonts w:hint="eastAsia" w:ascii="仿宋_GB2312" w:hAnsi="仿宋_GB2312" w:eastAsia="仿宋_GB2312" w:cs="仿宋_GB2312"/>
                <w:kern w:val="0"/>
                <w:szCs w:val="21"/>
              </w:rPr>
            </w:pPr>
          </w:p>
        </w:tc>
      </w:tr>
      <w:tr w14:paraId="4085871D">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BCB3F8D">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2DDDD05">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2C9870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nil"/>
              <w:right w:val="single" w:color="000000" w:sz="4" w:space="0"/>
            </w:tcBorders>
            <w:noWrap/>
            <w:vAlign w:val="center"/>
          </w:tcPr>
          <w:p w14:paraId="27BC3A7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DD136F8">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nil"/>
              <w:right w:val="single" w:color="000000" w:sz="4" w:space="0"/>
            </w:tcBorders>
            <w:noWrap/>
            <w:vAlign w:val="center"/>
          </w:tcPr>
          <w:p w14:paraId="7A33AC1D">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9697C77">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214C176">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1FC5C87">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nil"/>
              <w:right w:val="single" w:color="000000" w:sz="4" w:space="0"/>
            </w:tcBorders>
            <w:noWrap/>
            <w:vAlign w:val="center"/>
          </w:tcPr>
          <w:p w14:paraId="191C281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nil"/>
              <w:right w:val="single" w:color="000000" w:sz="4" w:space="0"/>
            </w:tcBorders>
            <w:noWrap/>
            <w:vAlign w:val="center"/>
          </w:tcPr>
          <w:p w14:paraId="7D0E7095">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324EE18">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0B3278EB">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1BC2219">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728B67E">
            <w:pPr>
              <w:tabs>
                <w:tab w:val="left" w:pos="266"/>
              </w:tabs>
              <w:jc w:val="center"/>
              <w:rPr>
                <w:rFonts w:hint="eastAsia" w:ascii="仿宋_GB2312" w:hAnsi="仿宋_GB2312" w:eastAsia="仿宋_GB2312" w:cs="仿宋_GB2312"/>
                <w:kern w:val="0"/>
                <w:szCs w:val="21"/>
              </w:rPr>
            </w:pPr>
          </w:p>
        </w:tc>
      </w:tr>
      <w:tr w14:paraId="2759A8E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17250F6">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E9B01C6">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1A436B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25D3F6A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C4A3E17">
            <w:pPr>
              <w:tabs>
                <w:tab w:val="left" w:pos="266"/>
              </w:tabs>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264B89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DBE050B">
            <w:pPr>
              <w:tabs>
                <w:tab w:val="left" w:pos="266"/>
              </w:tabs>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5008E1C">
            <w:pPr>
              <w:tabs>
                <w:tab w:val="left" w:pos="266"/>
              </w:tabs>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FAEA956">
            <w:pPr>
              <w:tabs>
                <w:tab w:val="left" w:pos="266"/>
              </w:tabs>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AC8CFE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CB5BAE1">
            <w:pPr>
              <w:tabs>
                <w:tab w:val="left" w:pos="266"/>
              </w:tabs>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A29F05F">
            <w:pPr>
              <w:tabs>
                <w:tab w:val="left" w:pos="266"/>
              </w:tabs>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0CBE9563">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7944889">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680C895">
            <w:pPr>
              <w:tabs>
                <w:tab w:val="left" w:pos="266"/>
              </w:tabs>
              <w:rPr>
                <w:rFonts w:hint="eastAsia" w:ascii="仿宋_GB2312" w:hAnsi="仿宋_GB2312" w:eastAsia="仿宋_GB2312" w:cs="仿宋_GB2312"/>
                <w:kern w:val="0"/>
                <w:szCs w:val="21"/>
              </w:rPr>
            </w:pPr>
          </w:p>
        </w:tc>
      </w:tr>
      <w:tr w14:paraId="73F13896">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EE21442">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CD79CF7">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9AECE1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nil"/>
              <w:right w:val="single" w:color="000000" w:sz="4" w:space="0"/>
            </w:tcBorders>
            <w:noWrap/>
            <w:vAlign w:val="center"/>
          </w:tcPr>
          <w:p w14:paraId="293C308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E245664">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81E0CF6">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1E5C27C">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BF3277D">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C1EFA33">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338DE3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D4BE0E4">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7FB5763">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1A2ECE11">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B5781BC">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5ADF3824">
            <w:pPr>
              <w:tabs>
                <w:tab w:val="left" w:pos="266"/>
              </w:tabs>
              <w:jc w:val="center"/>
              <w:rPr>
                <w:rFonts w:hint="eastAsia" w:ascii="仿宋_GB2312" w:hAnsi="仿宋_GB2312" w:eastAsia="仿宋_GB2312" w:cs="仿宋_GB2312"/>
                <w:kern w:val="0"/>
                <w:szCs w:val="21"/>
              </w:rPr>
            </w:pPr>
          </w:p>
        </w:tc>
      </w:tr>
      <w:tr w14:paraId="08857FA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6D9C39D">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1CA754F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清掏</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6B2FA2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63FCDA6">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D03800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23B02D5">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88DFD91">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92FA55A">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E895DF7">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5879B8D">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BCEC4D0">
            <w:pPr>
              <w:tabs>
                <w:tab w:val="left" w:pos="266"/>
              </w:tabs>
              <w:jc w:val="center"/>
              <w:rPr>
                <w:rFonts w:hint="eastAsia" w:ascii="仿宋_GB2312" w:hAnsi="仿宋_GB2312" w:eastAsia="仿宋_GB2312" w:cs="仿宋_GB2312"/>
                <w:kern w:val="0"/>
                <w:szCs w:val="21"/>
              </w:rPr>
            </w:pPr>
          </w:p>
        </w:tc>
        <w:tc>
          <w:tcPr>
            <w:tcW w:w="337" w:type="pct"/>
            <w:vMerge w:val="restart"/>
            <w:tcBorders>
              <w:top w:val="single" w:color="000000" w:sz="4" w:space="0"/>
              <w:left w:val="single" w:color="000000" w:sz="4" w:space="0"/>
              <w:right w:val="single" w:color="000000" w:sz="4" w:space="0"/>
            </w:tcBorders>
            <w:noWrap/>
            <w:vAlign w:val="center"/>
          </w:tcPr>
          <w:p w14:paraId="63033CC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vMerge w:val="restart"/>
            <w:tcBorders>
              <w:top w:val="single" w:color="000000" w:sz="4" w:space="0"/>
              <w:left w:val="single" w:color="000000" w:sz="4" w:space="0"/>
              <w:bottom w:val="single" w:color="000000" w:sz="4" w:space="0"/>
              <w:right w:val="single" w:color="000000" w:sz="4" w:space="0"/>
            </w:tcBorders>
            <w:noWrap/>
            <w:vAlign w:val="center"/>
          </w:tcPr>
          <w:p w14:paraId="1D37D94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B5B9C57">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F6DB92B">
            <w:pPr>
              <w:tabs>
                <w:tab w:val="left" w:pos="266"/>
              </w:tabs>
              <w:jc w:val="center"/>
              <w:rPr>
                <w:rFonts w:hint="eastAsia" w:ascii="仿宋_GB2312" w:hAnsi="仿宋_GB2312" w:eastAsia="仿宋_GB2312" w:cs="仿宋_GB2312"/>
                <w:kern w:val="0"/>
                <w:szCs w:val="21"/>
              </w:rPr>
            </w:pPr>
          </w:p>
        </w:tc>
      </w:tr>
      <w:tr w14:paraId="6A625166">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BAFD5A4">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E807FB5">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7DE1422">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D885FC4">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0A8E923">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A3F73E5">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9BFD3A4">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A60F552">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AB24C9C">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C489ABB">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D92052A">
            <w:pPr>
              <w:tabs>
                <w:tab w:val="left" w:pos="266"/>
              </w:tabs>
              <w:jc w:val="center"/>
              <w:rPr>
                <w:rFonts w:hint="eastAsia" w:ascii="仿宋_GB2312" w:hAnsi="仿宋_GB2312" w:eastAsia="仿宋_GB2312" w:cs="仿宋_GB2312"/>
                <w:kern w:val="0"/>
                <w:szCs w:val="21"/>
              </w:rPr>
            </w:pPr>
          </w:p>
        </w:tc>
        <w:tc>
          <w:tcPr>
            <w:tcW w:w="337" w:type="pct"/>
            <w:vMerge w:val="continue"/>
            <w:tcBorders>
              <w:left w:val="single" w:color="000000" w:sz="4" w:space="0"/>
              <w:bottom w:val="single" w:color="000000" w:sz="4" w:space="0"/>
              <w:right w:val="single" w:color="000000" w:sz="4" w:space="0"/>
            </w:tcBorders>
            <w:noWrap/>
            <w:vAlign w:val="center"/>
          </w:tcPr>
          <w:p w14:paraId="5FDE8A54">
            <w:pPr>
              <w:tabs>
                <w:tab w:val="left" w:pos="266"/>
              </w:tabs>
              <w:jc w:val="center"/>
              <w:rPr>
                <w:rFonts w:hint="eastAsia" w:ascii="仿宋_GB2312" w:hAnsi="仿宋_GB2312" w:eastAsia="仿宋_GB2312" w:cs="仿宋_GB2312"/>
                <w:kern w:val="0"/>
                <w:szCs w:val="21"/>
              </w:rPr>
            </w:pPr>
          </w:p>
        </w:tc>
        <w:tc>
          <w:tcPr>
            <w:tcW w:w="329" w:type="pct"/>
            <w:vMerge w:val="continue"/>
            <w:tcBorders>
              <w:top w:val="single" w:color="000000" w:sz="4" w:space="0"/>
              <w:left w:val="single" w:color="000000" w:sz="4" w:space="0"/>
              <w:bottom w:val="single" w:color="000000" w:sz="4" w:space="0"/>
              <w:right w:val="single" w:color="000000" w:sz="4" w:space="0"/>
            </w:tcBorders>
            <w:noWrap/>
            <w:vAlign w:val="center"/>
          </w:tcPr>
          <w:p w14:paraId="5B1C400C">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9D162D3">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C173EC2">
            <w:pPr>
              <w:tabs>
                <w:tab w:val="left" w:pos="266"/>
              </w:tabs>
              <w:jc w:val="center"/>
              <w:rPr>
                <w:rFonts w:hint="eastAsia" w:ascii="仿宋_GB2312" w:hAnsi="仿宋_GB2312" w:eastAsia="仿宋_GB2312" w:cs="仿宋_GB2312"/>
                <w:kern w:val="0"/>
                <w:szCs w:val="21"/>
              </w:rPr>
            </w:pPr>
          </w:p>
        </w:tc>
      </w:tr>
      <w:tr w14:paraId="67A25E48">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4C818A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A651A79">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B947E0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630" w:type="pct"/>
            <w:gridSpan w:val="14"/>
            <w:vMerge w:val="restart"/>
            <w:tcBorders>
              <w:top w:val="single" w:color="000000" w:sz="4" w:space="0"/>
              <w:left w:val="single" w:color="000000" w:sz="4" w:space="0"/>
              <w:bottom w:val="single" w:color="000000" w:sz="4" w:space="0"/>
              <w:right w:val="single" w:color="000000" w:sz="4" w:space="0"/>
            </w:tcBorders>
            <w:noWrap/>
            <w:vAlign w:val="center"/>
          </w:tcPr>
          <w:p w14:paraId="62766CAE">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一般情况下，5-7月份1次，11-12月份1次。按栽植区域具体分为：落叶树种落叶期每年1次，常绿树种落叶期1次，具体以落叶起止时间为准；栽植法桐区域或邻近法桐栽植区域全年6次，其中法桐落叶季（12-3月）每月1次，兼有以上2-3种情况的路段可结合进行。合计全年共2-6次。</w:t>
            </w:r>
          </w:p>
        </w:tc>
      </w:tr>
      <w:tr w14:paraId="36AE87A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E72ADA5">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A88B4FB">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DA3FCD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7AFED1B6">
            <w:pPr>
              <w:tabs>
                <w:tab w:val="left" w:pos="266"/>
              </w:tabs>
              <w:jc w:val="center"/>
              <w:rPr>
                <w:rFonts w:hint="eastAsia" w:ascii="仿宋_GB2312" w:hAnsi="仿宋_GB2312" w:eastAsia="仿宋_GB2312" w:cs="仿宋_GB2312"/>
                <w:kern w:val="0"/>
                <w:szCs w:val="21"/>
              </w:rPr>
            </w:pPr>
          </w:p>
        </w:tc>
      </w:tr>
      <w:tr w14:paraId="2C0222F8">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E4156D7">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960C1E2">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241507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608AE7C8">
            <w:pPr>
              <w:tabs>
                <w:tab w:val="left" w:pos="266"/>
              </w:tabs>
              <w:jc w:val="center"/>
              <w:rPr>
                <w:rFonts w:hint="eastAsia" w:ascii="仿宋_GB2312" w:hAnsi="仿宋_GB2312" w:eastAsia="仿宋_GB2312" w:cs="仿宋_GB2312"/>
                <w:kern w:val="0"/>
                <w:szCs w:val="21"/>
              </w:rPr>
            </w:pPr>
          </w:p>
        </w:tc>
      </w:tr>
      <w:tr w14:paraId="5AE1D6A6">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0588EC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5B352B8">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10FC90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3D261A48">
            <w:pPr>
              <w:tabs>
                <w:tab w:val="left" w:pos="266"/>
              </w:tabs>
              <w:jc w:val="center"/>
              <w:rPr>
                <w:rFonts w:hint="eastAsia" w:ascii="仿宋_GB2312" w:hAnsi="仿宋_GB2312" w:eastAsia="仿宋_GB2312" w:cs="仿宋_GB2312"/>
                <w:kern w:val="0"/>
                <w:szCs w:val="21"/>
              </w:rPr>
            </w:pPr>
          </w:p>
        </w:tc>
      </w:tr>
      <w:tr w14:paraId="134E5D73">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59D8965">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64D85D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3DF9FB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2FAA015F">
            <w:pPr>
              <w:tabs>
                <w:tab w:val="left" w:pos="266"/>
              </w:tabs>
              <w:jc w:val="center"/>
              <w:rPr>
                <w:rFonts w:hint="eastAsia" w:ascii="仿宋_GB2312" w:hAnsi="仿宋_GB2312" w:eastAsia="仿宋_GB2312" w:cs="仿宋_GB2312"/>
                <w:kern w:val="0"/>
                <w:szCs w:val="21"/>
              </w:rPr>
            </w:pPr>
          </w:p>
        </w:tc>
      </w:tr>
      <w:tr w14:paraId="733CCBF1">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3C05235">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3E4B8CA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除草</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97E5A5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14F9C61">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726E207">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F0F982E">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6440958">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7DC2CF7">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2DFEEC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D87EF38">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905FF8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478C672">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48595FD8">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98AC691">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2CDBDDB">
            <w:pPr>
              <w:tabs>
                <w:tab w:val="left" w:pos="266"/>
              </w:tabs>
              <w:jc w:val="center"/>
              <w:rPr>
                <w:rFonts w:hint="eastAsia" w:ascii="仿宋_GB2312" w:hAnsi="仿宋_GB2312" w:eastAsia="仿宋_GB2312" w:cs="仿宋_GB2312"/>
                <w:kern w:val="0"/>
                <w:szCs w:val="21"/>
              </w:rPr>
            </w:pPr>
          </w:p>
        </w:tc>
      </w:tr>
      <w:tr w14:paraId="290E21F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FDDA64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7AF6D67">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7350E5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2113801">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8EC37FE">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C6DEBEA">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B3F276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C5BA8A6">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4FF0EB8">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0C6ABA1">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795299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DE070B3">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1B8C2BC">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DEA87F0">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864291F">
            <w:pPr>
              <w:tabs>
                <w:tab w:val="left" w:pos="266"/>
              </w:tabs>
              <w:jc w:val="center"/>
              <w:rPr>
                <w:rFonts w:hint="eastAsia" w:ascii="仿宋_GB2312" w:hAnsi="仿宋_GB2312" w:eastAsia="仿宋_GB2312" w:cs="仿宋_GB2312"/>
                <w:kern w:val="0"/>
                <w:szCs w:val="21"/>
              </w:rPr>
            </w:pPr>
          </w:p>
        </w:tc>
      </w:tr>
      <w:tr w14:paraId="558B5E7A">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AAD8D7D">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00F7E9C">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64159EE">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802CBCA">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B6351C2">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595184E">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0232FD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024FDCCE">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B99537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6E5F65B">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6A2513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EB66FA9">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059AD0DC">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FF7EE15">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542E768">
            <w:pPr>
              <w:tabs>
                <w:tab w:val="left" w:pos="266"/>
              </w:tabs>
              <w:jc w:val="center"/>
              <w:rPr>
                <w:rFonts w:hint="eastAsia" w:ascii="仿宋_GB2312" w:hAnsi="仿宋_GB2312" w:eastAsia="仿宋_GB2312" w:cs="仿宋_GB2312"/>
                <w:kern w:val="0"/>
                <w:szCs w:val="21"/>
              </w:rPr>
            </w:pPr>
          </w:p>
        </w:tc>
      </w:tr>
      <w:tr w14:paraId="4543FCA3">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3EC591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E2C3321">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587C1C8">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CF8A92D">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01562A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BD19CAC">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5B364EE">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080E176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32C9C8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D0FBC40">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3F1026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19999D2">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48232EB1">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75D3A9C">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4843488">
            <w:pPr>
              <w:tabs>
                <w:tab w:val="left" w:pos="266"/>
              </w:tabs>
              <w:jc w:val="center"/>
              <w:rPr>
                <w:rFonts w:hint="eastAsia" w:ascii="仿宋_GB2312" w:hAnsi="仿宋_GB2312" w:eastAsia="仿宋_GB2312" w:cs="仿宋_GB2312"/>
                <w:kern w:val="0"/>
                <w:szCs w:val="21"/>
              </w:rPr>
            </w:pPr>
          </w:p>
        </w:tc>
      </w:tr>
      <w:tr w14:paraId="42F4D3A6">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BAF5F2C">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69796BB">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70AF7B9">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ED1CE2B">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582382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3C94292">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49B9924">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5A3C23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C63AD4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4EE67AD">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660BCE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B2E564D">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46EE5B0B">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C552C2E">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887657B">
            <w:pPr>
              <w:tabs>
                <w:tab w:val="left" w:pos="266"/>
              </w:tabs>
              <w:jc w:val="center"/>
              <w:rPr>
                <w:rFonts w:hint="eastAsia" w:ascii="仿宋_GB2312" w:hAnsi="仿宋_GB2312" w:eastAsia="仿宋_GB2312" w:cs="仿宋_GB2312"/>
                <w:kern w:val="0"/>
                <w:szCs w:val="21"/>
              </w:rPr>
            </w:pPr>
          </w:p>
        </w:tc>
      </w:tr>
      <w:tr w14:paraId="37A8C786">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EA2A5A4">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B7AE535">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FA0C14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152107E">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9B590F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4B67E28">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219A905">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62238C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D4B687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362E4D2">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95079B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719CDAA">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93F9B44">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279C88C">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592D282C">
            <w:pPr>
              <w:tabs>
                <w:tab w:val="left" w:pos="266"/>
              </w:tabs>
              <w:jc w:val="center"/>
              <w:rPr>
                <w:rFonts w:hint="eastAsia" w:ascii="仿宋_GB2312" w:hAnsi="仿宋_GB2312" w:eastAsia="仿宋_GB2312" w:cs="仿宋_GB2312"/>
                <w:kern w:val="0"/>
                <w:szCs w:val="21"/>
              </w:rPr>
            </w:pPr>
          </w:p>
        </w:tc>
      </w:tr>
      <w:tr w14:paraId="3DE99F5E">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3603A77">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4E99CD8">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F0ED01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AAAB971">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990BE4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7AD0F17">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F2DB4ED">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F0CACB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FAC406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010EBF5">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930F3E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E3FA218">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E046379">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CAA9C57">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F2183DC">
            <w:pPr>
              <w:tabs>
                <w:tab w:val="left" w:pos="266"/>
              </w:tabs>
              <w:jc w:val="center"/>
              <w:rPr>
                <w:rFonts w:hint="eastAsia" w:ascii="仿宋_GB2312" w:hAnsi="仿宋_GB2312" w:eastAsia="仿宋_GB2312" w:cs="仿宋_GB2312"/>
                <w:kern w:val="0"/>
                <w:szCs w:val="21"/>
              </w:rPr>
            </w:pPr>
          </w:p>
        </w:tc>
      </w:tr>
      <w:tr w14:paraId="7A012A38">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E9F699A">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4C37FF6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水域管理</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A3FA80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水域保洁管理</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5432E5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0FEE771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E627E1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0746C7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0EE695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2CDFEA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669439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≥25</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C45640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≥25</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D626D8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≥30</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4B5112F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≥30</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F3102D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10D3D7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r>
      <w:tr w14:paraId="654BD0DA">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4565B3E">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0926D0F">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092CFA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水生植物管理</w:t>
            </w:r>
          </w:p>
        </w:tc>
        <w:tc>
          <w:tcPr>
            <w:tcW w:w="2364" w:type="pct"/>
            <w:gridSpan w:val="8"/>
            <w:tcBorders>
              <w:top w:val="single" w:color="000000" w:sz="4" w:space="0"/>
              <w:left w:val="single" w:color="000000" w:sz="4" w:space="0"/>
              <w:bottom w:val="single" w:color="000000" w:sz="4" w:space="0"/>
              <w:right w:val="single" w:color="000000" w:sz="4" w:space="0"/>
            </w:tcBorders>
            <w:noWrap/>
            <w:vAlign w:val="center"/>
          </w:tcPr>
          <w:p w14:paraId="23AC872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根据需要进行病虫害防治，喷施钾肥、多效唑等防倒伏</w:t>
            </w:r>
          </w:p>
        </w:tc>
        <w:tc>
          <w:tcPr>
            <w:tcW w:w="666" w:type="pct"/>
            <w:gridSpan w:val="2"/>
            <w:tcBorders>
              <w:top w:val="single" w:color="000000" w:sz="4" w:space="0"/>
              <w:left w:val="single" w:color="000000" w:sz="4" w:space="0"/>
              <w:bottom w:val="single" w:color="000000" w:sz="4" w:space="0"/>
              <w:right w:val="single" w:color="000000" w:sz="4" w:space="0"/>
            </w:tcBorders>
            <w:noWrap/>
            <w:vAlign w:val="center"/>
          </w:tcPr>
          <w:p w14:paraId="3B10F3B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割除地上干枯，12月检查</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09483A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66A73E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w:t>
            </w:r>
          </w:p>
        </w:tc>
      </w:tr>
      <w:tr w14:paraId="3BE36427">
        <w:tblPrEx>
          <w:tblCellMar>
            <w:top w:w="0" w:type="dxa"/>
            <w:left w:w="108" w:type="dxa"/>
            <w:bottom w:w="0" w:type="dxa"/>
            <w:right w:w="108" w:type="dxa"/>
          </w:tblCellMar>
        </w:tblPrEx>
        <w:trPr>
          <w:trHeight w:val="23" w:hRule="atLeast"/>
          <w:jc w:val="center"/>
        </w:trPr>
        <w:tc>
          <w:tcPr>
            <w:tcW w:w="236" w:type="pct"/>
            <w:vMerge w:val="restart"/>
            <w:tcBorders>
              <w:top w:val="single" w:color="000000" w:sz="4" w:space="0"/>
              <w:left w:val="single" w:color="000000" w:sz="4" w:space="0"/>
              <w:bottom w:val="single" w:color="000000" w:sz="4" w:space="0"/>
              <w:right w:val="single" w:color="000000" w:sz="4" w:space="0"/>
            </w:tcBorders>
            <w:noWrap/>
            <w:vAlign w:val="center"/>
          </w:tcPr>
          <w:p w14:paraId="517A93A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B档</w:t>
            </w: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5C446129">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浇水</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20D1B4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DA621E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87EF907">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6C2CD53">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148D6F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5AD3F6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0E8F2D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C9AB611">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0E9FB0B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107D05D">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A33A692">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FDBACCA">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ED3B63C">
            <w:pPr>
              <w:tabs>
                <w:tab w:val="left" w:pos="266"/>
              </w:tabs>
              <w:jc w:val="center"/>
              <w:rPr>
                <w:rFonts w:hint="eastAsia" w:ascii="仿宋_GB2312" w:hAnsi="仿宋_GB2312" w:eastAsia="仿宋_GB2312" w:cs="仿宋_GB2312"/>
                <w:kern w:val="0"/>
                <w:szCs w:val="21"/>
              </w:rPr>
            </w:pPr>
          </w:p>
        </w:tc>
      </w:tr>
      <w:tr w14:paraId="29BED97A">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07D8C78">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4DFC155">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530841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394087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00F4D240">
            <w:pPr>
              <w:tabs>
                <w:tab w:val="left" w:pos="266"/>
              </w:tabs>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D1F9B70">
            <w:pPr>
              <w:tabs>
                <w:tab w:val="left" w:pos="266"/>
              </w:tabs>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86D407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37EA58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7EE974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23715C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FE2BFD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96AD3B0">
            <w:pPr>
              <w:tabs>
                <w:tab w:val="left" w:pos="266"/>
              </w:tabs>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9081FB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4A3162B4">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C775523">
            <w:pPr>
              <w:tabs>
                <w:tab w:val="left" w:pos="266"/>
              </w:tabs>
              <w:rPr>
                <w:rFonts w:hint="eastAsia" w:ascii="仿宋_GB2312" w:hAnsi="仿宋_GB2312" w:eastAsia="仿宋_GB2312" w:cs="仿宋_GB2312"/>
                <w:kern w:val="0"/>
                <w:szCs w:val="21"/>
              </w:rPr>
            </w:pPr>
          </w:p>
        </w:tc>
      </w:tr>
      <w:tr w14:paraId="75B163FF">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84235C8">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56C5CC4">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07A62D8">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F66F1C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324E83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DA20FE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73D226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AD0238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33B88A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B2D5C6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431F5D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9A7A48B">
            <w:pPr>
              <w:tabs>
                <w:tab w:val="left" w:pos="266"/>
              </w:tabs>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4631A8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1D1B220">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E077E1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067E8D0C">
        <w:tblPrEx>
          <w:tblCellMar>
            <w:top w:w="0" w:type="dxa"/>
            <w:left w:w="108" w:type="dxa"/>
            <w:bottom w:w="0" w:type="dxa"/>
            <w:right w:w="108" w:type="dxa"/>
          </w:tblCellMar>
        </w:tblPrEx>
        <w:trPr>
          <w:trHeight w:val="90"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B290FFC">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D686395">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85C278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C43E51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6A29B1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FB42D9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7F8512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DE4EC6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1BAD39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B8AF3E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0E49750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ED1435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00832541">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013D8CF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D5ACD99">
            <w:pPr>
              <w:tabs>
                <w:tab w:val="left" w:pos="266"/>
              </w:tabs>
              <w:rPr>
                <w:rFonts w:hint="eastAsia" w:ascii="仿宋_GB2312" w:hAnsi="仿宋_GB2312" w:eastAsia="仿宋_GB2312" w:cs="仿宋_GB2312"/>
                <w:kern w:val="0"/>
                <w:szCs w:val="21"/>
              </w:rPr>
            </w:pPr>
          </w:p>
        </w:tc>
      </w:tr>
      <w:tr w14:paraId="1D8DEBCD">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BCBAEE0">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1BDEABE">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3C11B1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246310F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EA9C4B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5D541D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B2D449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2BD312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220D69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3800F4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28A537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3E29E0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286BA850">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E9EF82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1B90E62">
            <w:pPr>
              <w:tabs>
                <w:tab w:val="left" w:pos="266"/>
              </w:tabs>
              <w:rPr>
                <w:rFonts w:hint="eastAsia" w:ascii="仿宋_GB2312" w:hAnsi="仿宋_GB2312" w:eastAsia="仿宋_GB2312" w:cs="仿宋_GB2312"/>
                <w:kern w:val="0"/>
                <w:szCs w:val="21"/>
              </w:rPr>
            </w:pPr>
          </w:p>
        </w:tc>
      </w:tr>
      <w:tr w14:paraId="7576B9F4">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23586BD">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F8F566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0EE8BD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247160B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7443D0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4A4CD8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CFFD63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8D5D43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D20462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9EAB4B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E3EFE3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925630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0ECBA57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5CC964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44AD19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4288F712">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4079AD7">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C9E499E">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C92E1C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0DBF36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A01C9C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3AE22C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3D51D1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90FB7F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77D170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A7D7EA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C61CE4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765E38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1FE02C4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0ADCD69">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A380AC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3AE62A43">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69320A5">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0BC5195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病虫害防治</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F227EA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630" w:type="pct"/>
            <w:gridSpan w:val="14"/>
            <w:vMerge w:val="restart"/>
            <w:tcBorders>
              <w:top w:val="single" w:color="000000" w:sz="4" w:space="0"/>
              <w:left w:val="single" w:color="000000" w:sz="4" w:space="0"/>
              <w:bottom w:val="single" w:color="000000" w:sz="4" w:space="0"/>
              <w:right w:val="single" w:color="000000" w:sz="4" w:space="0"/>
            </w:tcBorders>
            <w:noWrap/>
            <w:vAlign w:val="center"/>
          </w:tcPr>
          <w:p w14:paraId="0AD2E96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乔木3次，冷季型草坪3次/年，暖季型草坪2次/年，其他各类植物全年2次，具体防治时间、频次因植物种类、天气等因素确定，病害重点参照全市病虫害防治月历及当年测报讯息实施，虫害根据监测结果及时防治</w:t>
            </w:r>
          </w:p>
        </w:tc>
      </w:tr>
      <w:tr w14:paraId="602D92B8">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F1576A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7BA82EF">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2C0927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5428448F">
            <w:pPr>
              <w:tabs>
                <w:tab w:val="left" w:pos="266"/>
              </w:tabs>
              <w:jc w:val="center"/>
              <w:rPr>
                <w:rFonts w:hint="eastAsia" w:ascii="仿宋_GB2312" w:hAnsi="仿宋_GB2312" w:eastAsia="仿宋_GB2312" w:cs="仿宋_GB2312"/>
                <w:kern w:val="0"/>
                <w:szCs w:val="21"/>
              </w:rPr>
            </w:pPr>
          </w:p>
        </w:tc>
      </w:tr>
      <w:tr w14:paraId="3252C108">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0B29B5D">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65DD55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5447A4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2DFB07CB">
            <w:pPr>
              <w:tabs>
                <w:tab w:val="left" w:pos="266"/>
              </w:tabs>
              <w:jc w:val="center"/>
              <w:rPr>
                <w:rFonts w:hint="eastAsia" w:ascii="仿宋_GB2312" w:hAnsi="仿宋_GB2312" w:eastAsia="仿宋_GB2312" w:cs="仿宋_GB2312"/>
                <w:kern w:val="0"/>
                <w:szCs w:val="21"/>
              </w:rPr>
            </w:pPr>
          </w:p>
        </w:tc>
      </w:tr>
      <w:tr w14:paraId="3E4081F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79B261F">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106E811">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DA7814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10169109">
            <w:pPr>
              <w:tabs>
                <w:tab w:val="left" w:pos="266"/>
              </w:tabs>
              <w:jc w:val="center"/>
              <w:rPr>
                <w:rFonts w:hint="eastAsia" w:ascii="仿宋_GB2312" w:hAnsi="仿宋_GB2312" w:eastAsia="仿宋_GB2312" w:cs="仿宋_GB2312"/>
                <w:kern w:val="0"/>
                <w:szCs w:val="21"/>
              </w:rPr>
            </w:pPr>
          </w:p>
        </w:tc>
      </w:tr>
      <w:tr w14:paraId="3D58578C">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38D779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2FEFF03">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53FD9F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5F1E4622">
            <w:pPr>
              <w:tabs>
                <w:tab w:val="left" w:pos="266"/>
              </w:tabs>
              <w:jc w:val="center"/>
              <w:rPr>
                <w:rFonts w:hint="eastAsia" w:ascii="仿宋_GB2312" w:hAnsi="仿宋_GB2312" w:eastAsia="仿宋_GB2312" w:cs="仿宋_GB2312"/>
                <w:kern w:val="0"/>
                <w:szCs w:val="21"/>
              </w:rPr>
            </w:pPr>
          </w:p>
        </w:tc>
      </w:tr>
      <w:tr w14:paraId="00BA3F1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8340C3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7E4E8A9">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E55BC8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0C05AE28">
            <w:pPr>
              <w:tabs>
                <w:tab w:val="left" w:pos="266"/>
              </w:tabs>
              <w:jc w:val="center"/>
              <w:rPr>
                <w:rFonts w:hint="eastAsia" w:ascii="仿宋_GB2312" w:hAnsi="仿宋_GB2312" w:eastAsia="仿宋_GB2312" w:cs="仿宋_GB2312"/>
                <w:kern w:val="0"/>
                <w:szCs w:val="21"/>
              </w:rPr>
            </w:pPr>
          </w:p>
        </w:tc>
      </w:tr>
      <w:tr w14:paraId="7E846332">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2438A3F">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4A4EB91">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3C9512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0E8CB127">
            <w:pPr>
              <w:tabs>
                <w:tab w:val="left" w:pos="266"/>
              </w:tabs>
              <w:jc w:val="center"/>
              <w:rPr>
                <w:rFonts w:hint="eastAsia" w:ascii="仿宋_GB2312" w:hAnsi="仿宋_GB2312" w:eastAsia="仿宋_GB2312" w:cs="仿宋_GB2312"/>
                <w:kern w:val="0"/>
                <w:szCs w:val="21"/>
              </w:rPr>
            </w:pPr>
          </w:p>
        </w:tc>
      </w:tr>
      <w:tr w14:paraId="61F2AF8D">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8F75BD4">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55AB665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修剪</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1A4D22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140F255">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F48ACD9">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C546C74">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EED4889">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5F9BE2FD">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BC7C450">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3747531">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18DB4A0">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906389D">
            <w:pPr>
              <w:tabs>
                <w:tab w:val="left" w:pos="266"/>
              </w:tabs>
              <w:jc w:val="center"/>
              <w:rPr>
                <w:rFonts w:hint="eastAsia" w:ascii="仿宋_GB2312" w:hAnsi="仿宋_GB2312" w:eastAsia="仿宋_GB2312" w:cs="仿宋_GB2312"/>
                <w:kern w:val="0"/>
                <w:szCs w:val="21"/>
              </w:rPr>
            </w:pPr>
          </w:p>
        </w:tc>
        <w:tc>
          <w:tcPr>
            <w:tcW w:w="928" w:type="pct"/>
            <w:gridSpan w:val="5"/>
            <w:tcBorders>
              <w:top w:val="single" w:color="000000" w:sz="4" w:space="0"/>
              <w:left w:val="single" w:color="000000" w:sz="4" w:space="0"/>
              <w:bottom w:val="single" w:color="000000" w:sz="4" w:space="0"/>
              <w:right w:val="single" w:color="000000" w:sz="4" w:space="0"/>
            </w:tcBorders>
            <w:noWrap/>
            <w:vAlign w:val="center"/>
          </w:tcPr>
          <w:p w14:paraId="1875566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12-2月份全面1次，每月考核当月进度1/3即为合格</w:t>
            </w:r>
          </w:p>
        </w:tc>
      </w:tr>
      <w:tr w14:paraId="3F9BAB5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4A76D5E">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D0B324C">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EE02B4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630" w:type="pct"/>
            <w:gridSpan w:val="14"/>
            <w:tcBorders>
              <w:top w:val="single" w:color="000000" w:sz="4" w:space="0"/>
              <w:left w:val="single" w:color="000000" w:sz="4" w:space="0"/>
              <w:bottom w:val="single" w:color="000000" w:sz="4" w:space="0"/>
              <w:right w:val="single" w:color="000000" w:sz="4" w:space="0"/>
            </w:tcBorders>
            <w:noWrap/>
            <w:vAlign w:val="center"/>
          </w:tcPr>
          <w:p w14:paraId="1ADBC0E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各类花灌木全年共修剪2次，其中花后修剪1次，月季例外，</w:t>
            </w:r>
          </w:p>
          <w:p w14:paraId="77825B26">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全年6次（4,5,7,8，9,11,）</w:t>
            </w:r>
          </w:p>
        </w:tc>
      </w:tr>
      <w:tr w14:paraId="10F0BC84">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16AF78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B7C3C4D">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E38785F">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6A5BF97">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0AC923E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591" w:type="pct"/>
            <w:gridSpan w:val="2"/>
            <w:tcBorders>
              <w:top w:val="single" w:color="000000" w:sz="4" w:space="0"/>
              <w:left w:val="single" w:color="000000" w:sz="4" w:space="0"/>
              <w:bottom w:val="single" w:color="000000" w:sz="4" w:space="0"/>
              <w:right w:val="single" w:color="000000" w:sz="4" w:space="0"/>
            </w:tcBorders>
            <w:noWrap/>
            <w:vAlign w:val="center"/>
          </w:tcPr>
          <w:p w14:paraId="52B78A32">
            <w:pPr>
              <w:tabs>
                <w:tab w:val="left" w:pos="266"/>
              </w:tabs>
              <w:ind w:firstLine="420" w:firstLineChars="200"/>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A634DC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E691014">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765E19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0D1E406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F9F772E">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188CA2E1">
            <w:pPr>
              <w:tabs>
                <w:tab w:val="left" w:pos="266"/>
              </w:tabs>
              <w:jc w:val="center"/>
              <w:rPr>
                <w:rFonts w:hint="eastAsia" w:ascii="仿宋_GB2312" w:hAnsi="仿宋_GB2312" w:eastAsia="仿宋_GB2312" w:cs="仿宋_GB2312"/>
                <w:kern w:val="0"/>
                <w:szCs w:val="21"/>
              </w:rPr>
            </w:pPr>
          </w:p>
        </w:tc>
        <w:tc>
          <w:tcPr>
            <w:tcW w:w="599" w:type="pct"/>
            <w:gridSpan w:val="4"/>
            <w:tcBorders>
              <w:top w:val="single" w:color="000000" w:sz="4" w:space="0"/>
              <w:left w:val="single" w:color="000000" w:sz="4" w:space="0"/>
              <w:bottom w:val="single" w:color="000000" w:sz="4" w:space="0"/>
              <w:right w:val="single" w:color="000000" w:sz="4" w:space="0"/>
            </w:tcBorders>
            <w:noWrap/>
            <w:vAlign w:val="center"/>
          </w:tcPr>
          <w:p w14:paraId="2B15075B">
            <w:pPr>
              <w:tabs>
                <w:tab w:val="left" w:pos="266"/>
              </w:tabs>
              <w:jc w:val="center"/>
              <w:rPr>
                <w:rFonts w:hint="eastAsia" w:ascii="仿宋_GB2312" w:hAnsi="仿宋_GB2312" w:eastAsia="仿宋_GB2312" w:cs="仿宋_GB2312"/>
                <w:kern w:val="0"/>
                <w:szCs w:val="21"/>
              </w:rPr>
            </w:pPr>
          </w:p>
        </w:tc>
      </w:tr>
      <w:tr w14:paraId="4758D404">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EFF21E6">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B637E73">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AB8B5D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CA8513F">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03F41E96">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26226CE">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0494AAE">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E68DE8B">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1A2907E">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4763F5D">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686CDFA">
            <w:pPr>
              <w:tabs>
                <w:tab w:val="left" w:pos="266"/>
              </w:tabs>
              <w:jc w:val="center"/>
              <w:rPr>
                <w:rFonts w:hint="eastAsia" w:ascii="仿宋_GB2312" w:hAnsi="仿宋_GB2312" w:eastAsia="仿宋_GB2312" w:cs="仿宋_GB2312"/>
                <w:kern w:val="0"/>
                <w:szCs w:val="21"/>
              </w:rPr>
            </w:pPr>
          </w:p>
        </w:tc>
        <w:tc>
          <w:tcPr>
            <w:tcW w:w="666" w:type="pct"/>
            <w:gridSpan w:val="2"/>
            <w:tcBorders>
              <w:top w:val="single" w:color="000000" w:sz="4" w:space="0"/>
              <w:left w:val="single" w:color="000000" w:sz="4" w:space="0"/>
              <w:bottom w:val="single" w:color="000000" w:sz="4" w:space="0"/>
              <w:right w:val="single" w:color="000000" w:sz="4" w:space="0"/>
            </w:tcBorders>
            <w:noWrap/>
            <w:vAlign w:val="center"/>
          </w:tcPr>
          <w:p w14:paraId="03F5A08F">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D1D5057">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AF8F9C8">
            <w:pPr>
              <w:tabs>
                <w:tab w:val="left" w:pos="266"/>
              </w:tabs>
              <w:jc w:val="center"/>
              <w:rPr>
                <w:rFonts w:hint="eastAsia" w:ascii="仿宋_GB2312" w:hAnsi="仿宋_GB2312" w:eastAsia="仿宋_GB2312" w:cs="仿宋_GB2312"/>
                <w:kern w:val="0"/>
                <w:szCs w:val="21"/>
              </w:rPr>
            </w:pPr>
          </w:p>
        </w:tc>
      </w:tr>
      <w:tr w14:paraId="644396E4">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4641AE7">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E3030F4">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0D5C4A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F15CD0C">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D9D54BC">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44E05E0">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CC9448A">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1CB9DC8">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DDD12B0">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D518AD8">
            <w:pPr>
              <w:tabs>
                <w:tab w:val="left" w:pos="266"/>
              </w:tabs>
              <w:jc w:val="center"/>
              <w:rPr>
                <w:rFonts w:hint="eastAsia" w:ascii="仿宋_GB2312" w:hAnsi="仿宋_GB2312" w:eastAsia="仿宋_GB2312" w:cs="仿宋_GB2312"/>
                <w:kern w:val="0"/>
                <w:szCs w:val="21"/>
              </w:rPr>
            </w:pPr>
          </w:p>
        </w:tc>
        <w:tc>
          <w:tcPr>
            <w:tcW w:w="990" w:type="pct"/>
            <w:gridSpan w:val="3"/>
            <w:tcBorders>
              <w:top w:val="single" w:color="000000" w:sz="4" w:space="0"/>
              <w:left w:val="single" w:color="000000" w:sz="4" w:space="0"/>
              <w:bottom w:val="single" w:color="000000" w:sz="4" w:space="0"/>
              <w:right w:val="single" w:color="000000" w:sz="4" w:space="0"/>
            </w:tcBorders>
            <w:noWrap/>
            <w:vAlign w:val="center"/>
          </w:tcPr>
          <w:p w14:paraId="0B1F7D9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B60AC08">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05AE8B87">
            <w:pPr>
              <w:tabs>
                <w:tab w:val="left" w:pos="266"/>
              </w:tabs>
              <w:jc w:val="center"/>
              <w:rPr>
                <w:rFonts w:hint="eastAsia" w:ascii="仿宋_GB2312" w:hAnsi="仿宋_GB2312" w:eastAsia="仿宋_GB2312" w:cs="仿宋_GB2312"/>
                <w:kern w:val="0"/>
                <w:szCs w:val="21"/>
              </w:rPr>
            </w:pPr>
          </w:p>
        </w:tc>
      </w:tr>
      <w:tr w14:paraId="5FBE92C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A1C85AD">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5F7884D">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7FBEDD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D57CF1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E47B9F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BFDB80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3CA78E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0B944A2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563" w:type="pct"/>
            <w:gridSpan w:val="2"/>
            <w:tcBorders>
              <w:top w:val="single" w:color="000000" w:sz="4" w:space="0"/>
              <w:left w:val="single" w:color="000000" w:sz="4" w:space="0"/>
              <w:bottom w:val="single" w:color="000000" w:sz="4" w:space="0"/>
              <w:right w:val="single" w:color="000000" w:sz="4" w:space="0"/>
            </w:tcBorders>
            <w:noWrap/>
            <w:vAlign w:val="center"/>
          </w:tcPr>
          <w:p w14:paraId="563AF88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9534022">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FAF73E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6039DB02">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6A9A9DC">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E5701F3">
            <w:pPr>
              <w:tabs>
                <w:tab w:val="left" w:pos="266"/>
              </w:tabs>
              <w:jc w:val="center"/>
              <w:rPr>
                <w:rFonts w:hint="eastAsia" w:ascii="仿宋_GB2312" w:hAnsi="仿宋_GB2312" w:eastAsia="仿宋_GB2312" w:cs="仿宋_GB2312"/>
                <w:kern w:val="0"/>
                <w:szCs w:val="21"/>
              </w:rPr>
            </w:pPr>
          </w:p>
        </w:tc>
      </w:tr>
      <w:tr w14:paraId="4CDC373E">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3DA318E">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6210DD6">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B843A6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2C7997E5">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C24054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9F8D63E">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A147DA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8AC8690">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CF01D7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AE6CA31">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01921B4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6B6DFE2">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90AE6DE">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8B75D49">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3217483">
            <w:pPr>
              <w:tabs>
                <w:tab w:val="left" w:pos="266"/>
              </w:tabs>
              <w:jc w:val="center"/>
              <w:rPr>
                <w:rFonts w:hint="eastAsia" w:ascii="仿宋_GB2312" w:hAnsi="仿宋_GB2312" w:eastAsia="仿宋_GB2312" w:cs="仿宋_GB2312"/>
                <w:kern w:val="0"/>
                <w:szCs w:val="21"/>
              </w:rPr>
            </w:pPr>
          </w:p>
        </w:tc>
      </w:tr>
      <w:tr w14:paraId="54FDBA3D">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163CF73">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1F47F224">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施肥</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24E456F">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8065C19">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6AA4AA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F35EB83">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A44897E">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577D562">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FEEC00E">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nil"/>
              <w:right w:val="single" w:color="000000" w:sz="4" w:space="0"/>
            </w:tcBorders>
            <w:noWrap/>
            <w:vAlign w:val="center"/>
          </w:tcPr>
          <w:p w14:paraId="6BE2B12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500AE77">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3826F09">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FCDCE9C">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F1556B1">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FF21D4E">
            <w:pPr>
              <w:tabs>
                <w:tab w:val="left" w:pos="266"/>
              </w:tabs>
              <w:jc w:val="center"/>
              <w:rPr>
                <w:rFonts w:hint="eastAsia" w:ascii="仿宋_GB2312" w:hAnsi="仿宋_GB2312" w:eastAsia="仿宋_GB2312" w:cs="仿宋_GB2312"/>
                <w:kern w:val="0"/>
                <w:szCs w:val="21"/>
              </w:rPr>
            </w:pPr>
          </w:p>
        </w:tc>
      </w:tr>
      <w:tr w14:paraId="47AF8224">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B29F327">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CC0A523">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C60049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05E8777">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043914A0">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D3FC2A3">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01FB621">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0119DAA">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4CABEB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nil"/>
              <w:right w:val="single" w:color="000000" w:sz="4" w:space="0"/>
            </w:tcBorders>
            <w:noWrap/>
            <w:vAlign w:val="center"/>
          </w:tcPr>
          <w:p w14:paraId="1A177BA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073B0BA">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8031013">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35E877B">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01D5CD3">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2F53C3A">
            <w:pPr>
              <w:tabs>
                <w:tab w:val="left" w:pos="266"/>
              </w:tabs>
              <w:jc w:val="center"/>
              <w:rPr>
                <w:rFonts w:hint="eastAsia" w:ascii="仿宋_GB2312" w:hAnsi="仿宋_GB2312" w:eastAsia="仿宋_GB2312" w:cs="仿宋_GB2312"/>
                <w:kern w:val="0"/>
                <w:szCs w:val="21"/>
              </w:rPr>
            </w:pPr>
          </w:p>
        </w:tc>
      </w:tr>
      <w:tr w14:paraId="1F399E3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C3A304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A8E02E5">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F2E85D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8A6CF1E">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BDBED15">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10DB268">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13CFF41">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0BDD2FBE">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005E598">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37A46E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A5D8B88">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09E2ABC">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FA1B8A2">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1A235AE">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0AB63D0">
            <w:pPr>
              <w:tabs>
                <w:tab w:val="left" w:pos="266"/>
              </w:tabs>
              <w:jc w:val="center"/>
              <w:rPr>
                <w:rFonts w:hint="eastAsia" w:ascii="仿宋_GB2312" w:hAnsi="仿宋_GB2312" w:eastAsia="仿宋_GB2312" w:cs="仿宋_GB2312"/>
                <w:kern w:val="0"/>
                <w:szCs w:val="21"/>
              </w:rPr>
            </w:pPr>
          </w:p>
        </w:tc>
      </w:tr>
      <w:tr w14:paraId="1E06771F">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E35C90D">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BDE7FBF">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1A2F20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51BB0C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024200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D65068B">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FE813C4">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2D50D86">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A95778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nil"/>
              <w:right w:val="single" w:color="000000" w:sz="4" w:space="0"/>
            </w:tcBorders>
            <w:noWrap/>
            <w:vAlign w:val="center"/>
          </w:tcPr>
          <w:p w14:paraId="20E8477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1434B552">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959A890">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61DFD06C">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B01C440">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CCB5BBE">
            <w:pPr>
              <w:tabs>
                <w:tab w:val="left" w:pos="266"/>
              </w:tabs>
              <w:jc w:val="center"/>
              <w:rPr>
                <w:rFonts w:hint="eastAsia" w:ascii="仿宋_GB2312" w:hAnsi="仿宋_GB2312" w:eastAsia="仿宋_GB2312" w:cs="仿宋_GB2312"/>
                <w:kern w:val="0"/>
                <w:szCs w:val="21"/>
              </w:rPr>
            </w:pPr>
          </w:p>
        </w:tc>
      </w:tr>
      <w:tr w14:paraId="153FE806">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17E4FF6">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C0FE9F2">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EFD014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B67442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7F036DE">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3E132CE">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F5754FB">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B38836E">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28DB163">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nil"/>
              <w:right w:val="single" w:color="000000" w:sz="4" w:space="0"/>
            </w:tcBorders>
            <w:noWrap/>
            <w:vAlign w:val="center"/>
          </w:tcPr>
          <w:p w14:paraId="248DB28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0734C6F8">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441391A">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625238F2">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E87BB4D">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5586227A">
            <w:pPr>
              <w:tabs>
                <w:tab w:val="left" w:pos="266"/>
              </w:tabs>
              <w:jc w:val="center"/>
              <w:rPr>
                <w:rFonts w:hint="eastAsia" w:ascii="仿宋_GB2312" w:hAnsi="仿宋_GB2312" w:eastAsia="仿宋_GB2312" w:cs="仿宋_GB2312"/>
                <w:kern w:val="0"/>
                <w:szCs w:val="21"/>
              </w:rPr>
            </w:pPr>
          </w:p>
        </w:tc>
      </w:tr>
      <w:tr w14:paraId="59F4EA9E">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C773498">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9293FFE">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CF4816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2844F61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A2DA6FD">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C0B6294">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6CC0576">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E081B53">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1E520B4">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642B06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CD73C6F">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AE19B66">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1AADF161">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417E352">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E3C5DE1">
            <w:pPr>
              <w:tabs>
                <w:tab w:val="left" w:pos="266"/>
              </w:tabs>
              <w:jc w:val="center"/>
              <w:rPr>
                <w:rFonts w:hint="eastAsia" w:ascii="仿宋_GB2312" w:hAnsi="仿宋_GB2312" w:eastAsia="仿宋_GB2312" w:cs="仿宋_GB2312"/>
                <w:kern w:val="0"/>
                <w:szCs w:val="21"/>
              </w:rPr>
            </w:pPr>
          </w:p>
        </w:tc>
      </w:tr>
      <w:tr w14:paraId="50C989B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D3EA30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0016E58">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40B08B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55AC81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BE1E660">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7B4CE9C">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545D194">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A62765C">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51204E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FC88591">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auto" w:sz="4" w:space="0"/>
              <w:right w:val="single" w:color="000000" w:sz="4" w:space="0"/>
            </w:tcBorders>
            <w:noWrap/>
            <w:vAlign w:val="center"/>
          </w:tcPr>
          <w:p w14:paraId="09821481">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auto" w:sz="4" w:space="0"/>
              <w:right w:val="single" w:color="000000" w:sz="4" w:space="0"/>
            </w:tcBorders>
            <w:noWrap/>
            <w:vAlign w:val="center"/>
          </w:tcPr>
          <w:p w14:paraId="08DDB4E0">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D55E0A1">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EBBBA64">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2EED38A">
            <w:pPr>
              <w:tabs>
                <w:tab w:val="left" w:pos="266"/>
              </w:tabs>
              <w:jc w:val="center"/>
              <w:rPr>
                <w:rFonts w:hint="eastAsia" w:ascii="仿宋_GB2312" w:hAnsi="仿宋_GB2312" w:eastAsia="仿宋_GB2312" w:cs="仿宋_GB2312"/>
                <w:kern w:val="0"/>
                <w:szCs w:val="21"/>
              </w:rPr>
            </w:pPr>
          </w:p>
        </w:tc>
      </w:tr>
      <w:tr w14:paraId="6943C4A4">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4FCB9C5">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12945056">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清掏</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0C6AF96">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E5BB818">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1BD306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3CAC425">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39BE2CE">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45C5166">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C4B5339">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auto" w:sz="4" w:space="0"/>
            </w:tcBorders>
            <w:noWrap/>
            <w:vAlign w:val="center"/>
          </w:tcPr>
          <w:p w14:paraId="5E4B7F29">
            <w:pPr>
              <w:tabs>
                <w:tab w:val="left" w:pos="266"/>
              </w:tabs>
              <w:jc w:val="center"/>
              <w:rPr>
                <w:rFonts w:hint="eastAsia" w:ascii="仿宋_GB2312" w:hAnsi="仿宋_GB2312" w:eastAsia="仿宋_GB2312" w:cs="仿宋_GB2312"/>
                <w:kern w:val="0"/>
                <w:szCs w:val="21"/>
              </w:rPr>
            </w:pPr>
          </w:p>
        </w:tc>
        <w:tc>
          <w:tcPr>
            <w:tcW w:w="323" w:type="pct"/>
            <w:tcBorders>
              <w:top w:val="single" w:color="auto" w:sz="4" w:space="0"/>
              <w:left w:val="single" w:color="auto" w:sz="4" w:space="0"/>
              <w:bottom w:val="single" w:color="auto" w:sz="4" w:space="0"/>
              <w:right w:val="single" w:color="auto" w:sz="4" w:space="0"/>
            </w:tcBorders>
            <w:noWrap/>
            <w:vAlign w:val="center"/>
          </w:tcPr>
          <w:p w14:paraId="1906ADE6">
            <w:pPr>
              <w:tabs>
                <w:tab w:val="left" w:pos="266"/>
              </w:tabs>
              <w:jc w:val="center"/>
              <w:rPr>
                <w:rFonts w:hint="eastAsia" w:ascii="仿宋_GB2312" w:hAnsi="仿宋_GB2312" w:eastAsia="仿宋_GB2312" w:cs="仿宋_GB2312"/>
                <w:kern w:val="0"/>
                <w:szCs w:val="21"/>
              </w:rPr>
            </w:pPr>
          </w:p>
        </w:tc>
        <w:tc>
          <w:tcPr>
            <w:tcW w:w="337" w:type="pct"/>
            <w:vMerge w:val="restart"/>
            <w:tcBorders>
              <w:top w:val="single" w:color="auto" w:sz="4" w:space="0"/>
              <w:left w:val="single" w:color="auto" w:sz="4" w:space="0"/>
              <w:right w:val="single" w:color="auto" w:sz="4" w:space="0"/>
            </w:tcBorders>
            <w:noWrap/>
            <w:vAlign w:val="center"/>
          </w:tcPr>
          <w:p w14:paraId="6C956AB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vMerge w:val="restart"/>
            <w:tcBorders>
              <w:top w:val="single" w:color="000000" w:sz="4" w:space="0"/>
              <w:left w:val="single" w:color="auto" w:sz="4" w:space="0"/>
              <w:right w:val="single" w:color="000000" w:sz="4" w:space="0"/>
            </w:tcBorders>
            <w:noWrap/>
            <w:vAlign w:val="center"/>
          </w:tcPr>
          <w:p w14:paraId="05F6167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01CBD4D">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BA39DA7">
            <w:pPr>
              <w:tabs>
                <w:tab w:val="left" w:pos="266"/>
              </w:tabs>
              <w:jc w:val="center"/>
              <w:rPr>
                <w:rFonts w:hint="eastAsia" w:ascii="仿宋_GB2312" w:hAnsi="仿宋_GB2312" w:eastAsia="仿宋_GB2312" w:cs="仿宋_GB2312"/>
                <w:kern w:val="0"/>
                <w:szCs w:val="21"/>
              </w:rPr>
            </w:pPr>
          </w:p>
        </w:tc>
      </w:tr>
      <w:tr w14:paraId="15A6A80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A04B08C">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DFB74EE">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5FEA9E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30DCA66">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184A24F">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5C46861">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39DD127">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E83D48C">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1C1B77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515469C">
            <w:pPr>
              <w:tabs>
                <w:tab w:val="left" w:pos="266"/>
              </w:tabs>
              <w:jc w:val="center"/>
              <w:rPr>
                <w:rFonts w:hint="eastAsia" w:ascii="仿宋_GB2312" w:hAnsi="仿宋_GB2312" w:eastAsia="仿宋_GB2312" w:cs="仿宋_GB2312"/>
                <w:kern w:val="0"/>
                <w:szCs w:val="21"/>
              </w:rPr>
            </w:pPr>
          </w:p>
        </w:tc>
        <w:tc>
          <w:tcPr>
            <w:tcW w:w="323" w:type="pct"/>
            <w:tcBorders>
              <w:top w:val="single" w:color="auto" w:sz="4" w:space="0"/>
              <w:left w:val="single" w:color="000000" w:sz="4" w:space="0"/>
              <w:bottom w:val="single" w:color="000000" w:sz="4" w:space="0"/>
              <w:right w:val="single" w:color="000000" w:sz="4" w:space="0"/>
            </w:tcBorders>
            <w:noWrap/>
            <w:vAlign w:val="center"/>
          </w:tcPr>
          <w:p w14:paraId="4B7A0278">
            <w:pPr>
              <w:tabs>
                <w:tab w:val="left" w:pos="266"/>
              </w:tabs>
              <w:jc w:val="center"/>
              <w:rPr>
                <w:rFonts w:hint="eastAsia" w:ascii="仿宋_GB2312" w:hAnsi="仿宋_GB2312" w:eastAsia="仿宋_GB2312" w:cs="仿宋_GB2312"/>
                <w:kern w:val="0"/>
                <w:szCs w:val="21"/>
              </w:rPr>
            </w:pPr>
          </w:p>
        </w:tc>
        <w:tc>
          <w:tcPr>
            <w:tcW w:w="337" w:type="pct"/>
            <w:vMerge w:val="continue"/>
            <w:tcBorders>
              <w:left w:val="single" w:color="auto" w:sz="4" w:space="0"/>
              <w:bottom w:val="single" w:color="000000" w:sz="4" w:space="0"/>
              <w:right w:val="single" w:color="auto" w:sz="4" w:space="0"/>
            </w:tcBorders>
            <w:noWrap/>
            <w:vAlign w:val="center"/>
          </w:tcPr>
          <w:p w14:paraId="454D38E1">
            <w:pPr>
              <w:tabs>
                <w:tab w:val="left" w:pos="266"/>
              </w:tabs>
              <w:jc w:val="center"/>
              <w:rPr>
                <w:rFonts w:hint="eastAsia" w:ascii="仿宋_GB2312" w:hAnsi="仿宋_GB2312" w:eastAsia="仿宋_GB2312" w:cs="仿宋_GB2312"/>
                <w:kern w:val="0"/>
                <w:szCs w:val="21"/>
              </w:rPr>
            </w:pPr>
          </w:p>
        </w:tc>
        <w:tc>
          <w:tcPr>
            <w:tcW w:w="329" w:type="pct"/>
            <w:vMerge w:val="continue"/>
            <w:tcBorders>
              <w:left w:val="single" w:color="auto" w:sz="4" w:space="0"/>
              <w:bottom w:val="single" w:color="000000" w:sz="4" w:space="0"/>
              <w:right w:val="single" w:color="000000" w:sz="4" w:space="0"/>
            </w:tcBorders>
            <w:noWrap/>
            <w:vAlign w:val="center"/>
          </w:tcPr>
          <w:p w14:paraId="283CAEA6">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310AC94">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C48603D">
            <w:pPr>
              <w:tabs>
                <w:tab w:val="left" w:pos="266"/>
              </w:tabs>
              <w:jc w:val="center"/>
              <w:rPr>
                <w:rFonts w:hint="eastAsia" w:ascii="仿宋_GB2312" w:hAnsi="仿宋_GB2312" w:eastAsia="仿宋_GB2312" w:cs="仿宋_GB2312"/>
                <w:kern w:val="0"/>
                <w:szCs w:val="21"/>
              </w:rPr>
            </w:pPr>
          </w:p>
        </w:tc>
      </w:tr>
      <w:tr w14:paraId="5BAD954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82AF630">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FA0FA9C">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8F9505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630" w:type="pct"/>
            <w:gridSpan w:val="14"/>
            <w:vMerge w:val="restart"/>
            <w:tcBorders>
              <w:top w:val="single" w:color="000000" w:sz="4" w:space="0"/>
              <w:left w:val="single" w:color="000000" w:sz="4" w:space="0"/>
              <w:bottom w:val="single" w:color="000000" w:sz="4" w:space="0"/>
              <w:right w:val="single" w:color="000000" w:sz="4" w:space="0"/>
            </w:tcBorders>
            <w:noWrap/>
            <w:vAlign w:val="center"/>
          </w:tcPr>
          <w:p w14:paraId="33ED025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一般情况下，5-7月份1次，11-12月份1次。按栽植区域具体分为：落叶树种落叶期每年1次，常绿树种落叶期1次，具体以落叶起止时间为准；栽植法桐区域或邻近法桐栽植区域全年6次，其中法桐落叶季（12-3月）每月1次，兼有以上2-3种情况的路段可结合进行。合计全年共2-6次。</w:t>
            </w:r>
          </w:p>
        </w:tc>
      </w:tr>
      <w:tr w14:paraId="7F724ED4">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934A47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7E04FF7">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546C82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3DEA899E">
            <w:pPr>
              <w:tabs>
                <w:tab w:val="left" w:pos="266"/>
              </w:tabs>
              <w:jc w:val="center"/>
              <w:rPr>
                <w:rFonts w:hint="eastAsia" w:ascii="仿宋_GB2312" w:hAnsi="仿宋_GB2312" w:eastAsia="仿宋_GB2312" w:cs="仿宋_GB2312"/>
                <w:kern w:val="0"/>
                <w:szCs w:val="21"/>
              </w:rPr>
            </w:pPr>
          </w:p>
        </w:tc>
      </w:tr>
      <w:tr w14:paraId="372BE5AC">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8217249">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9DAB515">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738077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336B408B">
            <w:pPr>
              <w:tabs>
                <w:tab w:val="left" w:pos="266"/>
              </w:tabs>
              <w:jc w:val="center"/>
              <w:rPr>
                <w:rFonts w:hint="eastAsia" w:ascii="仿宋_GB2312" w:hAnsi="仿宋_GB2312" w:eastAsia="仿宋_GB2312" w:cs="仿宋_GB2312"/>
                <w:kern w:val="0"/>
                <w:szCs w:val="21"/>
              </w:rPr>
            </w:pPr>
          </w:p>
        </w:tc>
      </w:tr>
      <w:tr w14:paraId="66A4FF6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1641A9C">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B659D59">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0EB387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4B9F8CAF">
            <w:pPr>
              <w:tabs>
                <w:tab w:val="left" w:pos="266"/>
              </w:tabs>
              <w:jc w:val="center"/>
              <w:rPr>
                <w:rFonts w:hint="eastAsia" w:ascii="仿宋_GB2312" w:hAnsi="仿宋_GB2312" w:eastAsia="仿宋_GB2312" w:cs="仿宋_GB2312"/>
                <w:kern w:val="0"/>
                <w:szCs w:val="21"/>
              </w:rPr>
            </w:pPr>
          </w:p>
        </w:tc>
      </w:tr>
      <w:tr w14:paraId="03B9683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8CF55BC">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FD43D39">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436342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34591280">
            <w:pPr>
              <w:tabs>
                <w:tab w:val="left" w:pos="266"/>
              </w:tabs>
              <w:jc w:val="center"/>
              <w:rPr>
                <w:rFonts w:hint="eastAsia" w:ascii="仿宋_GB2312" w:hAnsi="仿宋_GB2312" w:eastAsia="仿宋_GB2312" w:cs="仿宋_GB2312"/>
                <w:kern w:val="0"/>
                <w:szCs w:val="21"/>
              </w:rPr>
            </w:pPr>
          </w:p>
        </w:tc>
      </w:tr>
      <w:tr w14:paraId="056CE0D2">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E92EAB1">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74978476">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除草</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D354DD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507FB6B">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FACD82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A73D692">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7B5931C">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BF4F290">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08A98E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15BE173">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DEC5D7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E2A79A7">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648BB1A2">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EFB1641">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EE81449">
            <w:pPr>
              <w:tabs>
                <w:tab w:val="left" w:pos="266"/>
              </w:tabs>
              <w:jc w:val="center"/>
              <w:rPr>
                <w:rFonts w:hint="eastAsia" w:ascii="仿宋_GB2312" w:hAnsi="仿宋_GB2312" w:eastAsia="仿宋_GB2312" w:cs="仿宋_GB2312"/>
                <w:kern w:val="0"/>
                <w:szCs w:val="21"/>
              </w:rPr>
            </w:pPr>
          </w:p>
        </w:tc>
      </w:tr>
      <w:tr w14:paraId="7E1669CD">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78AF38E">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8277147">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86B1134">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E5F0927">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CC08E74">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6086D7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1775F93">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0028686">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11C7F06">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435DA6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547AB61">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46CCC38">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95B4050">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0C367A18">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A2C20F6">
            <w:pPr>
              <w:tabs>
                <w:tab w:val="left" w:pos="266"/>
              </w:tabs>
              <w:jc w:val="center"/>
              <w:rPr>
                <w:rFonts w:hint="eastAsia" w:ascii="仿宋_GB2312" w:hAnsi="仿宋_GB2312" w:eastAsia="仿宋_GB2312" w:cs="仿宋_GB2312"/>
                <w:kern w:val="0"/>
                <w:szCs w:val="21"/>
              </w:rPr>
            </w:pPr>
          </w:p>
        </w:tc>
      </w:tr>
      <w:tr w14:paraId="300ABBD2">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E66EEA0">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D3C7525">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358A63F">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650D00A">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87B8274">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0D2C95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565E366">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FAE1E3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5D840AD">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64BC8D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671F0B1">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49164B6">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CF8F498">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338079E">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7FA8E88">
            <w:pPr>
              <w:tabs>
                <w:tab w:val="left" w:pos="266"/>
              </w:tabs>
              <w:jc w:val="center"/>
              <w:rPr>
                <w:rFonts w:hint="eastAsia" w:ascii="仿宋_GB2312" w:hAnsi="仿宋_GB2312" w:eastAsia="仿宋_GB2312" w:cs="仿宋_GB2312"/>
                <w:kern w:val="0"/>
                <w:szCs w:val="21"/>
              </w:rPr>
            </w:pPr>
          </w:p>
        </w:tc>
      </w:tr>
      <w:tr w14:paraId="50B99AEF">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3C0D817">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B30CAAB">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58EF60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365018C">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60A10F7">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2B90E7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9F2323F">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1BD758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98E944F">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A84DDE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C0C76F2">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76AE396">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11AAD480">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C320FFA">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961150D">
            <w:pPr>
              <w:tabs>
                <w:tab w:val="left" w:pos="266"/>
              </w:tabs>
              <w:jc w:val="center"/>
              <w:rPr>
                <w:rFonts w:hint="eastAsia" w:ascii="仿宋_GB2312" w:hAnsi="仿宋_GB2312" w:eastAsia="仿宋_GB2312" w:cs="仿宋_GB2312"/>
                <w:kern w:val="0"/>
                <w:szCs w:val="21"/>
              </w:rPr>
            </w:pPr>
          </w:p>
        </w:tc>
      </w:tr>
      <w:tr w14:paraId="02D1272B">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9CDCA78">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9FAE78E">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59BFA26">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12E0A49">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76D86B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7744C3F">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66BEBAA">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58B6EF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16EDDA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B88D9CF">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F43EA5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1A3AB30">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80F32EB">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4EFC017F">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69ABE31">
            <w:pPr>
              <w:tabs>
                <w:tab w:val="left" w:pos="266"/>
              </w:tabs>
              <w:jc w:val="center"/>
              <w:rPr>
                <w:rFonts w:hint="eastAsia" w:ascii="仿宋_GB2312" w:hAnsi="仿宋_GB2312" w:eastAsia="仿宋_GB2312" w:cs="仿宋_GB2312"/>
                <w:kern w:val="0"/>
                <w:szCs w:val="21"/>
              </w:rPr>
            </w:pPr>
          </w:p>
        </w:tc>
      </w:tr>
      <w:tr w14:paraId="04C17CA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26F6639">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E6FBF68">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ABB49E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51E29F7">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8DD59A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AE27F3C">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1CEBE22">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86167B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849A8A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ABA1CF6">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9DE752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1E3761E">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4438F240">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2F86A21">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5B1F2CAA">
            <w:pPr>
              <w:tabs>
                <w:tab w:val="left" w:pos="266"/>
              </w:tabs>
              <w:jc w:val="center"/>
              <w:rPr>
                <w:rFonts w:hint="eastAsia" w:ascii="仿宋_GB2312" w:hAnsi="仿宋_GB2312" w:eastAsia="仿宋_GB2312" w:cs="仿宋_GB2312"/>
                <w:kern w:val="0"/>
                <w:szCs w:val="21"/>
              </w:rPr>
            </w:pPr>
          </w:p>
        </w:tc>
      </w:tr>
      <w:tr w14:paraId="0A9F362E">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FA6E2AF">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6E0E309">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7C434B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D40D836">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2A1FA6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8D5A112">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2BC04FD">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FCC60A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416E06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83C6C9C">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3C66C2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6404DEE">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63B07B07">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34F70A2">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64338E8">
            <w:pPr>
              <w:tabs>
                <w:tab w:val="left" w:pos="266"/>
              </w:tabs>
              <w:jc w:val="center"/>
              <w:rPr>
                <w:rFonts w:hint="eastAsia" w:ascii="仿宋_GB2312" w:hAnsi="仿宋_GB2312" w:eastAsia="仿宋_GB2312" w:cs="仿宋_GB2312"/>
                <w:kern w:val="0"/>
                <w:szCs w:val="21"/>
              </w:rPr>
            </w:pPr>
          </w:p>
        </w:tc>
      </w:tr>
      <w:tr w14:paraId="1653510C">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8FB74F1">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13FB1616">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水域管理</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6F1D6E8">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水域保洁管理（次）</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05CCA8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2D5A8E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FC0F47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DD4588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EF38A9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177DA9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101700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≥15</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5D6161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4D84AF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≥25</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8112E8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≥25</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54DAB6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61E927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r>
      <w:tr w14:paraId="3E8F5898">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3CBE272">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7E12646">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1FB51B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水生植物管理</w:t>
            </w:r>
          </w:p>
        </w:tc>
        <w:tc>
          <w:tcPr>
            <w:tcW w:w="2364" w:type="pct"/>
            <w:gridSpan w:val="8"/>
            <w:tcBorders>
              <w:top w:val="single" w:color="000000" w:sz="4" w:space="0"/>
              <w:left w:val="single" w:color="000000" w:sz="4" w:space="0"/>
              <w:bottom w:val="single" w:color="000000" w:sz="4" w:space="0"/>
              <w:right w:val="single" w:color="000000" w:sz="4" w:space="0"/>
            </w:tcBorders>
            <w:noWrap/>
            <w:vAlign w:val="center"/>
          </w:tcPr>
          <w:p w14:paraId="6CC4B652">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根据需要进行病虫害防治，喷施钾肥、多效唑等防倒伏</w:t>
            </w:r>
          </w:p>
        </w:tc>
        <w:tc>
          <w:tcPr>
            <w:tcW w:w="666" w:type="pct"/>
            <w:gridSpan w:val="2"/>
            <w:tcBorders>
              <w:top w:val="single" w:color="000000" w:sz="4" w:space="0"/>
              <w:left w:val="single" w:color="000000" w:sz="4" w:space="0"/>
              <w:bottom w:val="single" w:color="000000" w:sz="4" w:space="0"/>
              <w:right w:val="single" w:color="000000" w:sz="4" w:space="0"/>
            </w:tcBorders>
            <w:noWrap/>
            <w:vAlign w:val="center"/>
          </w:tcPr>
          <w:p w14:paraId="1D4CF8E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割除地上干枯，12月检查</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5050C72">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7E6733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w:t>
            </w:r>
          </w:p>
        </w:tc>
      </w:tr>
      <w:tr w14:paraId="343286ED">
        <w:tblPrEx>
          <w:tblCellMar>
            <w:top w:w="0" w:type="dxa"/>
            <w:left w:w="108" w:type="dxa"/>
            <w:bottom w:w="0" w:type="dxa"/>
            <w:right w:w="108" w:type="dxa"/>
          </w:tblCellMar>
        </w:tblPrEx>
        <w:trPr>
          <w:trHeight w:val="23" w:hRule="atLeast"/>
          <w:jc w:val="center"/>
        </w:trPr>
        <w:tc>
          <w:tcPr>
            <w:tcW w:w="236" w:type="pct"/>
            <w:vMerge w:val="restart"/>
            <w:tcBorders>
              <w:top w:val="single" w:color="000000" w:sz="4" w:space="0"/>
              <w:left w:val="single" w:color="000000" w:sz="4" w:space="0"/>
              <w:bottom w:val="single" w:color="000000" w:sz="4" w:space="0"/>
              <w:right w:val="single" w:color="000000" w:sz="4" w:space="0"/>
            </w:tcBorders>
            <w:noWrap/>
            <w:vAlign w:val="center"/>
          </w:tcPr>
          <w:p w14:paraId="2A7CC44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C档</w:t>
            </w: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21B26AB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浇水</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EEF81B4">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828BB0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3E65258">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065ED41">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7E9C17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C341CA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00D03B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E23D9B9">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1AC1223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FDDB6F6">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237BF0D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F8D9B11">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B57759C">
            <w:pPr>
              <w:tabs>
                <w:tab w:val="left" w:pos="266"/>
              </w:tabs>
              <w:jc w:val="center"/>
              <w:rPr>
                <w:rFonts w:hint="eastAsia" w:ascii="仿宋_GB2312" w:hAnsi="仿宋_GB2312" w:eastAsia="仿宋_GB2312" w:cs="仿宋_GB2312"/>
                <w:kern w:val="0"/>
                <w:szCs w:val="21"/>
              </w:rPr>
            </w:pPr>
          </w:p>
        </w:tc>
      </w:tr>
      <w:tr w14:paraId="327E1AC6">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5008DE5">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7222F02">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DB61BA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26C77F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3FBA07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304AF4D">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06626D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BE3547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513FEA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8C1F7F4">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4C921A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C1BD849">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6D379A2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3519B35">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77609FB">
            <w:pPr>
              <w:tabs>
                <w:tab w:val="left" w:pos="266"/>
              </w:tabs>
              <w:jc w:val="center"/>
              <w:rPr>
                <w:rFonts w:hint="eastAsia" w:ascii="仿宋_GB2312" w:hAnsi="仿宋_GB2312" w:eastAsia="仿宋_GB2312" w:cs="仿宋_GB2312"/>
                <w:kern w:val="0"/>
                <w:szCs w:val="21"/>
              </w:rPr>
            </w:pPr>
          </w:p>
        </w:tc>
      </w:tr>
      <w:tr w14:paraId="2FF70B61">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DFC2F15">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CE08B83">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6CDD3C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AC7CB0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13E859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AD2CAD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184CB3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0916A4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F07588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86CE31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21F046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40CD7AD">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443846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196CD42">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900F4B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71ECB5DA">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9E1C299">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DE3F4D3">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881AE9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3B88CF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0685E08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10041E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708BD8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44C18D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EEF8EB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EE50C2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F9A0E1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78BDDC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8737BDF">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ED70A5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0C02A554">
            <w:pPr>
              <w:tabs>
                <w:tab w:val="left" w:pos="266"/>
              </w:tabs>
              <w:rPr>
                <w:rFonts w:hint="eastAsia" w:ascii="仿宋_GB2312" w:hAnsi="仿宋_GB2312" w:eastAsia="仿宋_GB2312" w:cs="仿宋_GB2312"/>
                <w:kern w:val="0"/>
                <w:szCs w:val="21"/>
              </w:rPr>
            </w:pPr>
          </w:p>
        </w:tc>
      </w:tr>
      <w:tr w14:paraId="331CC62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1649588">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4537C7BF">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D90795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85F5E4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0BF1C93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3D583A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E15902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468714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F1593C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7DD69B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1010C3F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AFCACE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CC0767A">
            <w:pPr>
              <w:tabs>
                <w:tab w:val="left" w:pos="266"/>
              </w:tabs>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D66BCC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0F9DA594">
            <w:pPr>
              <w:tabs>
                <w:tab w:val="left" w:pos="266"/>
              </w:tabs>
              <w:rPr>
                <w:rFonts w:hint="eastAsia" w:ascii="仿宋_GB2312" w:hAnsi="仿宋_GB2312" w:eastAsia="仿宋_GB2312" w:cs="仿宋_GB2312"/>
                <w:kern w:val="0"/>
                <w:szCs w:val="21"/>
              </w:rPr>
            </w:pPr>
          </w:p>
        </w:tc>
      </w:tr>
      <w:tr w14:paraId="16C9C3B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C8DC96E">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518C68D">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A25F2F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D1E310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3EF81B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EFBFBF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708377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51B07CF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F133EA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4B02129">
            <w:pPr>
              <w:tabs>
                <w:tab w:val="left" w:pos="266"/>
              </w:tabs>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1FE4E5F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B4A966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B51B05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9157B5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B4D38E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00F01892">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8A06E4A">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1374A8E">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17A109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83F0B0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2AE438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C4AFFB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814A7A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D2B9E2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1874C1E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903003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9AF8B9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5F035A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0D1B920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8629606">
            <w:pPr>
              <w:tabs>
                <w:tab w:val="left" w:pos="266"/>
              </w:tabs>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31D979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0A49139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404F929">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65BA196E">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病虫害防治</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11BF869">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630" w:type="pct"/>
            <w:gridSpan w:val="14"/>
            <w:vMerge w:val="restart"/>
            <w:tcBorders>
              <w:top w:val="single" w:color="000000" w:sz="4" w:space="0"/>
              <w:left w:val="single" w:color="000000" w:sz="4" w:space="0"/>
              <w:bottom w:val="single" w:color="000000" w:sz="4" w:space="0"/>
              <w:right w:val="single" w:color="000000" w:sz="4" w:space="0"/>
            </w:tcBorders>
            <w:noWrap/>
            <w:vAlign w:val="center"/>
          </w:tcPr>
          <w:p w14:paraId="1530342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木3次/年，冷季型草坪3次/年，暖季型草坪2次/年，其他各类植物全年2次，具体防治时间、频次因植物种类、天气等因素确定，病害重点参照全市病虫害防治月历及当年测报讯息实施，虫害根据监测结果及时防治</w:t>
            </w:r>
          </w:p>
        </w:tc>
      </w:tr>
      <w:tr w14:paraId="7DB101C6">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FD1BE7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95037A2">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17127A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46E7FB92">
            <w:pPr>
              <w:tabs>
                <w:tab w:val="left" w:pos="266"/>
              </w:tabs>
              <w:jc w:val="center"/>
              <w:rPr>
                <w:rFonts w:hint="eastAsia" w:ascii="仿宋_GB2312" w:hAnsi="仿宋_GB2312" w:eastAsia="仿宋_GB2312" w:cs="仿宋_GB2312"/>
                <w:kern w:val="0"/>
                <w:szCs w:val="21"/>
              </w:rPr>
            </w:pPr>
          </w:p>
        </w:tc>
      </w:tr>
      <w:tr w14:paraId="49AA1A7E">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40BDE05">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6B80C72">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D49D4B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780F96DB">
            <w:pPr>
              <w:tabs>
                <w:tab w:val="left" w:pos="266"/>
              </w:tabs>
              <w:jc w:val="center"/>
              <w:rPr>
                <w:rFonts w:hint="eastAsia" w:ascii="仿宋_GB2312" w:hAnsi="仿宋_GB2312" w:eastAsia="仿宋_GB2312" w:cs="仿宋_GB2312"/>
                <w:kern w:val="0"/>
                <w:szCs w:val="21"/>
              </w:rPr>
            </w:pPr>
          </w:p>
        </w:tc>
      </w:tr>
      <w:tr w14:paraId="690F4CAC">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CF7DA40">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7896CDB">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FE7C83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26042263">
            <w:pPr>
              <w:tabs>
                <w:tab w:val="left" w:pos="266"/>
              </w:tabs>
              <w:jc w:val="center"/>
              <w:rPr>
                <w:rFonts w:hint="eastAsia" w:ascii="仿宋_GB2312" w:hAnsi="仿宋_GB2312" w:eastAsia="仿宋_GB2312" w:cs="仿宋_GB2312"/>
                <w:kern w:val="0"/>
                <w:szCs w:val="21"/>
              </w:rPr>
            </w:pPr>
          </w:p>
        </w:tc>
      </w:tr>
      <w:tr w14:paraId="374BBB7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8961F09">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62D0521">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CC6869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7AD393DF">
            <w:pPr>
              <w:tabs>
                <w:tab w:val="left" w:pos="266"/>
              </w:tabs>
              <w:jc w:val="center"/>
              <w:rPr>
                <w:rFonts w:hint="eastAsia" w:ascii="仿宋_GB2312" w:hAnsi="仿宋_GB2312" w:eastAsia="仿宋_GB2312" w:cs="仿宋_GB2312"/>
                <w:kern w:val="0"/>
                <w:szCs w:val="21"/>
              </w:rPr>
            </w:pPr>
          </w:p>
        </w:tc>
      </w:tr>
      <w:tr w14:paraId="57F0E233">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37F439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CD4C9FD">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65C44A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4BA4ACC2">
            <w:pPr>
              <w:tabs>
                <w:tab w:val="left" w:pos="266"/>
              </w:tabs>
              <w:jc w:val="center"/>
              <w:rPr>
                <w:rFonts w:hint="eastAsia" w:ascii="仿宋_GB2312" w:hAnsi="仿宋_GB2312" w:eastAsia="仿宋_GB2312" w:cs="仿宋_GB2312"/>
                <w:kern w:val="0"/>
                <w:szCs w:val="21"/>
              </w:rPr>
            </w:pPr>
          </w:p>
        </w:tc>
      </w:tr>
      <w:tr w14:paraId="563675A1">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7981FE6">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6B16A3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EB10C0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436BDA93">
            <w:pPr>
              <w:tabs>
                <w:tab w:val="left" w:pos="266"/>
              </w:tabs>
              <w:jc w:val="center"/>
              <w:rPr>
                <w:rFonts w:hint="eastAsia" w:ascii="仿宋_GB2312" w:hAnsi="仿宋_GB2312" w:eastAsia="仿宋_GB2312" w:cs="仿宋_GB2312"/>
                <w:kern w:val="0"/>
                <w:szCs w:val="21"/>
              </w:rPr>
            </w:pPr>
          </w:p>
        </w:tc>
      </w:tr>
      <w:tr w14:paraId="5DE19943">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006B7B7">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6CE2EB3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修剪</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9D454E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  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CF0861E">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FB7B29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D9C3AE3">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3546A80">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3C9E89C">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EBE93CE">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D1F9124">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154736A">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DB885E2">
            <w:pPr>
              <w:tabs>
                <w:tab w:val="left" w:pos="266"/>
              </w:tabs>
              <w:jc w:val="center"/>
              <w:rPr>
                <w:rFonts w:hint="eastAsia" w:ascii="仿宋_GB2312" w:hAnsi="仿宋_GB2312" w:eastAsia="仿宋_GB2312" w:cs="仿宋_GB2312"/>
                <w:kern w:val="0"/>
                <w:szCs w:val="21"/>
              </w:rPr>
            </w:pPr>
          </w:p>
        </w:tc>
        <w:tc>
          <w:tcPr>
            <w:tcW w:w="928" w:type="pct"/>
            <w:gridSpan w:val="5"/>
            <w:tcBorders>
              <w:top w:val="single" w:color="000000" w:sz="4" w:space="0"/>
              <w:left w:val="single" w:color="000000" w:sz="4" w:space="0"/>
              <w:bottom w:val="single" w:color="000000" w:sz="4" w:space="0"/>
              <w:right w:val="single" w:color="000000" w:sz="4" w:space="0"/>
            </w:tcBorders>
            <w:noWrap/>
            <w:vAlign w:val="center"/>
          </w:tcPr>
          <w:p w14:paraId="060B38D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12-2月份全面1次，每月考核当月进度1/3即为合格</w:t>
            </w:r>
          </w:p>
        </w:tc>
      </w:tr>
      <w:tr w14:paraId="581CDEBD">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A22C2AE">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04431E6">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4834A3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  木</w:t>
            </w:r>
          </w:p>
        </w:tc>
        <w:tc>
          <w:tcPr>
            <w:tcW w:w="3630" w:type="pct"/>
            <w:gridSpan w:val="14"/>
            <w:tcBorders>
              <w:top w:val="single" w:color="000000" w:sz="4" w:space="0"/>
              <w:left w:val="single" w:color="000000" w:sz="4" w:space="0"/>
              <w:bottom w:val="single" w:color="000000" w:sz="4" w:space="0"/>
              <w:right w:val="single" w:color="000000" w:sz="4" w:space="0"/>
            </w:tcBorders>
            <w:noWrap/>
            <w:vAlign w:val="center"/>
          </w:tcPr>
          <w:p w14:paraId="71E36C0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各类花灌木花后修剪1次，月季例外，全年5次（3,5,7,9,11）</w:t>
            </w:r>
          </w:p>
        </w:tc>
      </w:tr>
      <w:tr w14:paraId="54FF78A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D920ABD">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D2A9E5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1BCCFC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   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189F6FD">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A68C5D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591" w:type="pct"/>
            <w:gridSpan w:val="2"/>
            <w:tcBorders>
              <w:top w:val="single" w:color="000000" w:sz="4" w:space="0"/>
              <w:left w:val="single" w:color="000000" w:sz="4" w:space="0"/>
              <w:bottom w:val="single" w:color="000000" w:sz="4" w:space="0"/>
              <w:right w:val="single" w:color="000000" w:sz="4" w:space="0"/>
            </w:tcBorders>
            <w:noWrap/>
            <w:vAlign w:val="center"/>
          </w:tcPr>
          <w:p w14:paraId="02C0663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620057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A2D69C8">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C14CD6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0946B158">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1843B53">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070D9101">
            <w:pPr>
              <w:tabs>
                <w:tab w:val="left" w:pos="266"/>
              </w:tabs>
              <w:jc w:val="center"/>
              <w:rPr>
                <w:rFonts w:hint="eastAsia" w:ascii="仿宋_GB2312" w:hAnsi="仿宋_GB2312" w:eastAsia="仿宋_GB2312" w:cs="仿宋_GB2312"/>
                <w:kern w:val="0"/>
                <w:szCs w:val="21"/>
              </w:rPr>
            </w:pPr>
          </w:p>
        </w:tc>
        <w:tc>
          <w:tcPr>
            <w:tcW w:w="599" w:type="pct"/>
            <w:gridSpan w:val="4"/>
            <w:tcBorders>
              <w:top w:val="single" w:color="000000" w:sz="4" w:space="0"/>
              <w:left w:val="single" w:color="000000" w:sz="4" w:space="0"/>
              <w:bottom w:val="single" w:color="000000" w:sz="4" w:space="0"/>
              <w:right w:val="single" w:color="000000" w:sz="4" w:space="0"/>
            </w:tcBorders>
            <w:noWrap/>
            <w:vAlign w:val="center"/>
          </w:tcPr>
          <w:p w14:paraId="2F760A6E">
            <w:pPr>
              <w:tabs>
                <w:tab w:val="left" w:pos="266"/>
              </w:tabs>
              <w:jc w:val="center"/>
              <w:rPr>
                <w:rFonts w:hint="eastAsia" w:ascii="仿宋_GB2312" w:hAnsi="仿宋_GB2312" w:eastAsia="仿宋_GB2312" w:cs="仿宋_GB2312"/>
                <w:kern w:val="0"/>
                <w:szCs w:val="21"/>
              </w:rPr>
            </w:pPr>
          </w:p>
        </w:tc>
      </w:tr>
      <w:tr w14:paraId="0569ED0E">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8FFB0A5">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5413F17">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B30095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B5DA89B">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02ABF55">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D8FA6BD">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70C50DA">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31C9DCB">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0A1E8F5">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6DD649D">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130C48F">
            <w:pPr>
              <w:tabs>
                <w:tab w:val="left" w:pos="266"/>
              </w:tabs>
              <w:jc w:val="center"/>
              <w:rPr>
                <w:rFonts w:hint="eastAsia" w:ascii="仿宋_GB2312" w:hAnsi="仿宋_GB2312" w:eastAsia="仿宋_GB2312" w:cs="仿宋_GB2312"/>
                <w:kern w:val="0"/>
                <w:szCs w:val="21"/>
              </w:rPr>
            </w:pPr>
          </w:p>
        </w:tc>
        <w:tc>
          <w:tcPr>
            <w:tcW w:w="666" w:type="pct"/>
            <w:gridSpan w:val="2"/>
            <w:tcBorders>
              <w:top w:val="single" w:color="000000" w:sz="4" w:space="0"/>
              <w:left w:val="single" w:color="000000" w:sz="4" w:space="0"/>
              <w:bottom w:val="single" w:color="000000" w:sz="4" w:space="0"/>
              <w:right w:val="single" w:color="000000" w:sz="4" w:space="0"/>
            </w:tcBorders>
            <w:noWrap/>
            <w:vAlign w:val="center"/>
          </w:tcPr>
          <w:p w14:paraId="3FCF6E89">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0CC5689">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36D9BAB2">
            <w:pPr>
              <w:tabs>
                <w:tab w:val="left" w:pos="266"/>
              </w:tabs>
              <w:jc w:val="center"/>
              <w:rPr>
                <w:rFonts w:hint="eastAsia" w:ascii="仿宋_GB2312" w:hAnsi="仿宋_GB2312" w:eastAsia="仿宋_GB2312" w:cs="仿宋_GB2312"/>
                <w:kern w:val="0"/>
                <w:szCs w:val="21"/>
              </w:rPr>
            </w:pPr>
          </w:p>
        </w:tc>
      </w:tr>
      <w:tr w14:paraId="71F0C7DD">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73B451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3E96F7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6F1710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998E371">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412D10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422138C">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C67B6F8">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5BC0893">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2D1A6CE">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515FFFC">
            <w:pPr>
              <w:tabs>
                <w:tab w:val="left" w:pos="266"/>
              </w:tabs>
              <w:jc w:val="center"/>
              <w:rPr>
                <w:rFonts w:hint="eastAsia" w:ascii="仿宋_GB2312" w:hAnsi="仿宋_GB2312" w:eastAsia="仿宋_GB2312" w:cs="仿宋_GB2312"/>
                <w:kern w:val="0"/>
                <w:szCs w:val="21"/>
              </w:rPr>
            </w:pPr>
          </w:p>
        </w:tc>
        <w:tc>
          <w:tcPr>
            <w:tcW w:w="990" w:type="pct"/>
            <w:gridSpan w:val="3"/>
            <w:tcBorders>
              <w:top w:val="single" w:color="000000" w:sz="4" w:space="0"/>
              <w:left w:val="single" w:color="000000" w:sz="4" w:space="0"/>
              <w:bottom w:val="single" w:color="000000" w:sz="4" w:space="0"/>
              <w:right w:val="single" w:color="000000" w:sz="4" w:space="0"/>
            </w:tcBorders>
            <w:noWrap/>
            <w:vAlign w:val="center"/>
          </w:tcPr>
          <w:p w14:paraId="1AE47393">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4378B2FC">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53765AF2">
            <w:pPr>
              <w:tabs>
                <w:tab w:val="left" w:pos="266"/>
              </w:tabs>
              <w:jc w:val="center"/>
              <w:rPr>
                <w:rFonts w:hint="eastAsia" w:ascii="仿宋_GB2312" w:hAnsi="仿宋_GB2312" w:eastAsia="仿宋_GB2312" w:cs="仿宋_GB2312"/>
                <w:kern w:val="0"/>
                <w:szCs w:val="21"/>
              </w:rPr>
            </w:pPr>
          </w:p>
        </w:tc>
      </w:tr>
      <w:tr w14:paraId="1F1DD124">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A5D149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7D5B6E2">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2FB186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D5D29A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6248BB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C63FD3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98F70B8">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3DF682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F9983F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C7B2B4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6CE08F3">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E507DF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D8F224F">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0420D3B2">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5C4EB7D0">
            <w:pPr>
              <w:tabs>
                <w:tab w:val="left" w:pos="266"/>
              </w:tabs>
              <w:jc w:val="center"/>
              <w:rPr>
                <w:rFonts w:hint="eastAsia" w:ascii="仿宋_GB2312" w:hAnsi="仿宋_GB2312" w:eastAsia="仿宋_GB2312" w:cs="仿宋_GB2312"/>
                <w:kern w:val="0"/>
                <w:szCs w:val="21"/>
              </w:rPr>
            </w:pPr>
          </w:p>
        </w:tc>
      </w:tr>
      <w:tr w14:paraId="25290D5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CB5EBC8">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472A273">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63F01B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D8CA67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8E969A7">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3EB277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112546DD">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AFE66D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0A78E542">
            <w:pPr>
              <w:tabs>
                <w:tab w:val="left" w:pos="266"/>
              </w:tabs>
              <w:jc w:val="center"/>
              <w:rPr>
                <w:rFonts w:hint="eastAsia" w:ascii="仿宋_GB2312" w:hAnsi="仿宋_GB2312" w:eastAsia="仿宋_GB2312" w:cs="仿宋_GB2312"/>
                <w:kern w:val="0"/>
                <w:szCs w:val="21"/>
              </w:rPr>
            </w:pPr>
          </w:p>
        </w:tc>
        <w:tc>
          <w:tcPr>
            <w:tcW w:w="609" w:type="pct"/>
            <w:gridSpan w:val="2"/>
            <w:tcBorders>
              <w:top w:val="single" w:color="000000" w:sz="4" w:space="0"/>
              <w:left w:val="single" w:color="000000" w:sz="4" w:space="0"/>
              <w:bottom w:val="single" w:color="000000" w:sz="4" w:space="0"/>
              <w:right w:val="single" w:color="000000" w:sz="4" w:space="0"/>
            </w:tcBorders>
            <w:noWrap/>
            <w:vAlign w:val="center"/>
          </w:tcPr>
          <w:p w14:paraId="3767443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DAE12DB">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0EF782B9">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0F2CFE7">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507AE39">
            <w:pPr>
              <w:tabs>
                <w:tab w:val="left" w:pos="266"/>
              </w:tabs>
              <w:jc w:val="center"/>
              <w:rPr>
                <w:rFonts w:hint="eastAsia" w:ascii="仿宋_GB2312" w:hAnsi="仿宋_GB2312" w:eastAsia="仿宋_GB2312" w:cs="仿宋_GB2312"/>
                <w:kern w:val="0"/>
                <w:szCs w:val="21"/>
              </w:rPr>
            </w:pPr>
          </w:p>
        </w:tc>
      </w:tr>
      <w:tr w14:paraId="358DFEB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79AE823">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46AE2E69">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施肥</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86DD11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0341C7E">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EB4BD3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50E6D4E">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40C278F1">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052AC9FA">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5D85CF8">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A85A78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0506AC7">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70668D7">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227209E8">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A414C6B">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AF34ACC">
            <w:pPr>
              <w:tabs>
                <w:tab w:val="left" w:pos="266"/>
              </w:tabs>
              <w:jc w:val="center"/>
              <w:rPr>
                <w:rFonts w:hint="eastAsia" w:ascii="仿宋_GB2312" w:hAnsi="仿宋_GB2312" w:eastAsia="仿宋_GB2312" w:cs="仿宋_GB2312"/>
                <w:kern w:val="0"/>
                <w:szCs w:val="21"/>
              </w:rPr>
            </w:pPr>
          </w:p>
        </w:tc>
      </w:tr>
      <w:tr w14:paraId="1653463E">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DB2BF62">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84DC354">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7AF6C5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33F9A1D">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81E6573">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700CB15">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F971451">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F74C864">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295A222">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00868F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0F325DB">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45C1733">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7A9958B7">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CF20E67">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5990233B">
            <w:pPr>
              <w:tabs>
                <w:tab w:val="left" w:pos="266"/>
              </w:tabs>
              <w:jc w:val="center"/>
              <w:rPr>
                <w:rFonts w:hint="eastAsia" w:ascii="仿宋_GB2312" w:hAnsi="仿宋_GB2312" w:eastAsia="仿宋_GB2312" w:cs="仿宋_GB2312"/>
                <w:kern w:val="0"/>
                <w:szCs w:val="21"/>
              </w:rPr>
            </w:pPr>
          </w:p>
        </w:tc>
      </w:tr>
      <w:tr w14:paraId="00DD6528">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E3D7AF2">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FC20DDA">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652E548">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3E61B3F">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6F54290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30B0D6F">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AF3DC48">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BFA230B">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9B7BA1E">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BCC3D5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51088FBC">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D95AD36">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34D23991">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4B94E8E6">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4961CE1F">
            <w:pPr>
              <w:tabs>
                <w:tab w:val="left" w:pos="266"/>
              </w:tabs>
              <w:jc w:val="center"/>
              <w:rPr>
                <w:rFonts w:hint="eastAsia" w:ascii="仿宋_GB2312" w:hAnsi="仿宋_GB2312" w:eastAsia="仿宋_GB2312" w:cs="仿宋_GB2312"/>
                <w:kern w:val="0"/>
                <w:szCs w:val="21"/>
              </w:rPr>
            </w:pPr>
          </w:p>
        </w:tc>
      </w:tr>
      <w:tr w14:paraId="76C7B20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E35AFC8">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0B662B4">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17C1358">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9C28F3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3C90B51">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6251465">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297F015">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36FE41C">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802D244">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6BF5AA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1ABB32A">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EF79E22">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6E690285">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4F33C7F">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55842836">
            <w:pPr>
              <w:tabs>
                <w:tab w:val="left" w:pos="266"/>
              </w:tabs>
              <w:jc w:val="center"/>
              <w:rPr>
                <w:rFonts w:hint="eastAsia" w:ascii="仿宋_GB2312" w:hAnsi="仿宋_GB2312" w:eastAsia="仿宋_GB2312" w:cs="仿宋_GB2312"/>
                <w:kern w:val="0"/>
                <w:szCs w:val="21"/>
              </w:rPr>
            </w:pPr>
          </w:p>
        </w:tc>
      </w:tr>
      <w:tr w14:paraId="4407A55D">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5E22FC8">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76365FE5">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26A607E">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3CC646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6783B2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9022B86">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33B3FCB9">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3C40C188">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DAF5118">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142E80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18F2620B">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B662CE8">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1A7927CF">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48E753FD">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2CD9617">
            <w:pPr>
              <w:tabs>
                <w:tab w:val="left" w:pos="266"/>
              </w:tabs>
              <w:jc w:val="center"/>
              <w:rPr>
                <w:rFonts w:hint="eastAsia" w:ascii="仿宋_GB2312" w:hAnsi="仿宋_GB2312" w:eastAsia="仿宋_GB2312" w:cs="仿宋_GB2312"/>
                <w:kern w:val="0"/>
                <w:szCs w:val="21"/>
              </w:rPr>
            </w:pPr>
          </w:p>
        </w:tc>
      </w:tr>
      <w:tr w14:paraId="303BD6A2">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6E5578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C4A1C1C">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D28BF1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7097954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E1556A6">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EC70B52">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237C79B9">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CBA8383">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7A35CAB">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A2D685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0F9C0C0">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C930AED">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1A0022C4">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78108CD">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D49F30C">
            <w:pPr>
              <w:tabs>
                <w:tab w:val="left" w:pos="266"/>
              </w:tabs>
              <w:jc w:val="center"/>
              <w:rPr>
                <w:rFonts w:hint="eastAsia" w:ascii="仿宋_GB2312" w:hAnsi="仿宋_GB2312" w:eastAsia="仿宋_GB2312" w:cs="仿宋_GB2312"/>
                <w:kern w:val="0"/>
                <w:szCs w:val="21"/>
              </w:rPr>
            </w:pPr>
          </w:p>
        </w:tc>
      </w:tr>
      <w:tr w14:paraId="4E8CF2A1">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3BA0965">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54A40F1">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3A1DE9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D92F96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01BC60B8">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3312FDB0">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2817293">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D017C28">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2360726">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7446C12">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7AFF536">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02112BA">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02350C7F">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30E3C3D2">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FFAF1BB">
            <w:pPr>
              <w:tabs>
                <w:tab w:val="left" w:pos="266"/>
              </w:tabs>
              <w:jc w:val="center"/>
              <w:rPr>
                <w:rFonts w:hint="eastAsia" w:ascii="仿宋_GB2312" w:hAnsi="仿宋_GB2312" w:eastAsia="仿宋_GB2312" w:cs="仿宋_GB2312"/>
                <w:kern w:val="0"/>
                <w:szCs w:val="21"/>
              </w:rPr>
            </w:pPr>
          </w:p>
        </w:tc>
      </w:tr>
      <w:tr w14:paraId="30837F4E">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4F0FE3C">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2C43C97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清掏</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623CF78">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1BB89247">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29DA6E85">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E22B26D">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5CC7DE2">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4B29B35">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D8992A3">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627D6E6">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B7D7D55">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8305F36">
            <w:pPr>
              <w:tabs>
                <w:tab w:val="left" w:pos="266"/>
              </w:tabs>
              <w:jc w:val="center"/>
              <w:rPr>
                <w:rFonts w:hint="eastAsia" w:ascii="仿宋_GB2312" w:hAnsi="仿宋_GB2312" w:eastAsia="仿宋_GB2312" w:cs="仿宋_GB2312"/>
                <w:kern w:val="0"/>
                <w:szCs w:val="21"/>
              </w:rPr>
            </w:pPr>
          </w:p>
        </w:tc>
        <w:tc>
          <w:tcPr>
            <w:tcW w:w="329" w:type="pct"/>
            <w:vMerge w:val="restart"/>
            <w:tcBorders>
              <w:top w:val="single" w:color="000000" w:sz="4" w:space="0"/>
              <w:left w:val="single" w:color="000000" w:sz="4" w:space="0"/>
              <w:bottom w:val="single" w:color="000000" w:sz="4" w:space="0"/>
              <w:right w:val="single" w:color="000000" w:sz="4" w:space="0"/>
            </w:tcBorders>
            <w:noWrap/>
            <w:vAlign w:val="center"/>
          </w:tcPr>
          <w:p w14:paraId="2646D38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1A822FA4">
            <w:pPr>
              <w:tabs>
                <w:tab w:val="left" w:pos="266"/>
              </w:tabs>
              <w:jc w:val="center"/>
              <w:rPr>
                <w:rFonts w:hint="eastAsia" w:ascii="仿宋_GB2312" w:hAnsi="仿宋_GB2312" w:eastAsia="仿宋_GB2312" w:cs="仿宋_GB2312"/>
                <w:kern w:val="0"/>
                <w:szCs w:val="21"/>
              </w:rPr>
            </w:pPr>
          </w:p>
        </w:tc>
        <w:tc>
          <w:tcPr>
            <w:tcW w:w="301" w:type="pct"/>
            <w:gridSpan w:val="2"/>
            <w:vMerge w:val="restart"/>
            <w:tcBorders>
              <w:top w:val="single" w:color="000000" w:sz="4" w:space="0"/>
              <w:left w:val="single" w:color="000000" w:sz="4" w:space="0"/>
              <w:bottom w:val="single" w:color="000000" w:sz="4" w:space="0"/>
              <w:right w:val="single" w:color="000000" w:sz="4" w:space="0"/>
            </w:tcBorders>
            <w:noWrap/>
            <w:vAlign w:val="center"/>
          </w:tcPr>
          <w:p w14:paraId="1F65BD0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r>
      <w:tr w14:paraId="78AA1D1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861B157">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B7221FB">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8C095F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030AEBFA">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3FD6E55">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50E374D">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5073F8D0">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AF70B1C">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50C04F7E">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1BD3010">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18F0050C">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0B81215">
            <w:pPr>
              <w:tabs>
                <w:tab w:val="left" w:pos="266"/>
              </w:tabs>
              <w:jc w:val="center"/>
              <w:rPr>
                <w:rFonts w:hint="eastAsia" w:ascii="仿宋_GB2312" w:hAnsi="仿宋_GB2312" w:eastAsia="仿宋_GB2312" w:cs="仿宋_GB2312"/>
                <w:kern w:val="0"/>
                <w:szCs w:val="21"/>
              </w:rPr>
            </w:pPr>
          </w:p>
        </w:tc>
        <w:tc>
          <w:tcPr>
            <w:tcW w:w="329" w:type="pct"/>
            <w:vMerge w:val="continue"/>
            <w:tcBorders>
              <w:top w:val="single" w:color="000000" w:sz="4" w:space="0"/>
              <w:left w:val="single" w:color="000000" w:sz="4" w:space="0"/>
              <w:bottom w:val="single" w:color="000000" w:sz="4" w:space="0"/>
              <w:right w:val="single" w:color="000000" w:sz="4" w:space="0"/>
            </w:tcBorders>
            <w:noWrap/>
            <w:vAlign w:val="center"/>
          </w:tcPr>
          <w:p w14:paraId="522A041D">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402A00CE">
            <w:pPr>
              <w:tabs>
                <w:tab w:val="left" w:pos="266"/>
              </w:tabs>
              <w:jc w:val="center"/>
              <w:rPr>
                <w:rFonts w:hint="eastAsia" w:ascii="仿宋_GB2312" w:hAnsi="仿宋_GB2312" w:eastAsia="仿宋_GB2312" w:cs="仿宋_GB2312"/>
                <w:kern w:val="0"/>
                <w:szCs w:val="21"/>
              </w:rPr>
            </w:pPr>
          </w:p>
        </w:tc>
        <w:tc>
          <w:tcPr>
            <w:tcW w:w="301"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14:paraId="4AC0FA2C">
            <w:pPr>
              <w:tabs>
                <w:tab w:val="left" w:pos="266"/>
              </w:tabs>
              <w:jc w:val="center"/>
              <w:rPr>
                <w:rFonts w:hint="eastAsia" w:ascii="仿宋_GB2312" w:hAnsi="仿宋_GB2312" w:eastAsia="仿宋_GB2312" w:cs="仿宋_GB2312"/>
                <w:kern w:val="0"/>
                <w:szCs w:val="21"/>
              </w:rPr>
            </w:pPr>
          </w:p>
        </w:tc>
      </w:tr>
      <w:tr w14:paraId="4255C7BB">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2C1782F">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CA6A794">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DF18769">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绿篱</w:t>
            </w:r>
          </w:p>
        </w:tc>
        <w:tc>
          <w:tcPr>
            <w:tcW w:w="3630" w:type="pct"/>
            <w:gridSpan w:val="14"/>
            <w:vMerge w:val="restart"/>
            <w:tcBorders>
              <w:top w:val="single" w:color="000000" w:sz="4" w:space="0"/>
              <w:left w:val="single" w:color="000000" w:sz="4" w:space="0"/>
              <w:bottom w:val="single" w:color="000000" w:sz="4" w:space="0"/>
              <w:right w:val="single" w:color="000000" w:sz="4" w:space="0"/>
            </w:tcBorders>
            <w:noWrap/>
            <w:vAlign w:val="center"/>
          </w:tcPr>
          <w:p w14:paraId="64AF7EF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一般情况下，5-7月份1次，11-12月份1次。按栽植区域具体分为：落叶树种落叶期每年1次，常绿树种落叶期1次，具体以落叶起止时间为准；栽植法桐区域或邻近法桐栽植区域全年6次，其中法桐落叶季（12-3月）每月1次，兼有以上2-3种情况的路段可结合进行。合计全年共2-6次。</w:t>
            </w:r>
          </w:p>
        </w:tc>
      </w:tr>
      <w:tr w14:paraId="2ABF415E">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2066F8C4">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5B7DE9E5">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B46A47E">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25794B22">
            <w:pPr>
              <w:tabs>
                <w:tab w:val="left" w:pos="266"/>
              </w:tabs>
              <w:jc w:val="center"/>
              <w:rPr>
                <w:rFonts w:hint="eastAsia" w:ascii="仿宋_GB2312" w:hAnsi="仿宋_GB2312" w:eastAsia="仿宋_GB2312" w:cs="仿宋_GB2312"/>
                <w:kern w:val="0"/>
                <w:szCs w:val="21"/>
              </w:rPr>
            </w:pPr>
          </w:p>
        </w:tc>
      </w:tr>
      <w:tr w14:paraId="7CE699D3">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FF17DCC">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1F792B1">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D82AE32">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16185B57">
            <w:pPr>
              <w:tabs>
                <w:tab w:val="left" w:pos="266"/>
              </w:tabs>
              <w:jc w:val="center"/>
              <w:rPr>
                <w:rFonts w:hint="eastAsia" w:ascii="仿宋_GB2312" w:hAnsi="仿宋_GB2312" w:eastAsia="仿宋_GB2312" w:cs="仿宋_GB2312"/>
                <w:kern w:val="0"/>
                <w:szCs w:val="21"/>
              </w:rPr>
            </w:pPr>
          </w:p>
        </w:tc>
      </w:tr>
      <w:tr w14:paraId="639EB4C9">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1249BA5B">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7497797">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4EDE660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001FFAEC">
            <w:pPr>
              <w:tabs>
                <w:tab w:val="left" w:pos="266"/>
              </w:tabs>
              <w:jc w:val="center"/>
              <w:rPr>
                <w:rFonts w:hint="eastAsia" w:ascii="仿宋_GB2312" w:hAnsi="仿宋_GB2312" w:eastAsia="仿宋_GB2312" w:cs="仿宋_GB2312"/>
                <w:kern w:val="0"/>
                <w:szCs w:val="21"/>
              </w:rPr>
            </w:pPr>
          </w:p>
        </w:tc>
      </w:tr>
      <w:tr w14:paraId="2F7541A3">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D0F9C3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DDD7267">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77EEB55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630" w:type="pct"/>
            <w:gridSpan w:val="14"/>
            <w:vMerge w:val="continue"/>
            <w:tcBorders>
              <w:top w:val="single" w:color="000000" w:sz="4" w:space="0"/>
              <w:left w:val="single" w:color="000000" w:sz="4" w:space="0"/>
              <w:bottom w:val="single" w:color="000000" w:sz="4" w:space="0"/>
              <w:right w:val="single" w:color="000000" w:sz="4" w:space="0"/>
            </w:tcBorders>
            <w:noWrap/>
            <w:vAlign w:val="center"/>
          </w:tcPr>
          <w:p w14:paraId="01CEBD91">
            <w:pPr>
              <w:tabs>
                <w:tab w:val="left" w:pos="266"/>
              </w:tabs>
              <w:jc w:val="center"/>
              <w:rPr>
                <w:rFonts w:hint="eastAsia" w:ascii="仿宋_GB2312" w:hAnsi="仿宋_GB2312" w:eastAsia="仿宋_GB2312" w:cs="仿宋_GB2312"/>
                <w:kern w:val="0"/>
                <w:szCs w:val="21"/>
              </w:rPr>
            </w:pPr>
          </w:p>
        </w:tc>
      </w:tr>
      <w:tr w14:paraId="5D4EF82B">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B495D65">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2951DBC5">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除草</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92EA274">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乔木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86B5DB9">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52964D59">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421E338">
            <w:pPr>
              <w:tabs>
                <w:tab w:val="left" w:pos="266"/>
              </w:tabs>
              <w:jc w:val="center"/>
              <w:rPr>
                <w:rFonts w:hint="eastAsia" w:ascii="仿宋_GB2312" w:hAnsi="仿宋_GB2312" w:eastAsia="仿宋_GB2312" w:cs="仿宋_GB2312"/>
                <w:kern w:val="0"/>
                <w:szCs w:val="21"/>
              </w:rPr>
            </w:pP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00A2371">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D8FEA0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F3BC63E">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290703F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F565642">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1B9A950">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2D46A5C2">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0CBCCAF9">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26D3D1B2">
            <w:pPr>
              <w:tabs>
                <w:tab w:val="left" w:pos="266"/>
              </w:tabs>
              <w:jc w:val="center"/>
              <w:rPr>
                <w:rFonts w:hint="eastAsia" w:ascii="仿宋_GB2312" w:hAnsi="仿宋_GB2312" w:eastAsia="仿宋_GB2312" w:cs="仿宋_GB2312"/>
                <w:kern w:val="0"/>
                <w:szCs w:val="21"/>
              </w:rPr>
            </w:pPr>
          </w:p>
        </w:tc>
      </w:tr>
      <w:tr w14:paraId="0F135FD3">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E05485F">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38CC7FC9">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B896F70">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灌木</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443F43A6">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306756D">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540FAB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ACB74C4">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70CDC4D4">
            <w:pPr>
              <w:tabs>
                <w:tab w:val="left" w:pos="266"/>
              </w:tabs>
              <w:jc w:val="center"/>
              <w:rPr>
                <w:rFonts w:hint="eastAsia" w:ascii="仿宋_GB2312" w:hAnsi="仿宋_GB2312" w:eastAsia="仿宋_GB2312" w:cs="仿宋_GB2312"/>
                <w:kern w:val="0"/>
                <w:szCs w:val="21"/>
              </w:rPr>
            </w:pP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969BDD6">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D67766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0781F11">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4D0082E">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43D32C5">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76B05F52">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6F2A0F5B">
            <w:pPr>
              <w:tabs>
                <w:tab w:val="left" w:pos="266"/>
              </w:tabs>
              <w:jc w:val="center"/>
              <w:rPr>
                <w:rFonts w:hint="eastAsia" w:ascii="仿宋_GB2312" w:hAnsi="仿宋_GB2312" w:eastAsia="仿宋_GB2312" w:cs="仿宋_GB2312"/>
                <w:kern w:val="0"/>
                <w:szCs w:val="21"/>
              </w:rPr>
            </w:pPr>
          </w:p>
        </w:tc>
      </w:tr>
      <w:tr w14:paraId="5FFA853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49784B5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59DDCE4">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8BF0D4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绿篱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6CF4C4A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40D8A373">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614009B">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36708DC">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22258AE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48C4DFA">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B1D2DC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1273FC7">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53FCFC8">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56744FD4">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605032BE">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71EBDD1">
            <w:pPr>
              <w:tabs>
                <w:tab w:val="left" w:pos="266"/>
              </w:tabs>
              <w:jc w:val="center"/>
              <w:rPr>
                <w:rFonts w:hint="eastAsia" w:ascii="仿宋_GB2312" w:hAnsi="仿宋_GB2312" w:eastAsia="仿宋_GB2312" w:cs="仿宋_GB2312"/>
                <w:kern w:val="0"/>
                <w:szCs w:val="21"/>
              </w:rPr>
            </w:pPr>
          </w:p>
        </w:tc>
      </w:tr>
      <w:tr w14:paraId="05320990">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5BC28A9C">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0CA0991E">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3236C7C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1-2年生草花</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1496BF7">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C7E8F4F">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B33D6E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6C8F0F0">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02443CC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3ED5825C">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D4BBE1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1795A13">
            <w:pPr>
              <w:tabs>
                <w:tab w:val="left" w:pos="266"/>
              </w:tabs>
              <w:jc w:val="center"/>
              <w:rPr>
                <w:rFonts w:hint="eastAsia" w:ascii="仿宋_GB2312" w:hAnsi="仿宋_GB2312" w:eastAsia="仿宋_GB2312" w:cs="仿宋_GB2312"/>
                <w:kern w:val="0"/>
                <w:szCs w:val="21"/>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B4DC611">
            <w:pPr>
              <w:tabs>
                <w:tab w:val="left" w:pos="266"/>
              </w:tabs>
              <w:jc w:val="center"/>
              <w:rPr>
                <w:rFonts w:hint="eastAsia" w:ascii="仿宋_GB2312" w:hAnsi="仿宋_GB2312" w:eastAsia="仿宋_GB2312" w:cs="仿宋_GB2312"/>
                <w:kern w:val="0"/>
                <w:szCs w:val="21"/>
              </w:rPr>
            </w:pPr>
          </w:p>
        </w:tc>
        <w:tc>
          <w:tcPr>
            <w:tcW w:w="329" w:type="pct"/>
            <w:tcBorders>
              <w:top w:val="single" w:color="000000" w:sz="4" w:space="0"/>
              <w:left w:val="single" w:color="000000" w:sz="4" w:space="0"/>
              <w:bottom w:val="single" w:color="000000" w:sz="4" w:space="0"/>
              <w:right w:val="single" w:color="000000" w:sz="4" w:space="0"/>
            </w:tcBorders>
            <w:noWrap/>
            <w:vAlign w:val="center"/>
          </w:tcPr>
          <w:p w14:paraId="1E3777B3">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06C7C77E">
            <w:pPr>
              <w:tabs>
                <w:tab w:val="left" w:pos="266"/>
              </w:tabs>
              <w:jc w:val="center"/>
              <w:rPr>
                <w:rFonts w:hint="eastAsia" w:ascii="仿宋_GB2312" w:hAnsi="仿宋_GB2312" w:eastAsia="仿宋_GB2312" w:cs="仿宋_GB2312"/>
                <w:kern w:val="0"/>
                <w:szCs w:val="21"/>
              </w:rPr>
            </w:pP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17A9C58B">
            <w:pPr>
              <w:tabs>
                <w:tab w:val="left" w:pos="266"/>
              </w:tabs>
              <w:jc w:val="center"/>
              <w:rPr>
                <w:rFonts w:hint="eastAsia" w:ascii="仿宋_GB2312" w:hAnsi="仿宋_GB2312" w:eastAsia="仿宋_GB2312" w:cs="仿宋_GB2312"/>
                <w:kern w:val="0"/>
                <w:szCs w:val="21"/>
              </w:rPr>
            </w:pPr>
          </w:p>
        </w:tc>
      </w:tr>
      <w:tr w14:paraId="160B5A15">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5171BA5">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619AC652">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10A1196C">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宿根花卉</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62774FD">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3713532">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10AB57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61D16AA5">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42CA3C3E">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61DDEBFB">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12253165">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B98BF2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F37D481">
            <w:pPr>
              <w:tabs>
                <w:tab w:val="left" w:pos="266"/>
              </w:tabs>
              <w:jc w:val="center"/>
              <w:rPr>
                <w:rFonts w:hint="eastAsia" w:ascii="仿宋_GB2312" w:hAnsi="仿宋_GB2312" w:eastAsia="仿宋_GB2312" w:cs="仿宋_GB2312"/>
                <w:kern w:val="0"/>
                <w:szCs w:val="21"/>
              </w:rPr>
            </w:pPr>
          </w:p>
        </w:tc>
        <w:tc>
          <w:tcPr>
            <w:tcW w:w="445" w:type="pct"/>
            <w:gridSpan w:val="2"/>
            <w:tcBorders>
              <w:top w:val="single" w:color="000000" w:sz="4" w:space="0"/>
              <w:left w:val="single" w:color="000000" w:sz="4" w:space="0"/>
              <w:bottom w:val="single" w:color="000000" w:sz="4" w:space="0"/>
              <w:right w:val="single" w:color="000000" w:sz="4" w:space="0"/>
            </w:tcBorders>
            <w:noWrap/>
            <w:vAlign w:val="center"/>
          </w:tcPr>
          <w:p w14:paraId="400D903C">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57F6CE93">
            <w:pPr>
              <w:tabs>
                <w:tab w:val="left" w:pos="266"/>
              </w:tabs>
              <w:jc w:val="center"/>
              <w:rPr>
                <w:rFonts w:hint="eastAsia" w:ascii="仿宋_GB2312" w:hAnsi="仿宋_GB2312" w:eastAsia="仿宋_GB2312" w:cs="仿宋_GB2312"/>
                <w:kern w:val="0"/>
                <w:szCs w:val="21"/>
              </w:rPr>
            </w:pPr>
          </w:p>
        </w:tc>
        <w:tc>
          <w:tcPr>
            <w:tcW w:w="185" w:type="pct"/>
            <w:tcBorders>
              <w:top w:val="single" w:color="000000" w:sz="4" w:space="0"/>
              <w:left w:val="single" w:color="000000" w:sz="4" w:space="0"/>
              <w:bottom w:val="single" w:color="000000" w:sz="4" w:space="0"/>
              <w:right w:val="single" w:color="000000" w:sz="4" w:space="0"/>
            </w:tcBorders>
            <w:noWrap/>
            <w:vAlign w:val="center"/>
          </w:tcPr>
          <w:p w14:paraId="689D3DB7">
            <w:pPr>
              <w:tabs>
                <w:tab w:val="left" w:pos="266"/>
              </w:tabs>
              <w:jc w:val="center"/>
              <w:rPr>
                <w:rFonts w:hint="eastAsia" w:ascii="仿宋_GB2312" w:hAnsi="仿宋_GB2312" w:eastAsia="仿宋_GB2312" w:cs="仿宋_GB2312"/>
                <w:kern w:val="0"/>
                <w:szCs w:val="21"/>
              </w:rPr>
            </w:pPr>
          </w:p>
        </w:tc>
      </w:tr>
      <w:tr w14:paraId="3BA1E5B4">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0113A985">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FD9496F">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22EAB5C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冷季型草坪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ECCF5C6">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1F6F0F9F">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71BDB29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73864145">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72E5E4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47EC332C">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0368CCC">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D23F8F7">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7AE4D84">
            <w:pPr>
              <w:tabs>
                <w:tab w:val="left" w:pos="266"/>
              </w:tabs>
              <w:jc w:val="center"/>
              <w:rPr>
                <w:rFonts w:hint="eastAsia" w:ascii="仿宋_GB2312" w:hAnsi="仿宋_GB2312" w:eastAsia="仿宋_GB2312" w:cs="仿宋_GB2312"/>
                <w:kern w:val="0"/>
                <w:szCs w:val="21"/>
              </w:rPr>
            </w:pPr>
          </w:p>
        </w:tc>
        <w:tc>
          <w:tcPr>
            <w:tcW w:w="445" w:type="pct"/>
            <w:gridSpan w:val="2"/>
            <w:tcBorders>
              <w:top w:val="single" w:color="000000" w:sz="4" w:space="0"/>
              <w:left w:val="single" w:color="000000" w:sz="4" w:space="0"/>
              <w:bottom w:val="single" w:color="000000" w:sz="4" w:space="0"/>
              <w:right w:val="single" w:color="000000" w:sz="4" w:space="0"/>
            </w:tcBorders>
            <w:noWrap/>
            <w:vAlign w:val="center"/>
          </w:tcPr>
          <w:p w14:paraId="47C09E2E">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EE9804B">
            <w:pPr>
              <w:tabs>
                <w:tab w:val="left" w:pos="266"/>
              </w:tabs>
              <w:jc w:val="center"/>
              <w:rPr>
                <w:rFonts w:hint="eastAsia" w:ascii="仿宋_GB2312" w:hAnsi="仿宋_GB2312" w:eastAsia="仿宋_GB2312" w:cs="仿宋_GB2312"/>
                <w:kern w:val="0"/>
                <w:szCs w:val="21"/>
              </w:rPr>
            </w:pPr>
          </w:p>
        </w:tc>
        <w:tc>
          <w:tcPr>
            <w:tcW w:w="185" w:type="pct"/>
            <w:tcBorders>
              <w:top w:val="single" w:color="000000" w:sz="4" w:space="0"/>
              <w:left w:val="single" w:color="000000" w:sz="4" w:space="0"/>
              <w:bottom w:val="single" w:color="000000" w:sz="4" w:space="0"/>
              <w:right w:val="single" w:color="000000" w:sz="4" w:space="0"/>
            </w:tcBorders>
            <w:noWrap/>
            <w:vAlign w:val="center"/>
          </w:tcPr>
          <w:p w14:paraId="454885CF">
            <w:pPr>
              <w:tabs>
                <w:tab w:val="left" w:pos="266"/>
              </w:tabs>
              <w:jc w:val="center"/>
              <w:rPr>
                <w:rFonts w:hint="eastAsia" w:ascii="仿宋_GB2312" w:hAnsi="仿宋_GB2312" w:eastAsia="仿宋_GB2312" w:cs="仿宋_GB2312"/>
                <w:kern w:val="0"/>
                <w:szCs w:val="21"/>
              </w:rPr>
            </w:pPr>
          </w:p>
        </w:tc>
      </w:tr>
      <w:tr w14:paraId="429A7C47">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7D432353">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1A082CC0">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0EC33D5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暖季型草坪</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3C7D6C6E">
            <w:pPr>
              <w:tabs>
                <w:tab w:val="left" w:pos="266"/>
              </w:tabs>
              <w:jc w:val="center"/>
              <w:rPr>
                <w:rFonts w:hint="eastAsia" w:ascii="仿宋_GB2312" w:hAnsi="仿宋_GB2312" w:eastAsia="仿宋_GB2312" w:cs="仿宋_GB2312"/>
                <w:kern w:val="0"/>
                <w:szCs w:val="21"/>
              </w:rPr>
            </w:pP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78E1986F">
            <w:pPr>
              <w:tabs>
                <w:tab w:val="left" w:pos="266"/>
              </w:tabs>
              <w:jc w:val="center"/>
              <w:rPr>
                <w:rFonts w:hint="eastAsia" w:ascii="仿宋_GB2312" w:hAnsi="仿宋_GB2312" w:eastAsia="仿宋_GB2312" w:cs="仿宋_GB2312"/>
                <w:kern w:val="0"/>
                <w:szCs w:val="21"/>
              </w:rPr>
            </w:pP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4A78B1B2">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9256FF7">
            <w:pPr>
              <w:tabs>
                <w:tab w:val="left" w:pos="266"/>
              </w:tabs>
              <w:jc w:val="center"/>
              <w:rPr>
                <w:rFonts w:hint="eastAsia" w:ascii="仿宋_GB2312" w:hAnsi="仿宋_GB2312" w:eastAsia="仿宋_GB2312" w:cs="仿宋_GB2312"/>
                <w:kern w:val="0"/>
                <w:szCs w:val="21"/>
              </w:rPr>
            </w:pP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6BADABC4">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77E04879">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6310DB95">
            <w:pPr>
              <w:tabs>
                <w:tab w:val="left" w:pos="266"/>
              </w:tabs>
              <w:jc w:val="center"/>
              <w:rPr>
                <w:rFonts w:hint="eastAsia" w:ascii="仿宋_GB2312" w:hAnsi="仿宋_GB2312" w:eastAsia="仿宋_GB2312" w:cs="仿宋_GB2312"/>
                <w:kern w:val="0"/>
                <w:szCs w:val="21"/>
              </w:rPr>
            </w:pP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2AFFF3C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1次</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4AB3667">
            <w:pPr>
              <w:tabs>
                <w:tab w:val="left" w:pos="266"/>
              </w:tabs>
              <w:jc w:val="center"/>
              <w:rPr>
                <w:rFonts w:hint="eastAsia" w:ascii="仿宋_GB2312" w:hAnsi="仿宋_GB2312" w:eastAsia="仿宋_GB2312" w:cs="仿宋_GB2312"/>
                <w:kern w:val="0"/>
                <w:szCs w:val="21"/>
              </w:rPr>
            </w:pPr>
          </w:p>
        </w:tc>
        <w:tc>
          <w:tcPr>
            <w:tcW w:w="445" w:type="pct"/>
            <w:gridSpan w:val="2"/>
            <w:tcBorders>
              <w:top w:val="single" w:color="000000" w:sz="4" w:space="0"/>
              <w:left w:val="single" w:color="000000" w:sz="4" w:space="0"/>
              <w:bottom w:val="single" w:color="000000" w:sz="4" w:space="0"/>
              <w:right w:val="single" w:color="000000" w:sz="4" w:space="0"/>
            </w:tcBorders>
            <w:noWrap/>
            <w:vAlign w:val="center"/>
          </w:tcPr>
          <w:p w14:paraId="0BF893E1">
            <w:pPr>
              <w:tabs>
                <w:tab w:val="left" w:pos="266"/>
              </w:tabs>
              <w:jc w:val="center"/>
              <w:rPr>
                <w:rFonts w:hint="eastAsia" w:ascii="仿宋_GB2312" w:hAnsi="仿宋_GB2312" w:eastAsia="仿宋_GB2312" w:cs="仿宋_GB2312"/>
                <w:kern w:val="0"/>
                <w:szCs w:val="21"/>
              </w:rPr>
            </w:pP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03208EEC">
            <w:pPr>
              <w:tabs>
                <w:tab w:val="left" w:pos="266"/>
              </w:tabs>
              <w:jc w:val="center"/>
              <w:rPr>
                <w:rFonts w:hint="eastAsia" w:ascii="仿宋_GB2312" w:hAnsi="仿宋_GB2312" w:eastAsia="仿宋_GB2312" w:cs="仿宋_GB2312"/>
                <w:kern w:val="0"/>
                <w:szCs w:val="21"/>
              </w:rPr>
            </w:pPr>
          </w:p>
        </w:tc>
        <w:tc>
          <w:tcPr>
            <w:tcW w:w="185" w:type="pct"/>
            <w:tcBorders>
              <w:top w:val="single" w:color="000000" w:sz="4" w:space="0"/>
              <w:left w:val="single" w:color="000000" w:sz="4" w:space="0"/>
              <w:bottom w:val="single" w:color="000000" w:sz="4" w:space="0"/>
              <w:right w:val="single" w:color="000000" w:sz="4" w:space="0"/>
            </w:tcBorders>
            <w:noWrap/>
            <w:vAlign w:val="center"/>
          </w:tcPr>
          <w:p w14:paraId="3D3F51D8">
            <w:pPr>
              <w:tabs>
                <w:tab w:val="left" w:pos="266"/>
              </w:tabs>
              <w:jc w:val="center"/>
              <w:rPr>
                <w:rFonts w:hint="eastAsia" w:ascii="仿宋_GB2312" w:hAnsi="仿宋_GB2312" w:eastAsia="仿宋_GB2312" w:cs="仿宋_GB2312"/>
                <w:kern w:val="0"/>
                <w:szCs w:val="21"/>
              </w:rPr>
            </w:pPr>
          </w:p>
        </w:tc>
      </w:tr>
      <w:tr w14:paraId="7C0A156B">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68760760">
            <w:pPr>
              <w:tabs>
                <w:tab w:val="left" w:pos="266"/>
              </w:tabs>
              <w:jc w:val="center"/>
              <w:rPr>
                <w:rFonts w:hint="eastAsia" w:ascii="仿宋_GB2312" w:hAnsi="仿宋_GB2312" w:eastAsia="仿宋_GB2312" w:cs="仿宋_GB2312"/>
                <w:kern w:val="0"/>
                <w:szCs w:val="21"/>
              </w:rPr>
            </w:pPr>
          </w:p>
        </w:tc>
        <w:tc>
          <w:tcPr>
            <w:tcW w:w="391" w:type="pct"/>
            <w:vMerge w:val="restart"/>
            <w:tcBorders>
              <w:top w:val="single" w:color="000000" w:sz="4" w:space="0"/>
              <w:left w:val="single" w:color="000000" w:sz="4" w:space="0"/>
              <w:bottom w:val="single" w:color="000000" w:sz="4" w:space="0"/>
              <w:right w:val="single" w:color="000000" w:sz="4" w:space="0"/>
            </w:tcBorders>
            <w:noWrap/>
            <w:vAlign w:val="center"/>
          </w:tcPr>
          <w:p w14:paraId="600CDFD8">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水域管理</w:t>
            </w: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6E0EFFD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水域保洁管理（次）</w:t>
            </w:r>
          </w:p>
        </w:tc>
        <w:tc>
          <w:tcPr>
            <w:tcW w:w="316" w:type="pct"/>
            <w:tcBorders>
              <w:top w:val="single" w:color="000000" w:sz="4" w:space="0"/>
              <w:left w:val="single" w:color="000000" w:sz="4" w:space="0"/>
              <w:bottom w:val="single" w:color="000000" w:sz="4" w:space="0"/>
              <w:right w:val="single" w:color="000000" w:sz="4" w:space="0"/>
            </w:tcBorders>
            <w:noWrap/>
            <w:vAlign w:val="center"/>
          </w:tcPr>
          <w:p w14:paraId="56556B3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293" w:type="pct"/>
            <w:tcBorders>
              <w:top w:val="single" w:color="000000" w:sz="4" w:space="0"/>
              <w:left w:val="single" w:color="000000" w:sz="4" w:space="0"/>
              <w:bottom w:val="single" w:color="000000" w:sz="4" w:space="0"/>
              <w:right w:val="single" w:color="000000" w:sz="4" w:space="0"/>
            </w:tcBorders>
            <w:noWrap/>
            <w:vAlign w:val="center"/>
          </w:tcPr>
          <w:p w14:paraId="306A90B0">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0326519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304" w:type="pct"/>
            <w:tcBorders>
              <w:top w:val="single" w:color="000000" w:sz="4" w:space="0"/>
              <w:left w:val="single" w:color="000000" w:sz="4" w:space="0"/>
              <w:bottom w:val="single" w:color="000000" w:sz="4" w:space="0"/>
              <w:right w:val="single" w:color="000000" w:sz="4" w:space="0"/>
            </w:tcBorders>
            <w:noWrap/>
            <w:vAlign w:val="center"/>
          </w:tcPr>
          <w:p w14:paraId="0CA26671">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276" w:type="pct"/>
            <w:tcBorders>
              <w:top w:val="single" w:color="000000" w:sz="4" w:space="0"/>
              <w:left w:val="single" w:color="000000" w:sz="4" w:space="0"/>
              <w:bottom w:val="single" w:color="000000" w:sz="4" w:space="0"/>
              <w:right w:val="single" w:color="000000" w:sz="4" w:space="0"/>
            </w:tcBorders>
            <w:noWrap/>
            <w:vAlign w:val="center"/>
          </w:tcPr>
          <w:p w14:paraId="14E3F9AA">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277" w:type="pct"/>
            <w:tcBorders>
              <w:top w:val="single" w:color="000000" w:sz="4" w:space="0"/>
              <w:left w:val="single" w:color="000000" w:sz="4" w:space="0"/>
              <w:bottom w:val="single" w:color="000000" w:sz="4" w:space="0"/>
              <w:right w:val="single" w:color="000000" w:sz="4" w:space="0"/>
            </w:tcBorders>
            <w:noWrap/>
            <w:vAlign w:val="center"/>
          </w:tcPr>
          <w:p w14:paraId="29AD96BF">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286" w:type="pct"/>
            <w:tcBorders>
              <w:top w:val="single" w:color="000000" w:sz="4" w:space="0"/>
              <w:left w:val="single" w:color="000000" w:sz="4" w:space="0"/>
              <w:bottom w:val="single" w:color="000000" w:sz="4" w:space="0"/>
              <w:right w:val="single" w:color="000000" w:sz="4" w:space="0"/>
            </w:tcBorders>
            <w:noWrap/>
            <w:vAlign w:val="center"/>
          </w:tcPr>
          <w:p w14:paraId="5DD87F36">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≥15</w:t>
            </w:r>
          </w:p>
        </w:tc>
        <w:tc>
          <w:tcPr>
            <w:tcW w:w="323" w:type="pct"/>
            <w:tcBorders>
              <w:top w:val="single" w:color="000000" w:sz="4" w:space="0"/>
              <w:left w:val="single" w:color="000000" w:sz="4" w:space="0"/>
              <w:bottom w:val="single" w:color="000000" w:sz="4" w:space="0"/>
              <w:right w:val="single" w:color="000000" w:sz="4" w:space="0"/>
            </w:tcBorders>
            <w:noWrap/>
            <w:vAlign w:val="center"/>
          </w:tcPr>
          <w:p w14:paraId="6E3DBB7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≥15</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DA802BD">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≥25</w:t>
            </w:r>
          </w:p>
        </w:tc>
        <w:tc>
          <w:tcPr>
            <w:tcW w:w="445" w:type="pct"/>
            <w:gridSpan w:val="2"/>
            <w:tcBorders>
              <w:top w:val="single" w:color="000000" w:sz="4" w:space="0"/>
              <w:left w:val="single" w:color="000000" w:sz="4" w:space="0"/>
              <w:bottom w:val="single" w:color="000000" w:sz="4" w:space="0"/>
              <w:right w:val="single" w:color="000000" w:sz="4" w:space="0"/>
            </w:tcBorders>
            <w:noWrap/>
            <w:vAlign w:val="center"/>
          </w:tcPr>
          <w:p w14:paraId="3813FD4B">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≥20</w:t>
            </w:r>
          </w:p>
        </w:tc>
        <w:tc>
          <w:tcPr>
            <w:tcW w:w="297" w:type="pct"/>
            <w:gridSpan w:val="2"/>
            <w:tcBorders>
              <w:top w:val="single" w:color="000000" w:sz="4" w:space="0"/>
              <w:left w:val="single" w:color="000000" w:sz="4" w:space="0"/>
              <w:bottom w:val="single" w:color="000000" w:sz="4" w:space="0"/>
              <w:right w:val="single" w:color="000000" w:sz="4" w:space="0"/>
            </w:tcBorders>
            <w:noWrap/>
            <w:vAlign w:val="center"/>
          </w:tcPr>
          <w:p w14:paraId="23169193">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185" w:type="pct"/>
            <w:tcBorders>
              <w:top w:val="single" w:color="000000" w:sz="4" w:space="0"/>
              <w:left w:val="single" w:color="000000" w:sz="4" w:space="0"/>
              <w:bottom w:val="single" w:color="000000" w:sz="4" w:space="0"/>
              <w:right w:val="single" w:color="000000" w:sz="4" w:space="0"/>
            </w:tcBorders>
            <w:noWrap/>
            <w:vAlign w:val="center"/>
          </w:tcPr>
          <w:p w14:paraId="33B62795">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r>
      <w:tr w14:paraId="404173EA">
        <w:tblPrEx>
          <w:tblCellMar>
            <w:top w:w="0" w:type="dxa"/>
            <w:left w:w="108" w:type="dxa"/>
            <w:bottom w:w="0" w:type="dxa"/>
            <w:right w:w="108" w:type="dxa"/>
          </w:tblCellMar>
        </w:tblPrEx>
        <w:trPr>
          <w:trHeight w:val="23" w:hRule="atLeast"/>
          <w:jc w:val="center"/>
        </w:trPr>
        <w:tc>
          <w:tcPr>
            <w:tcW w:w="236" w:type="pct"/>
            <w:vMerge w:val="continue"/>
            <w:tcBorders>
              <w:top w:val="single" w:color="000000" w:sz="4" w:space="0"/>
              <w:left w:val="single" w:color="000000" w:sz="4" w:space="0"/>
              <w:bottom w:val="single" w:color="000000" w:sz="4" w:space="0"/>
              <w:right w:val="single" w:color="000000" w:sz="4" w:space="0"/>
            </w:tcBorders>
            <w:noWrap/>
            <w:vAlign w:val="center"/>
          </w:tcPr>
          <w:p w14:paraId="3B4F63B1">
            <w:pPr>
              <w:tabs>
                <w:tab w:val="left" w:pos="266"/>
              </w:tabs>
              <w:jc w:val="center"/>
              <w:rPr>
                <w:rFonts w:hint="eastAsia" w:ascii="仿宋_GB2312" w:hAnsi="仿宋_GB2312" w:eastAsia="仿宋_GB2312" w:cs="仿宋_GB2312"/>
                <w:kern w:val="0"/>
                <w:szCs w:val="21"/>
              </w:rPr>
            </w:pPr>
          </w:p>
        </w:tc>
        <w:tc>
          <w:tcPr>
            <w:tcW w:w="391" w:type="pct"/>
            <w:vMerge w:val="continue"/>
            <w:tcBorders>
              <w:top w:val="single" w:color="000000" w:sz="4" w:space="0"/>
              <w:left w:val="single" w:color="000000" w:sz="4" w:space="0"/>
              <w:bottom w:val="single" w:color="000000" w:sz="4" w:space="0"/>
              <w:right w:val="single" w:color="000000" w:sz="4" w:space="0"/>
            </w:tcBorders>
            <w:noWrap/>
            <w:vAlign w:val="center"/>
          </w:tcPr>
          <w:p w14:paraId="21E23919">
            <w:pPr>
              <w:tabs>
                <w:tab w:val="left" w:pos="266"/>
              </w:tabs>
              <w:jc w:val="center"/>
              <w:rPr>
                <w:rFonts w:hint="eastAsia" w:ascii="仿宋_GB2312" w:hAnsi="仿宋_GB2312" w:eastAsia="仿宋_GB2312" w:cs="仿宋_GB2312"/>
                <w:kern w:val="0"/>
                <w:szCs w:val="21"/>
              </w:rPr>
            </w:pPr>
          </w:p>
        </w:tc>
        <w:tc>
          <w:tcPr>
            <w:tcW w:w="741" w:type="pct"/>
            <w:tcBorders>
              <w:top w:val="single" w:color="000000" w:sz="4" w:space="0"/>
              <w:left w:val="single" w:color="000000" w:sz="4" w:space="0"/>
              <w:bottom w:val="single" w:color="000000" w:sz="4" w:space="0"/>
              <w:right w:val="single" w:color="000000" w:sz="4" w:space="0"/>
            </w:tcBorders>
            <w:noWrap/>
            <w:vAlign w:val="center"/>
          </w:tcPr>
          <w:p w14:paraId="5317A778">
            <w:pPr>
              <w:tabs>
                <w:tab w:val="left" w:pos="266"/>
              </w:tabs>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水生植物管理</w:t>
            </w:r>
          </w:p>
        </w:tc>
        <w:tc>
          <w:tcPr>
            <w:tcW w:w="2364" w:type="pct"/>
            <w:gridSpan w:val="8"/>
            <w:tcBorders>
              <w:top w:val="single" w:color="000000" w:sz="4" w:space="0"/>
              <w:left w:val="single" w:color="000000" w:sz="4" w:space="0"/>
              <w:bottom w:val="single" w:color="000000" w:sz="4" w:space="0"/>
              <w:right w:val="single" w:color="000000" w:sz="4" w:space="0"/>
            </w:tcBorders>
            <w:noWrap/>
            <w:vAlign w:val="center"/>
          </w:tcPr>
          <w:p w14:paraId="676480BD">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根据需要进行病虫害防治，喷施钾肥、多效唑等防倒伏</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907A95A">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割除地上干枯，12月检查</w:t>
            </w:r>
          </w:p>
        </w:tc>
        <w:tc>
          <w:tcPr>
            <w:tcW w:w="627" w:type="pct"/>
            <w:gridSpan w:val="3"/>
            <w:tcBorders>
              <w:top w:val="single" w:color="000000" w:sz="4" w:space="0"/>
              <w:left w:val="single" w:color="000000" w:sz="4" w:space="0"/>
              <w:bottom w:val="single" w:color="000000" w:sz="4" w:space="0"/>
              <w:right w:val="single" w:color="000000" w:sz="4" w:space="0"/>
            </w:tcBorders>
            <w:noWrap/>
            <w:vAlign w:val="center"/>
          </w:tcPr>
          <w:p w14:paraId="05CE2101">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301" w:type="pct"/>
            <w:gridSpan w:val="2"/>
            <w:tcBorders>
              <w:top w:val="single" w:color="000000" w:sz="4" w:space="0"/>
              <w:left w:val="single" w:color="000000" w:sz="4" w:space="0"/>
              <w:bottom w:val="single" w:color="000000" w:sz="4" w:space="0"/>
              <w:right w:val="single" w:color="000000" w:sz="4" w:space="0"/>
            </w:tcBorders>
            <w:noWrap/>
            <w:vAlign w:val="center"/>
          </w:tcPr>
          <w:p w14:paraId="71A392C7">
            <w:pPr>
              <w:tabs>
                <w:tab w:val="left" w:pos="266"/>
              </w:tabs>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w:t>
            </w:r>
          </w:p>
        </w:tc>
      </w:tr>
    </w:tbl>
    <w:p w14:paraId="53DEC900">
      <w:pPr>
        <w:pStyle w:val="8"/>
        <w:tabs>
          <w:tab w:val="left" w:pos="266"/>
          <w:tab w:val="left" w:pos="1890"/>
        </w:tabs>
        <w:spacing w:line="520" w:lineRule="exact"/>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注：作业标准①浇水：浇灌透水1次，土壤渗水深度大于20cm；</w:t>
      </w:r>
    </w:p>
    <w:p w14:paraId="29D870F5">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②施肥：结合春灌或春雨（至少中雨）全域冷季型、暖季型草皮追肥1次冷季型3月初施肥，暖季型随后施肥，每1000平方米7-8公斤；秋肥全域苗木施用，绿篱草花宿根花卉用量同前，乔木按胸径施肥，胸径10厘米每次每株约0.5公斤，其他规格照此调整，小树稍施，大树多施，弱树薄肥勤施，灌木也可参考上述方法。</w:t>
      </w:r>
    </w:p>
    <w:p w14:paraId="447FA90C">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③病虫害防治：以无明显危害症状，不影响景观效果为合格标准</w:t>
      </w:r>
    </w:p>
    <w:p w14:paraId="67C082B3">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④除草：以绿地无明显杂草为标准。</w:t>
      </w:r>
    </w:p>
    <w:p w14:paraId="610A32BE">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⑤清掏：以绿地无明显断枝、落叶为标准。</w:t>
      </w:r>
    </w:p>
    <w:p w14:paraId="3D8C9ED6">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⑥修剪：绿篱修剪，横平竖直、轮廓清晰，造型球曲面自然、流畅;乔木、花灌木修剪，剪除下垂枝、病枝、弱枝、徒长枝等，内堂通风透光，培养优美树形。</w:t>
      </w:r>
    </w:p>
    <w:p w14:paraId="08494AB8">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⑦补栽：按指令补栽及时，补栽密度斜45度视角不见黄土。</w:t>
      </w:r>
    </w:p>
    <w:p w14:paraId="660403E5">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⑧苗木保障：按时令天气及时对全区域不耐寒苗木采取浇灌、设置/拆除等防冻保温措施，不遗漏，此类植物无明显受冻症状为达标。</w:t>
      </w:r>
    </w:p>
    <w:p w14:paraId="4C6C3203">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⑨水域管理：湖面干净整洁，水质达标，水生植物生长正常，无明显病虫害，无大面积倒伏（倒伏面积不大于10%）；有条件的冬季清淤1次。</w:t>
      </w:r>
    </w:p>
    <w:p w14:paraId="4AB5BA3A">
      <w:pPr>
        <w:pStyle w:val="8"/>
        <w:tabs>
          <w:tab w:val="left" w:pos="266"/>
          <w:tab w:val="left" w:pos="1890"/>
        </w:tabs>
        <w:spacing w:line="520" w:lineRule="exact"/>
        <w:ind w:firstLine="480" w:firstLineChars="200"/>
        <w:outlineLvl w:val="3"/>
        <w:rPr>
          <w:rFonts w:hint="eastAsia" w:ascii="仿宋_GB2312" w:hAnsi="仿宋_GB2312" w:eastAsia="仿宋_GB2312" w:cs="仿宋_GB2312"/>
          <w:sz w:val="24"/>
          <w:szCs w:val="24"/>
        </w:rPr>
        <w:sectPr>
          <w:footnotePr>
            <w:numFmt w:val="decimalEnclosedCircleChinese"/>
          </w:footnotePr>
          <w:pgSz w:w="11905" w:h="16838"/>
          <w:pgMar w:top="1440" w:right="1080" w:bottom="1440" w:left="1080" w:header="850" w:footer="975" w:gutter="0"/>
          <w:cols w:space="720" w:num="1"/>
          <w:docGrid w:linePitch="312" w:charSpace="0"/>
        </w:sectPr>
      </w:pPr>
    </w:p>
    <w:p w14:paraId="0DAF68D4">
      <w:pPr>
        <w:pStyle w:val="8"/>
        <w:tabs>
          <w:tab w:val="left" w:pos="266"/>
        </w:tabs>
        <w:spacing w:line="520" w:lineRule="exact"/>
        <w:jc w:val="center"/>
        <w:outlineLvl w:val="3"/>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2、西安高新区道路绿化养护管理项目考评标准及得分统计表</w:t>
      </w:r>
    </w:p>
    <w:tbl>
      <w:tblPr>
        <w:tblStyle w:val="10"/>
        <w:tblW w:w="0" w:type="auto"/>
        <w:jc w:val="center"/>
        <w:tblLayout w:type="fixed"/>
        <w:tblCellMar>
          <w:top w:w="0" w:type="dxa"/>
          <w:left w:w="108" w:type="dxa"/>
          <w:bottom w:w="0" w:type="dxa"/>
          <w:right w:w="108" w:type="dxa"/>
        </w:tblCellMar>
      </w:tblPr>
      <w:tblGrid>
        <w:gridCol w:w="790"/>
        <w:gridCol w:w="680"/>
        <w:gridCol w:w="1938"/>
        <w:gridCol w:w="2190"/>
        <w:gridCol w:w="390"/>
        <w:gridCol w:w="1969"/>
        <w:gridCol w:w="673"/>
        <w:gridCol w:w="730"/>
      </w:tblGrid>
      <w:tr w14:paraId="0BB17A8A">
        <w:tblPrEx>
          <w:tblCellMar>
            <w:top w:w="0" w:type="dxa"/>
            <w:left w:w="108" w:type="dxa"/>
            <w:bottom w:w="0" w:type="dxa"/>
            <w:right w:w="108" w:type="dxa"/>
          </w:tblCellMar>
        </w:tblPrEx>
        <w:trPr>
          <w:trHeight w:val="23" w:hRule="atLeast"/>
          <w:jc w:val="center"/>
        </w:trPr>
        <w:tc>
          <w:tcPr>
            <w:tcW w:w="790" w:type="dxa"/>
            <w:tcBorders>
              <w:top w:val="single" w:color="auto" w:sz="4" w:space="0"/>
              <w:left w:val="single" w:color="auto" w:sz="4" w:space="0"/>
              <w:bottom w:val="single" w:color="000000" w:sz="4" w:space="0"/>
              <w:right w:val="single" w:color="000000" w:sz="4" w:space="0"/>
            </w:tcBorders>
            <w:noWrap/>
            <w:vAlign w:val="center"/>
          </w:tcPr>
          <w:p w14:paraId="74AE0AE1">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考核地点</w:t>
            </w:r>
          </w:p>
        </w:tc>
        <w:tc>
          <w:tcPr>
            <w:tcW w:w="2618" w:type="dxa"/>
            <w:gridSpan w:val="2"/>
            <w:tcBorders>
              <w:top w:val="single" w:color="auto" w:sz="4" w:space="0"/>
              <w:left w:val="single" w:color="000000" w:sz="4" w:space="0"/>
              <w:bottom w:val="single" w:color="000000" w:sz="4" w:space="0"/>
              <w:right w:val="single" w:color="000000" w:sz="4" w:space="0"/>
            </w:tcBorders>
            <w:noWrap/>
            <w:vAlign w:val="center"/>
          </w:tcPr>
          <w:p w14:paraId="7BA51A19">
            <w:pPr>
              <w:tabs>
                <w:tab w:val="left" w:pos="266"/>
              </w:tabs>
              <w:spacing w:line="360" w:lineRule="exact"/>
              <w:jc w:val="center"/>
              <w:textAlignment w:val="center"/>
              <w:rPr>
                <w:rFonts w:hint="eastAsia" w:ascii="仿宋_GB2312" w:hAnsi="仿宋_GB2312" w:eastAsia="仿宋_GB2312" w:cs="仿宋_GB2312"/>
                <w:kern w:val="0"/>
                <w:sz w:val="24"/>
                <w:szCs w:val="24"/>
              </w:rPr>
            </w:pPr>
          </w:p>
        </w:tc>
        <w:tc>
          <w:tcPr>
            <w:tcW w:w="2580" w:type="dxa"/>
            <w:gridSpan w:val="2"/>
            <w:tcBorders>
              <w:top w:val="single" w:color="auto" w:sz="4" w:space="0"/>
              <w:left w:val="single" w:color="000000" w:sz="4" w:space="0"/>
              <w:bottom w:val="single" w:color="000000" w:sz="4" w:space="0"/>
              <w:right w:val="single" w:color="000000" w:sz="4" w:space="0"/>
            </w:tcBorders>
            <w:noWrap/>
            <w:vAlign w:val="center"/>
          </w:tcPr>
          <w:p w14:paraId="66C4A3CF">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考核日期</w:t>
            </w:r>
          </w:p>
        </w:tc>
        <w:tc>
          <w:tcPr>
            <w:tcW w:w="2642" w:type="dxa"/>
            <w:gridSpan w:val="2"/>
            <w:tcBorders>
              <w:top w:val="single" w:color="auto" w:sz="4" w:space="0"/>
              <w:left w:val="single" w:color="000000" w:sz="4" w:space="0"/>
              <w:bottom w:val="single" w:color="000000" w:sz="4" w:space="0"/>
              <w:right w:val="single" w:color="auto" w:sz="4" w:space="0"/>
            </w:tcBorders>
            <w:noWrap/>
            <w:vAlign w:val="center"/>
          </w:tcPr>
          <w:p w14:paraId="473C19FD">
            <w:pPr>
              <w:tabs>
                <w:tab w:val="left" w:pos="266"/>
              </w:tabs>
              <w:spacing w:line="360" w:lineRule="exact"/>
              <w:jc w:val="center"/>
              <w:textAlignment w:val="center"/>
              <w:rPr>
                <w:rFonts w:hint="eastAsia" w:ascii="仿宋_GB2312" w:hAnsi="仿宋_GB2312" w:eastAsia="仿宋_GB2312" w:cs="仿宋_GB2312"/>
                <w:kern w:val="0"/>
                <w:sz w:val="24"/>
                <w:szCs w:val="24"/>
              </w:rPr>
            </w:pPr>
          </w:p>
        </w:tc>
        <w:tc>
          <w:tcPr>
            <w:tcW w:w="730" w:type="dxa"/>
            <w:tcBorders>
              <w:top w:val="single" w:color="auto" w:sz="4" w:space="0"/>
              <w:left w:val="single" w:color="000000" w:sz="4" w:space="0"/>
              <w:bottom w:val="single" w:color="000000" w:sz="4" w:space="0"/>
              <w:right w:val="single" w:color="auto" w:sz="4" w:space="0"/>
            </w:tcBorders>
            <w:noWrap/>
            <w:vAlign w:val="center"/>
          </w:tcPr>
          <w:p w14:paraId="6311DC94">
            <w:pPr>
              <w:tabs>
                <w:tab w:val="left" w:pos="266"/>
              </w:tabs>
              <w:spacing w:line="360" w:lineRule="exact"/>
              <w:jc w:val="center"/>
              <w:textAlignment w:val="center"/>
              <w:rPr>
                <w:rFonts w:hint="eastAsia" w:ascii="仿宋_GB2312" w:hAnsi="仿宋_GB2312" w:eastAsia="仿宋_GB2312" w:cs="仿宋_GB2312"/>
                <w:kern w:val="0"/>
                <w:sz w:val="24"/>
                <w:szCs w:val="24"/>
              </w:rPr>
            </w:pPr>
          </w:p>
        </w:tc>
      </w:tr>
      <w:tr w14:paraId="1E74AB6F">
        <w:tblPrEx>
          <w:tblCellMar>
            <w:top w:w="0" w:type="dxa"/>
            <w:left w:w="108" w:type="dxa"/>
            <w:bottom w:w="0" w:type="dxa"/>
            <w:right w:w="108" w:type="dxa"/>
          </w:tblCellMar>
        </w:tblPrEx>
        <w:trPr>
          <w:trHeight w:val="23" w:hRule="atLeast"/>
          <w:jc w:val="center"/>
        </w:trPr>
        <w:tc>
          <w:tcPr>
            <w:tcW w:w="790" w:type="dxa"/>
            <w:tcBorders>
              <w:top w:val="single" w:color="000000" w:sz="4" w:space="0"/>
              <w:left w:val="single" w:color="auto" w:sz="4" w:space="0"/>
              <w:bottom w:val="single" w:color="000000" w:sz="4" w:space="0"/>
              <w:right w:val="single" w:color="000000" w:sz="4" w:space="0"/>
            </w:tcBorders>
            <w:noWrap/>
            <w:vAlign w:val="center"/>
          </w:tcPr>
          <w:p w14:paraId="01CC6824">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考评项目</w:t>
            </w:r>
          </w:p>
        </w:tc>
        <w:tc>
          <w:tcPr>
            <w:tcW w:w="680" w:type="dxa"/>
            <w:tcBorders>
              <w:top w:val="single" w:color="000000" w:sz="4" w:space="0"/>
              <w:left w:val="single" w:color="000000" w:sz="4" w:space="0"/>
              <w:bottom w:val="single" w:color="000000" w:sz="4" w:space="0"/>
              <w:right w:val="single" w:color="000000" w:sz="4" w:space="0"/>
            </w:tcBorders>
            <w:noWrap/>
            <w:vAlign w:val="center"/>
          </w:tcPr>
          <w:p w14:paraId="2C429129">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分值</w:t>
            </w: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67A249ED">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扣分原则</w:t>
            </w:r>
          </w:p>
        </w:tc>
        <w:tc>
          <w:tcPr>
            <w:tcW w:w="673" w:type="dxa"/>
            <w:tcBorders>
              <w:top w:val="single" w:color="000000" w:sz="4" w:space="0"/>
              <w:left w:val="single" w:color="000000" w:sz="4" w:space="0"/>
              <w:bottom w:val="single" w:color="000000" w:sz="4" w:space="0"/>
              <w:right w:val="single" w:color="auto" w:sz="4" w:space="0"/>
            </w:tcBorders>
            <w:noWrap/>
            <w:vAlign w:val="center"/>
          </w:tcPr>
          <w:p w14:paraId="452B6E17">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得分</w:t>
            </w:r>
          </w:p>
        </w:tc>
        <w:tc>
          <w:tcPr>
            <w:tcW w:w="730" w:type="dxa"/>
            <w:tcBorders>
              <w:top w:val="single" w:color="000000" w:sz="4" w:space="0"/>
              <w:left w:val="single" w:color="000000" w:sz="4" w:space="0"/>
              <w:bottom w:val="single" w:color="000000" w:sz="4" w:space="0"/>
              <w:right w:val="single" w:color="auto" w:sz="4" w:space="0"/>
            </w:tcBorders>
            <w:noWrap/>
            <w:vAlign w:val="center"/>
          </w:tcPr>
          <w:p w14:paraId="37AAB582">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备注</w:t>
            </w:r>
          </w:p>
        </w:tc>
      </w:tr>
      <w:tr w14:paraId="39ADA5D4">
        <w:tblPrEx>
          <w:tblCellMar>
            <w:top w:w="0" w:type="dxa"/>
            <w:left w:w="108" w:type="dxa"/>
            <w:bottom w:w="0" w:type="dxa"/>
            <w:right w:w="108" w:type="dxa"/>
          </w:tblCellMar>
        </w:tblPrEx>
        <w:trPr>
          <w:trHeight w:val="23" w:hRule="atLeast"/>
          <w:jc w:val="center"/>
        </w:trPr>
        <w:tc>
          <w:tcPr>
            <w:tcW w:w="790" w:type="dxa"/>
            <w:vMerge w:val="restart"/>
            <w:tcBorders>
              <w:top w:val="single" w:color="000000" w:sz="4" w:space="0"/>
              <w:left w:val="single" w:color="auto" w:sz="4" w:space="0"/>
              <w:bottom w:val="single" w:color="auto" w:sz="4" w:space="0"/>
              <w:right w:val="single" w:color="000000" w:sz="4" w:space="0"/>
            </w:tcBorders>
            <w:noWrap/>
            <w:vAlign w:val="center"/>
          </w:tcPr>
          <w:p w14:paraId="58C211FD">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日常管理</w:t>
            </w:r>
          </w:p>
        </w:tc>
        <w:tc>
          <w:tcPr>
            <w:tcW w:w="680" w:type="dxa"/>
            <w:vMerge w:val="restart"/>
            <w:tcBorders>
              <w:top w:val="single" w:color="000000" w:sz="4" w:space="0"/>
              <w:left w:val="single" w:color="000000" w:sz="4" w:space="0"/>
              <w:bottom w:val="single" w:color="auto" w:sz="4" w:space="0"/>
              <w:right w:val="single" w:color="000000" w:sz="4" w:space="0"/>
            </w:tcBorders>
            <w:noWrap/>
            <w:vAlign w:val="center"/>
          </w:tcPr>
          <w:p w14:paraId="49B14D0F">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w:t>
            </w: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0F5CDD3A">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资料：每周五上报次周计划表及作业人数，未按时上报扣1分；</w:t>
            </w:r>
          </w:p>
        </w:tc>
        <w:tc>
          <w:tcPr>
            <w:tcW w:w="673" w:type="dxa"/>
            <w:vMerge w:val="restart"/>
            <w:tcBorders>
              <w:top w:val="single" w:color="000000" w:sz="4" w:space="0"/>
              <w:left w:val="single" w:color="000000" w:sz="4" w:space="0"/>
              <w:bottom w:val="single" w:color="auto" w:sz="4" w:space="0"/>
              <w:right w:val="single" w:color="auto" w:sz="4" w:space="0"/>
            </w:tcBorders>
            <w:noWrap/>
            <w:vAlign w:val="center"/>
          </w:tcPr>
          <w:p w14:paraId="2C3823D2">
            <w:pPr>
              <w:tabs>
                <w:tab w:val="left" w:pos="266"/>
              </w:tabs>
              <w:spacing w:line="360" w:lineRule="exact"/>
              <w:textAlignment w:val="center"/>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center"/>
          </w:tcPr>
          <w:p w14:paraId="464F884A">
            <w:pPr>
              <w:tabs>
                <w:tab w:val="left" w:pos="266"/>
              </w:tabs>
              <w:spacing w:line="360" w:lineRule="exact"/>
              <w:textAlignment w:val="center"/>
              <w:rPr>
                <w:rFonts w:hint="eastAsia" w:ascii="仿宋_GB2312" w:hAnsi="仿宋_GB2312" w:eastAsia="仿宋_GB2312" w:cs="仿宋_GB2312"/>
                <w:kern w:val="0"/>
                <w:sz w:val="24"/>
                <w:szCs w:val="24"/>
              </w:rPr>
            </w:pPr>
          </w:p>
        </w:tc>
      </w:tr>
      <w:tr w14:paraId="172F0E0F">
        <w:tblPrEx>
          <w:tblCellMar>
            <w:top w:w="0" w:type="dxa"/>
            <w:left w:w="108" w:type="dxa"/>
            <w:bottom w:w="0" w:type="dxa"/>
            <w:right w:w="108" w:type="dxa"/>
          </w:tblCellMar>
        </w:tblPrEx>
        <w:trPr>
          <w:trHeight w:val="23" w:hRule="atLeast"/>
          <w:jc w:val="center"/>
        </w:trPr>
        <w:tc>
          <w:tcPr>
            <w:tcW w:w="790" w:type="dxa"/>
            <w:vMerge w:val="continue"/>
            <w:tcBorders>
              <w:top w:val="single" w:color="000000" w:sz="4" w:space="0"/>
              <w:left w:val="single" w:color="auto" w:sz="4" w:space="0"/>
              <w:bottom w:val="single" w:color="auto" w:sz="4" w:space="0"/>
              <w:right w:val="single" w:color="000000" w:sz="4" w:space="0"/>
            </w:tcBorders>
            <w:noWrap/>
            <w:vAlign w:val="center"/>
          </w:tcPr>
          <w:p w14:paraId="6DFEB960">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000000" w:sz="4" w:space="0"/>
              <w:left w:val="single" w:color="000000" w:sz="4" w:space="0"/>
              <w:bottom w:val="single" w:color="auto" w:sz="4" w:space="0"/>
              <w:right w:val="single" w:color="000000" w:sz="4" w:space="0"/>
            </w:tcBorders>
            <w:noWrap/>
            <w:vAlign w:val="center"/>
          </w:tcPr>
          <w:p w14:paraId="49B81A21">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5E678E6C">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安全：健全安全管理制度，建立各类安全预案，定期排查安全隐患，每缺一项扣1分。</w:t>
            </w:r>
          </w:p>
        </w:tc>
        <w:tc>
          <w:tcPr>
            <w:tcW w:w="673" w:type="dxa"/>
            <w:vMerge w:val="continue"/>
            <w:tcBorders>
              <w:top w:val="single" w:color="000000" w:sz="4" w:space="0"/>
              <w:left w:val="single" w:color="000000" w:sz="4" w:space="0"/>
              <w:bottom w:val="single" w:color="auto" w:sz="4" w:space="0"/>
              <w:right w:val="single" w:color="auto" w:sz="4" w:space="0"/>
            </w:tcBorders>
            <w:noWrap/>
            <w:vAlign w:val="center"/>
          </w:tcPr>
          <w:p w14:paraId="2C59BEE6">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621772C9">
            <w:pPr>
              <w:tabs>
                <w:tab w:val="left" w:pos="266"/>
              </w:tabs>
              <w:spacing w:line="360" w:lineRule="exact"/>
              <w:rPr>
                <w:rFonts w:hint="eastAsia" w:ascii="仿宋_GB2312" w:hAnsi="仿宋_GB2312" w:eastAsia="仿宋_GB2312" w:cs="仿宋_GB2312"/>
                <w:kern w:val="0"/>
                <w:sz w:val="24"/>
                <w:szCs w:val="24"/>
              </w:rPr>
            </w:pPr>
          </w:p>
        </w:tc>
      </w:tr>
      <w:tr w14:paraId="04521D04">
        <w:tblPrEx>
          <w:tblCellMar>
            <w:top w:w="0" w:type="dxa"/>
            <w:left w:w="108" w:type="dxa"/>
            <w:bottom w:w="0" w:type="dxa"/>
            <w:right w:w="108" w:type="dxa"/>
          </w:tblCellMar>
        </w:tblPrEx>
        <w:trPr>
          <w:trHeight w:val="23" w:hRule="atLeast"/>
          <w:jc w:val="center"/>
        </w:trPr>
        <w:tc>
          <w:tcPr>
            <w:tcW w:w="790" w:type="dxa"/>
            <w:vMerge w:val="continue"/>
            <w:tcBorders>
              <w:top w:val="single" w:color="000000" w:sz="4" w:space="0"/>
              <w:left w:val="single" w:color="auto" w:sz="4" w:space="0"/>
              <w:bottom w:val="single" w:color="auto" w:sz="4" w:space="0"/>
              <w:right w:val="single" w:color="000000" w:sz="4" w:space="0"/>
            </w:tcBorders>
            <w:noWrap/>
            <w:vAlign w:val="center"/>
          </w:tcPr>
          <w:p w14:paraId="7AC0C1A7">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000000" w:sz="4" w:space="0"/>
              <w:left w:val="single" w:color="000000" w:sz="4" w:space="0"/>
              <w:bottom w:val="single" w:color="auto" w:sz="4" w:space="0"/>
              <w:right w:val="single" w:color="000000" w:sz="4" w:space="0"/>
            </w:tcBorders>
            <w:noWrap/>
            <w:vAlign w:val="center"/>
          </w:tcPr>
          <w:p w14:paraId="190F28F5">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5B5F7142">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项目负责人在岗：项目负责人（主管）人员是否在岗履行职务，未在岗扣1分。</w:t>
            </w:r>
          </w:p>
        </w:tc>
        <w:tc>
          <w:tcPr>
            <w:tcW w:w="673" w:type="dxa"/>
            <w:vMerge w:val="continue"/>
            <w:tcBorders>
              <w:top w:val="single" w:color="000000" w:sz="4" w:space="0"/>
              <w:left w:val="single" w:color="000000" w:sz="4" w:space="0"/>
              <w:bottom w:val="single" w:color="auto" w:sz="4" w:space="0"/>
              <w:right w:val="single" w:color="auto" w:sz="4" w:space="0"/>
            </w:tcBorders>
            <w:noWrap/>
            <w:vAlign w:val="center"/>
          </w:tcPr>
          <w:p w14:paraId="31AEA2A3">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43687A4C">
            <w:pPr>
              <w:tabs>
                <w:tab w:val="left" w:pos="266"/>
              </w:tabs>
              <w:spacing w:line="360" w:lineRule="exact"/>
              <w:rPr>
                <w:rFonts w:hint="eastAsia" w:ascii="仿宋_GB2312" w:hAnsi="仿宋_GB2312" w:eastAsia="仿宋_GB2312" w:cs="仿宋_GB2312"/>
                <w:kern w:val="0"/>
                <w:sz w:val="24"/>
                <w:szCs w:val="24"/>
              </w:rPr>
            </w:pPr>
          </w:p>
        </w:tc>
      </w:tr>
      <w:tr w14:paraId="46422B10">
        <w:tblPrEx>
          <w:tblCellMar>
            <w:top w:w="0" w:type="dxa"/>
            <w:left w:w="108" w:type="dxa"/>
            <w:bottom w:w="0" w:type="dxa"/>
            <w:right w:w="108" w:type="dxa"/>
          </w:tblCellMar>
        </w:tblPrEx>
        <w:trPr>
          <w:trHeight w:val="23" w:hRule="atLeast"/>
          <w:jc w:val="center"/>
        </w:trPr>
        <w:tc>
          <w:tcPr>
            <w:tcW w:w="790" w:type="dxa"/>
            <w:vMerge w:val="continue"/>
            <w:tcBorders>
              <w:top w:val="single" w:color="000000" w:sz="4" w:space="0"/>
              <w:left w:val="single" w:color="auto" w:sz="4" w:space="0"/>
              <w:bottom w:val="single" w:color="auto" w:sz="4" w:space="0"/>
              <w:right w:val="single" w:color="000000" w:sz="4" w:space="0"/>
            </w:tcBorders>
            <w:noWrap/>
            <w:vAlign w:val="center"/>
          </w:tcPr>
          <w:p w14:paraId="022BDBF6">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000000" w:sz="4" w:space="0"/>
              <w:left w:val="single" w:color="000000" w:sz="4" w:space="0"/>
              <w:bottom w:val="single" w:color="auto" w:sz="4" w:space="0"/>
              <w:right w:val="single" w:color="000000" w:sz="4" w:space="0"/>
            </w:tcBorders>
            <w:noWrap/>
            <w:vAlign w:val="center"/>
          </w:tcPr>
          <w:p w14:paraId="43A275B4">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auto" w:sz="4" w:space="0"/>
              <w:right w:val="single" w:color="000000" w:sz="4" w:space="0"/>
            </w:tcBorders>
            <w:noWrap/>
            <w:vAlign w:val="center"/>
          </w:tcPr>
          <w:p w14:paraId="39389534">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作业人员数量：按照周计划表安排相应作业人员，少一人扣0.5分。</w:t>
            </w:r>
          </w:p>
        </w:tc>
        <w:tc>
          <w:tcPr>
            <w:tcW w:w="673" w:type="dxa"/>
            <w:vMerge w:val="continue"/>
            <w:tcBorders>
              <w:top w:val="single" w:color="000000" w:sz="4" w:space="0"/>
              <w:left w:val="single" w:color="000000" w:sz="4" w:space="0"/>
              <w:bottom w:val="single" w:color="auto" w:sz="4" w:space="0"/>
              <w:right w:val="single" w:color="auto" w:sz="4" w:space="0"/>
            </w:tcBorders>
            <w:noWrap/>
            <w:vAlign w:val="center"/>
          </w:tcPr>
          <w:p w14:paraId="6546E158">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auto" w:sz="4" w:space="0"/>
              <w:right w:val="single" w:color="auto" w:sz="4" w:space="0"/>
            </w:tcBorders>
            <w:noWrap/>
            <w:vAlign w:val="bottom"/>
          </w:tcPr>
          <w:p w14:paraId="406B5F14">
            <w:pPr>
              <w:tabs>
                <w:tab w:val="left" w:pos="266"/>
              </w:tabs>
              <w:spacing w:line="360" w:lineRule="exact"/>
              <w:rPr>
                <w:rFonts w:hint="eastAsia" w:ascii="仿宋_GB2312" w:hAnsi="仿宋_GB2312" w:eastAsia="仿宋_GB2312" w:cs="仿宋_GB2312"/>
                <w:kern w:val="0"/>
                <w:sz w:val="24"/>
                <w:szCs w:val="24"/>
              </w:rPr>
            </w:pPr>
          </w:p>
        </w:tc>
      </w:tr>
      <w:tr w14:paraId="66A417D9">
        <w:tblPrEx>
          <w:tblCellMar>
            <w:top w:w="0" w:type="dxa"/>
            <w:left w:w="108" w:type="dxa"/>
            <w:bottom w:w="0" w:type="dxa"/>
            <w:right w:w="108" w:type="dxa"/>
          </w:tblCellMar>
        </w:tblPrEx>
        <w:trPr>
          <w:trHeight w:val="23" w:hRule="atLeast"/>
          <w:jc w:val="center"/>
        </w:trPr>
        <w:tc>
          <w:tcPr>
            <w:tcW w:w="790" w:type="dxa"/>
            <w:vMerge w:val="continue"/>
            <w:tcBorders>
              <w:top w:val="single" w:color="000000" w:sz="4" w:space="0"/>
              <w:left w:val="single" w:color="auto" w:sz="4" w:space="0"/>
              <w:bottom w:val="single" w:color="auto" w:sz="4" w:space="0"/>
              <w:right w:val="single" w:color="000000" w:sz="4" w:space="0"/>
            </w:tcBorders>
            <w:noWrap/>
            <w:vAlign w:val="center"/>
          </w:tcPr>
          <w:p w14:paraId="3960DDFE">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000000" w:sz="4" w:space="0"/>
              <w:left w:val="single" w:color="000000" w:sz="4" w:space="0"/>
              <w:bottom w:val="single" w:color="auto" w:sz="4" w:space="0"/>
              <w:right w:val="single" w:color="000000" w:sz="4" w:space="0"/>
            </w:tcBorders>
            <w:noWrap/>
            <w:vAlign w:val="center"/>
          </w:tcPr>
          <w:p w14:paraId="0EA932B4">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auto" w:sz="4" w:space="0"/>
              <w:right w:val="single" w:color="000000" w:sz="4" w:space="0"/>
            </w:tcBorders>
            <w:noWrap/>
            <w:vAlign w:val="center"/>
          </w:tcPr>
          <w:p w14:paraId="030F9417">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计划完成情况自查：按养护计划认真落实，未达标扣0.5分。道路管理负责人每天17:00上报周计划完成进度，未及时上报的扣0.5分；道路主管领导每周上报周计划表完成情况，未及时上报的扣1分。</w:t>
            </w:r>
          </w:p>
        </w:tc>
        <w:tc>
          <w:tcPr>
            <w:tcW w:w="673" w:type="dxa"/>
            <w:vMerge w:val="continue"/>
            <w:tcBorders>
              <w:top w:val="single" w:color="000000" w:sz="4" w:space="0"/>
              <w:left w:val="single" w:color="000000" w:sz="4" w:space="0"/>
              <w:bottom w:val="single" w:color="auto" w:sz="4" w:space="0"/>
              <w:right w:val="single" w:color="auto" w:sz="4" w:space="0"/>
            </w:tcBorders>
            <w:noWrap/>
            <w:vAlign w:val="center"/>
          </w:tcPr>
          <w:p w14:paraId="30113BF7">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auto" w:sz="4" w:space="0"/>
              <w:right w:val="single" w:color="auto" w:sz="4" w:space="0"/>
            </w:tcBorders>
            <w:noWrap/>
            <w:vAlign w:val="bottom"/>
          </w:tcPr>
          <w:p w14:paraId="4145A45E">
            <w:pPr>
              <w:tabs>
                <w:tab w:val="left" w:pos="266"/>
              </w:tabs>
              <w:spacing w:line="360" w:lineRule="exact"/>
              <w:ind w:right="2822" w:rightChars="1344"/>
              <w:rPr>
                <w:rFonts w:hint="eastAsia" w:ascii="仿宋_GB2312" w:hAnsi="仿宋_GB2312" w:eastAsia="仿宋_GB2312" w:cs="仿宋_GB2312"/>
                <w:kern w:val="0"/>
                <w:sz w:val="24"/>
                <w:szCs w:val="24"/>
              </w:rPr>
            </w:pPr>
          </w:p>
        </w:tc>
      </w:tr>
      <w:tr w14:paraId="318C5AB7">
        <w:tblPrEx>
          <w:tblCellMar>
            <w:top w:w="0" w:type="dxa"/>
            <w:left w:w="108" w:type="dxa"/>
            <w:bottom w:w="0" w:type="dxa"/>
            <w:right w:w="108" w:type="dxa"/>
          </w:tblCellMar>
        </w:tblPrEx>
        <w:trPr>
          <w:trHeight w:val="23" w:hRule="atLeast"/>
          <w:jc w:val="center"/>
        </w:trPr>
        <w:tc>
          <w:tcPr>
            <w:tcW w:w="790" w:type="dxa"/>
            <w:vMerge w:val="restart"/>
            <w:tcBorders>
              <w:top w:val="single" w:color="auto" w:sz="4" w:space="0"/>
              <w:left w:val="single" w:color="auto" w:sz="4" w:space="0"/>
              <w:bottom w:val="single" w:color="auto" w:sz="4" w:space="0"/>
              <w:right w:val="single" w:color="000000" w:sz="4" w:space="0"/>
            </w:tcBorders>
            <w:noWrap/>
            <w:vAlign w:val="center"/>
          </w:tcPr>
          <w:p w14:paraId="2A94ABAF">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乔木</w:t>
            </w:r>
          </w:p>
        </w:tc>
        <w:tc>
          <w:tcPr>
            <w:tcW w:w="680" w:type="dxa"/>
            <w:vMerge w:val="restart"/>
            <w:tcBorders>
              <w:top w:val="single" w:color="auto" w:sz="4" w:space="0"/>
              <w:left w:val="single" w:color="000000" w:sz="4" w:space="0"/>
              <w:bottom w:val="single" w:color="auto" w:sz="4" w:space="0"/>
              <w:right w:val="single" w:color="auto" w:sz="4" w:space="0"/>
            </w:tcBorders>
            <w:noWrap/>
            <w:vAlign w:val="center"/>
          </w:tcPr>
          <w:p w14:paraId="7B9CEAB5">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30</w:t>
            </w:r>
          </w:p>
        </w:tc>
        <w:tc>
          <w:tcPr>
            <w:tcW w:w="6487" w:type="dxa"/>
            <w:gridSpan w:val="4"/>
            <w:tcBorders>
              <w:top w:val="single" w:color="auto" w:sz="4" w:space="0"/>
              <w:left w:val="single" w:color="auto" w:sz="4" w:space="0"/>
              <w:bottom w:val="single" w:color="000000" w:sz="4" w:space="0"/>
              <w:right w:val="single" w:color="000000" w:sz="4" w:space="0"/>
            </w:tcBorders>
            <w:noWrap/>
            <w:vAlign w:val="center"/>
          </w:tcPr>
          <w:p w14:paraId="7BB641FD">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补栽：8分。乔木有缺失、死株，每株扣0.2分。</w:t>
            </w:r>
          </w:p>
        </w:tc>
        <w:tc>
          <w:tcPr>
            <w:tcW w:w="673" w:type="dxa"/>
            <w:tcBorders>
              <w:top w:val="single" w:color="auto" w:sz="4" w:space="0"/>
              <w:left w:val="single" w:color="000000" w:sz="4" w:space="0"/>
              <w:bottom w:val="single" w:color="000000" w:sz="4" w:space="0"/>
              <w:right w:val="single" w:color="auto" w:sz="4" w:space="0"/>
            </w:tcBorders>
            <w:noWrap/>
            <w:vAlign w:val="bottom"/>
          </w:tcPr>
          <w:p w14:paraId="5E6265AE">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auto" w:sz="4" w:space="0"/>
              <w:left w:val="single" w:color="000000" w:sz="4" w:space="0"/>
              <w:bottom w:val="single" w:color="000000" w:sz="4" w:space="0"/>
              <w:right w:val="single" w:color="auto" w:sz="4" w:space="0"/>
            </w:tcBorders>
            <w:noWrap/>
            <w:vAlign w:val="bottom"/>
          </w:tcPr>
          <w:p w14:paraId="07C98D7C">
            <w:pPr>
              <w:tabs>
                <w:tab w:val="left" w:pos="266"/>
              </w:tabs>
              <w:spacing w:line="360" w:lineRule="exact"/>
              <w:rPr>
                <w:rFonts w:hint="eastAsia" w:ascii="仿宋_GB2312" w:hAnsi="仿宋_GB2312" w:eastAsia="仿宋_GB2312" w:cs="仿宋_GB2312"/>
                <w:kern w:val="0"/>
                <w:sz w:val="24"/>
                <w:szCs w:val="24"/>
              </w:rPr>
            </w:pPr>
          </w:p>
        </w:tc>
      </w:tr>
      <w:tr w14:paraId="4E788DDA">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631BCCAE">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52E72E49">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000000" w:sz="4" w:space="0"/>
              <w:right w:val="single" w:color="000000" w:sz="4" w:space="0"/>
            </w:tcBorders>
            <w:noWrap/>
            <w:vAlign w:val="center"/>
          </w:tcPr>
          <w:p w14:paraId="65FFC375">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修剪：8分。行道树未修剪或修剪不规范，萌蘖未清除、下缘线修剪不整齐、未修剪内堂，有树挂、干枯枝、桩等视现场具体情况打分，0分未修剪，1-3分修剪较差，4-5分修剪较好，6-8分修剪规整。</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3E916473">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19632A01">
            <w:pPr>
              <w:tabs>
                <w:tab w:val="left" w:pos="266"/>
              </w:tabs>
              <w:spacing w:line="360" w:lineRule="exact"/>
              <w:rPr>
                <w:rFonts w:hint="eastAsia" w:ascii="仿宋_GB2312" w:hAnsi="仿宋_GB2312" w:eastAsia="仿宋_GB2312" w:cs="仿宋_GB2312"/>
                <w:kern w:val="0"/>
                <w:sz w:val="24"/>
                <w:szCs w:val="24"/>
              </w:rPr>
            </w:pPr>
          </w:p>
        </w:tc>
      </w:tr>
      <w:tr w14:paraId="7B27B3B7">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67A1761C">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6B0C59F1">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000000" w:sz="4" w:space="0"/>
              <w:right w:val="single" w:color="000000" w:sz="4" w:space="0"/>
            </w:tcBorders>
            <w:noWrap/>
            <w:vAlign w:val="center"/>
          </w:tcPr>
          <w:p w14:paraId="6C38AE7C">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施肥浇水：5分。施肥、浇水不及时（或施肥、浇水不当）导致乔木生长不良或者死亡等视现场具体情况打分，0分未施肥浇水，1-3分施肥浇水效果一般，4-5分施肥浇水效果较好。</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24FCDF4A">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5773770F">
            <w:pPr>
              <w:tabs>
                <w:tab w:val="left" w:pos="266"/>
              </w:tabs>
              <w:spacing w:line="360" w:lineRule="exact"/>
              <w:rPr>
                <w:rFonts w:hint="eastAsia" w:ascii="仿宋_GB2312" w:hAnsi="仿宋_GB2312" w:eastAsia="仿宋_GB2312" w:cs="仿宋_GB2312"/>
                <w:kern w:val="0"/>
                <w:sz w:val="24"/>
                <w:szCs w:val="24"/>
              </w:rPr>
            </w:pPr>
          </w:p>
        </w:tc>
      </w:tr>
      <w:tr w14:paraId="68C68476">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28F4BC89">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34AB6593">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000000" w:sz="4" w:space="0"/>
              <w:right w:val="single" w:color="000000" w:sz="4" w:space="0"/>
            </w:tcBorders>
            <w:noWrap/>
            <w:vAlign w:val="center"/>
          </w:tcPr>
          <w:p w14:paraId="28E2C84B">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病虫害防治：5分。乔木有病虫害，每株扣0.2分；路段发生病虫害面积超10%时，扣1分。</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67F9473A">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79D444FB">
            <w:pPr>
              <w:tabs>
                <w:tab w:val="left" w:pos="266"/>
              </w:tabs>
              <w:spacing w:line="360" w:lineRule="exact"/>
              <w:rPr>
                <w:rFonts w:hint="eastAsia" w:ascii="仿宋_GB2312" w:hAnsi="仿宋_GB2312" w:eastAsia="仿宋_GB2312" w:cs="仿宋_GB2312"/>
                <w:kern w:val="0"/>
                <w:sz w:val="24"/>
                <w:szCs w:val="24"/>
              </w:rPr>
            </w:pPr>
          </w:p>
        </w:tc>
      </w:tr>
      <w:tr w14:paraId="49499582">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764C52F8">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2BC94E98">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auto" w:sz="4" w:space="0"/>
              <w:right w:val="single" w:color="000000" w:sz="4" w:space="0"/>
            </w:tcBorders>
            <w:noWrap/>
            <w:vAlign w:val="center"/>
          </w:tcPr>
          <w:p w14:paraId="2465F0C9">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他：4分。树木倒伏，支撑凌乱，树干上有钉子等缠绕物，每株扣0.5分；新栽乔木超过1年养护期，草绳破损未清除的，每株扣0.2分；树池内植物长势差、树池杂草或有明显寄生植物攀附清理不及时，每株扣0.5分；树池篦子放置不规范、破损的，每处扣0.2分。</w:t>
            </w:r>
          </w:p>
        </w:tc>
        <w:tc>
          <w:tcPr>
            <w:tcW w:w="673" w:type="dxa"/>
            <w:tcBorders>
              <w:top w:val="single" w:color="000000" w:sz="4" w:space="0"/>
              <w:left w:val="single" w:color="000000" w:sz="4" w:space="0"/>
              <w:bottom w:val="single" w:color="auto" w:sz="4" w:space="0"/>
              <w:right w:val="single" w:color="auto" w:sz="4" w:space="0"/>
            </w:tcBorders>
            <w:noWrap/>
            <w:vAlign w:val="bottom"/>
          </w:tcPr>
          <w:p w14:paraId="36E2C437">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auto" w:sz="4" w:space="0"/>
              <w:right w:val="single" w:color="auto" w:sz="4" w:space="0"/>
            </w:tcBorders>
            <w:noWrap/>
            <w:vAlign w:val="bottom"/>
          </w:tcPr>
          <w:p w14:paraId="0DD9D97E">
            <w:pPr>
              <w:tabs>
                <w:tab w:val="left" w:pos="266"/>
              </w:tabs>
              <w:spacing w:line="360" w:lineRule="exact"/>
              <w:rPr>
                <w:rFonts w:hint="eastAsia" w:ascii="仿宋_GB2312" w:hAnsi="仿宋_GB2312" w:eastAsia="仿宋_GB2312" w:cs="仿宋_GB2312"/>
                <w:kern w:val="0"/>
                <w:sz w:val="24"/>
                <w:szCs w:val="24"/>
              </w:rPr>
            </w:pPr>
          </w:p>
        </w:tc>
      </w:tr>
      <w:tr w14:paraId="188ADD5E">
        <w:tblPrEx>
          <w:tblCellMar>
            <w:top w:w="0" w:type="dxa"/>
            <w:left w:w="108" w:type="dxa"/>
            <w:bottom w:w="0" w:type="dxa"/>
            <w:right w:w="108" w:type="dxa"/>
          </w:tblCellMar>
        </w:tblPrEx>
        <w:trPr>
          <w:trHeight w:val="23" w:hRule="atLeast"/>
          <w:jc w:val="center"/>
        </w:trPr>
        <w:tc>
          <w:tcPr>
            <w:tcW w:w="790" w:type="dxa"/>
            <w:vMerge w:val="restart"/>
            <w:tcBorders>
              <w:top w:val="single" w:color="auto" w:sz="4" w:space="0"/>
              <w:left w:val="single" w:color="auto" w:sz="4" w:space="0"/>
              <w:bottom w:val="single" w:color="auto" w:sz="4" w:space="0"/>
              <w:right w:val="single" w:color="000000" w:sz="4" w:space="0"/>
            </w:tcBorders>
            <w:noWrap/>
            <w:vAlign w:val="center"/>
          </w:tcPr>
          <w:p w14:paraId="28CC0A29">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灌木</w:t>
            </w:r>
          </w:p>
          <w:p w14:paraId="0317A6BF">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(含竹类、藤本植物)</w:t>
            </w:r>
          </w:p>
        </w:tc>
        <w:tc>
          <w:tcPr>
            <w:tcW w:w="680" w:type="dxa"/>
            <w:vMerge w:val="restart"/>
            <w:tcBorders>
              <w:top w:val="single" w:color="auto" w:sz="4" w:space="0"/>
              <w:left w:val="single" w:color="000000" w:sz="4" w:space="0"/>
              <w:bottom w:val="single" w:color="auto" w:sz="4" w:space="0"/>
              <w:right w:val="single" w:color="auto" w:sz="4" w:space="0"/>
            </w:tcBorders>
            <w:noWrap/>
            <w:vAlign w:val="center"/>
          </w:tcPr>
          <w:p w14:paraId="08961DE0">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30</w:t>
            </w:r>
          </w:p>
        </w:tc>
        <w:tc>
          <w:tcPr>
            <w:tcW w:w="6487" w:type="dxa"/>
            <w:gridSpan w:val="4"/>
            <w:tcBorders>
              <w:top w:val="single" w:color="auto" w:sz="4" w:space="0"/>
              <w:left w:val="single" w:color="auto" w:sz="4" w:space="0"/>
              <w:bottom w:val="single" w:color="000000" w:sz="4" w:space="0"/>
              <w:right w:val="single" w:color="000000" w:sz="4" w:space="0"/>
            </w:tcBorders>
            <w:noWrap/>
            <w:vAlign w:val="center"/>
          </w:tcPr>
          <w:p w14:paraId="746853FB">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补栽：5分。缺株、人为踩踏、枯死、长势不好、补栽不合格，每1㎡为一处，扣0.2分；</w:t>
            </w:r>
          </w:p>
        </w:tc>
        <w:tc>
          <w:tcPr>
            <w:tcW w:w="673" w:type="dxa"/>
            <w:tcBorders>
              <w:top w:val="single" w:color="auto" w:sz="4" w:space="0"/>
              <w:left w:val="single" w:color="000000" w:sz="4" w:space="0"/>
              <w:bottom w:val="single" w:color="000000" w:sz="4" w:space="0"/>
              <w:right w:val="single" w:color="auto" w:sz="4" w:space="0"/>
            </w:tcBorders>
            <w:noWrap/>
            <w:vAlign w:val="bottom"/>
          </w:tcPr>
          <w:p w14:paraId="39874BC2">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auto" w:sz="4" w:space="0"/>
              <w:left w:val="single" w:color="000000" w:sz="4" w:space="0"/>
              <w:bottom w:val="single" w:color="000000" w:sz="4" w:space="0"/>
              <w:right w:val="single" w:color="auto" w:sz="4" w:space="0"/>
            </w:tcBorders>
            <w:noWrap/>
            <w:vAlign w:val="bottom"/>
          </w:tcPr>
          <w:p w14:paraId="430C7A72">
            <w:pPr>
              <w:tabs>
                <w:tab w:val="left" w:pos="266"/>
              </w:tabs>
              <w:spacing w:line="360" w:lineRule="exact"/>
              <w:rPr>
                <w:rFonts w:hint="eastAsia" w:ascii="仿宋_GB2312" w:hAnsi="仿宋_GB2312" w:eastAsia="仿宋_GB2312" w:cs="仿宋_GB2312"/>
                <w:kern w:val="0"/>
                <w:sz w:val="24"/>
                <w:szCs w:val="24"/>
              </w:rPr>
            </w:pPr>
          </w:p>
        </w:tc>
      </w:tr>
      <w:tr w14:paraId="6D813A28">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39CB9C64">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0688B62B">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000000" w:sz="4" w:space="0"/>
              <w:right w:val="single" w:color="000000" w:sz="4" w:space="0"/>
            </w:tcBorders>
            <w:noWrap/>
            <w:vAlign w:val="center"/>
          </w:tcPr>
          <w:p w14:paraId="05319EBB">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清掏：5分。灌木内落叶、垃圾清掏不彻底、未除杂草、有攀附或寄生植物清理不及等视现场具体情况打分，0分未清掏，1-3分清掏不到位，4-5分清掏彻底。</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5639C1D8">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11FF5BB9">
            <w:pPr>
              <w:tabs>
                <w:tab w:val="left" w:pos="266"/>
              </w:tabs>
              <w:spacing w:line="360" w:lineRule="exact"/>
              <w:rPr>
                <w:rFonts w:hint="eastAsia" w:ascii="仿宋_GB2312" w:hAnsi="仿宋_GB2312" w:eastAsia="仿宋_GB2312" w:cs="仿宋_GB2312"/>
                <w:kern w:val="0"/>
                <w:sz w:val="24"/>
                <w:szCs w:val="24"/>
              </w:rPr>
            </w:pPr>
          </w:p>
        </w:tc>
      </w:tr>
      <w:tr w14:paraId="10702B21">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15A67B39">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2322AB76">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000000" w:sz="4" w:space="0"/>
              <w:right w:val="single" w:color="000000" w:sz="4" w:space="0"/>
            </w:tcBorders>
            <w:noWrap/>
            <w:vAlign w:val="center"/>
          </w:tcPr>
          <w:p w14:paraId="55659988">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修剪：8分。未修剪、绿篱修剪不规范等视现场具体情况打分，0分未修剪，1-3分修剪较差，4-5分修剪较好，6-8分修剪规整。</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3E1C7E8F">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3A77A603">
            <w:pPr>
              <w:tabs>
                <w:tab w:val="left" w:pos="266"/>
              </w:tabs>
              <w:spacing w:line="360" w:lineRule="exact"/>
              <w:rPr>
                <w:rFonts w:hint="eastAsia" w:ascii="仿宋_GB2312" w:hAnsi="仿宋_GB2312" w:eastAsia="仿宋_GB2312" w:cs="仿宋_GB2312"/>
                <w:kern w:val="0"/>
                <w:sz w:val="24"/>
                <w:szCs w:val="24"/>
              </w:rPr>
            </w:pPr>
          </w:p>
        </w:tc>
      </w:tr>
      <w:tr w14:paraId="6744815F">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66E8EB36">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60F760C5">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000000" w:sz="4" w:space="0"/>
              <w:right w:val="single" w:color="000000" w:sz="4" w:space="0"/>
            </w:tcBorders>
            <w:noWrap/>
            <w:vAlign w:val="center"/>
          </w:tcPr>
          <w:p w14:paraId="67EBF8A5">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肥、浇水冲洗：5分。施肥、浇水不及时（或施肥、浇水不当）导致植物生长不良或者死亡；冲洗清理不及时，积尘影响枝叶色泽；绿篱、落叶等视现场具体情况打分，0分未施肥浇水，1-3分施肥浇水效果一般，4-5分施肥浇水效果较好。</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65ADCC85">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41E141F4">
            <w:pPr>
              <w:tabs>
                <w:tab w:val="left" w:pos="266"/>
              </w:tabs>
              <w:spacing w:line="360" w:lineRule="exact"/>
              <w:rPr>
                <w:rFonts w:hint="eastAsia" w:ascii="仿宋_GB2312" w:hAnsi="仿宋_GB2312" w:eastAsia="仿宋_GB2312" w:cs="仿宋_GB2312"/>
                <w:kern w:val="0"/>
                <w:sz w:val="24"/>
                <w:szCs w:val="24"/>
              </w:rPr>
            </w:pPr>
          </w:p>
        </w:tc>
      </w:tr>
      <w:tr w14:paraId="0B0070D8">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6B5980F7">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72CD4C2B">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000000" w:sz="4" w:space="0"/>
              <w:right w:val="single" w:color="000000" w:sz="4" w:space="0"/>
            </w:tcBorders>
            <w:noWrap/>
            <w:vAlign w:val="center"/>
          </w:tcPr>
          <w:p w14:paraId="75CBF0D2">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杂草清除：3分 绿篱、灌木、竹林杂草面积零星发生，每处扣0.1分，达栽培面积5%，每处扣0.5分；达10%，每处扣1分；达20%，每处扣2分。</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3C35C699">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6B290830">
            <w:pPr>
              <w:tabs>
                <w:tab w:val="left" w:pos="266"/>
              </w:tabs>
              <w:spacing w:line="360" w:lineRule="exact"/>
              <w:rPr>
                <w:rFonts w:hint="eastAsia" w:ascii="仿宋_GB2312" w:hAnsi="仿宋_GB2312" w:eastAsia="仿宋_GB2312" w:cs="仿宋_GB2312"/>
                <w:kern w:val="0"/>
                <w:sz w:val="24"/>
                <w:szCs w:val="24"/>
              </w:rPr>
            </w:pPr>
          </w:p>
        </w:tc>
      </w:tr>
      <w:tr w14:paraId="7676F4B2">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592F310B">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auto" w:sz="4" w:space="0"/>
            </w:tcBorders>
            <w:noWrap/>
            <w:vAlign w:val="center"/>
          </w:tcPr>
          <w:p w14:paraId="2BABEDFF">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auto" w:sz="4" w:space="0"/>
              <w:bottom w:val="single" w:color="000000" w:sz="4" w:space="0"/>
              <w:right w:val="single" w:color="000000" w:sz="4" w:space="0"/>
            </w:tcBorders>
            <w:noWrap/>
            <w:vAlign w:val="center"/>
          </w:tcPr>
          <w:p w14:paraId="6E110B43">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病虫害防治：4分。苗木有病虫害，个体受害程度10%以上，每处扣1分；路段发生病虫害面积超10%时，扣2分。</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1624123D">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62BA6F72">
            <w:pPr>
              <w:tabs>
                <w:tab w:val="left" w:pos="266"/>
              </w:tabs>
              <w:spacing w:line="360" w:lineRule="exact"/>
              <w:rPr>
                <w:rFonts w:hint="eastAsia" w:ascii="仿宋_GB2312" w:hAnsi="仿宋_GB2312" w:eastAsia="仿宋_GB2312" w:cs="仿宋_GB2312"/>
                <w:kern w:val="0"/>
                <w:sz w:val="24"/>
                <w:szCs w:val="24"/>
              </w:rPr>
            </w:pPr>
          </w:p>
        </w:tc>
      </w:tr>
      <w:tr w14:paraId="229B5836">
        <w:tblPrEx>
          <w:tblCellMar>
            <w:top w:w="0" w:type="dxa"/>
            <w:left w:w="108" w:type="dxa"/>
            <w:bottom w:w="0" w:type="dxa"/>
            <w:right w:w="108" w:type="dxa"/>
          </w:tblCellMar>
        </w:tblPrEx>
        <w:trPr>
          <w:trHeight w:val="23" w:hRule="atLeast"/>
          <w:jc w:val="center"/>
        </w:trPr>
        <w:tc>
          <w:tcPr>
            <w:tcW w:w="790" w:type="dxa"/>
            <w:vMerge w:val="restart"/>
            <w:tcBorders>
              <w:top w:val="single" w:color="auto" w:sz="4" w:space="0"/>
              <w:left w:val="single" w:color="auto" w:sz="4" w:space="0"/>
              <w:bottom w:val="single" w:color="auto" w:sz="4" w:space="0"/>
              <w:right w:val="single" w:color="000000" w:sz="4" w:space="0"/>
            </w:tcBorders>
            <w:noWrap/>
            <w:vAlign w:val="center"/>
          </w:tcPr>
          <w:p w14:paraId="2A015BB6">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地被</w:t>
            </w:r>
          </w:p>
        </w:tc>
        <w:tc>
          <w:tcPr>
            <w:tcW w:w="680" w:type="dxa"/>
            <w:vMerge w:val="restart"/>
            <w:tcBorders>
              <w:top w:val="single" w:color="auto" w:sz="4" w:space="0"/>
              <w:left w:val="single" w:color="000000" w:sz="4" w:space="0"/>
              <w:bottom w:val="single" w:color="auto" w:sz="4" w:space="0"/>
              <w:right w:val="single" w:color="000000" w:sz="4" w:space="0"/>
            </w:tcBorders>
            <w:noWrap/>
            <w:vAlign w:val="center"/>
          </w:tcPr>
          <w:p w14:paraId="04B073A6">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30</w:t>
            </w: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518E02A9">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补栽：6分。黄土裸露、人为踩踏、枯死、枯黄、补栽不规范，每1㎡为一处，扣0.2分</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3E6F39DC">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78FDA620">
            <w:pPr>
              <w:tabs>
                <w:tab w:val="left" w:pos="266"/>
              </w:tabs>
              <w:spacing w:line="360" w:lineRule="exact"/>
              <w:rPr>
                <w:rFonts w:hint="eastAsia" w:ascii="仿宋_GB2312" w:hAnsi="仿宋_GB2312" w:eastAsia="仿宋_GB2312" w:cs="仿宋_GB2312"/>
                <w:kern w:val="0"/>
                <w:sz w:val="24"/>
                <w:szCs w:val="24"/>
              </w:rPr>
            </w:pPr>
          </w:p>
        </w:tc>
      </w:tr>
      <w:tr w14:paraId="3041E47B">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7A6C7E3F">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000000" w:sz="4" w:space="0"/>
            </w:tcBorders>
            <w:noWrap/>
            <w:vAlign w:val="center"/>
          </w:tcPr>
          <w:p w14:paraId="11B0D2D9">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20864F9A">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清掏：4分。绿地内有垃圾、落叶等视现场具体情况打分，0分未清掏，1-3分清掏不到位，4-5分清掏彻底。</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51E5A712">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1EBD812D">
            <w:pPr>
              <w:tabs>
                <w:tab w:val="left" w:pos="266"/>
              </w:tabs>
              <w:spacing w:line="360" w:lineRule="exact"/>
              <w:rPr>
                <w:rFonts w:hint="eastAsia" w:ascii="仿宋_GB2312" w:hAnsi="仿宋_GB2312" w:eastAsia="仿宋_GB2312" w:cs="仿宋_GB2312"/>
                <w:kern w:val="0"/>
                <w:sz w:val="24"/>
                <w:szCs w:val="24"/>
              </w:rPr>
            </w:pPr>
          </w:p>
        </w:tc>
      </w:tr>
      <w:tr w14:paraId="61F1BECB">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4B29C258">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000000" w:sz="4" w:space="0"/>
            </w:tcBorders>
            <w:noWrap/>
            <w:vAlign w:val="center"/>
          </w:tcPr>
          <w:p w14:paraId="52783F57">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223F3B53">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修剪：8分。草坪高度超过10cm未修剪，修剪面不平，边角有遗留，修剪后色斑明显等视现场具体情况打分，0分未修剪，1-3分修剪较差，4-5分修剪良好，6-8分修剪规整。</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449AFC15">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2255025B">
            <w:pPr>
              <w:tabs>
                <w:tab w:val="left" w:pos="266"/>
              </w:tabs>
              <w:spacing w:line="360" w:lineRule="exact"/>
              <w:rPr>
                <w:rFonts w:hint="eastAsia" w:ascii="仿宋_GB2312" w:hAnsi="仿宋_GB2312" w:eastAsia="仿宋_GB2312" w:cs="仿宋_GB2312"/>
                <w:kern w:val="0"/>
                <w:sz w:val="24"/>
                <w:szCs w:val="24"/>
              </w:rPr>
            </w:pPr>
          </w:p>
        </w:tc>
      </w:tr>
      <w:tr w14:paraId="7487BC73">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39F3FA4C">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000000" w:sz="4" w:space="0"/>
            </w:tcBorders>
            <w:noWrap/>
            <w:vAlign w:val="center"/>
          </w:tcPr>
          <w:p w14:paraId="0B72DB37">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6DDDEA0B">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施肥浇水：4分。施肥、浇水不及时（或施肥、浇水不当）导致植物生长不良或者死亡等视现场具体情况打分，0分未施肥浇水，1-3分施肥浇水效果一般，4-5分施肥浇水效果较好。</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65671542">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5BC371B2">
            <w:pPr>
              <w:tabs>
                <w:tab w:val="left" w:pos="266"/>
              </w:tabs>
              <w:spacing w:line="360" w:lineRule="exact"/>
              <w:rPr>
                <w:rFonts w:hint="eastAsia" w:ascii="仿宋_GB2312" w:hAnsi="仿宋_GB2312" w:eastAsia="仿宋_GB2312" w:cs="仿宋_GB2312"/>
                <w:kern w:val="0"/>
                <w:sz w:val="24"/>
                <w:szCs w:val="24"/>
              </w:rPr>
            </w:pPr>
          </w:p>
        </w:tc>
      </w:tr>
      <w:tr w14:paraId="05452B55">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41359B7A">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000000" w:sz="4" w:space="0"/>
            </w:tcBorders>
            <w:noWrap/>
            <w:vAlign w:val="center"/>
          </w:tcPr>
          <w:p w14:paraId="2CC8B701">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788189EC">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杂草清除：4分 ，草坪杂草面积零星发生，每处扣0.1分，达栽培面积5%，每处扣0.5分；达10%，每处扣1分；达20%，每处扣2分。</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6E777E6A">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3CE1D809">
            <w:pPr>
              <w:tabs>
                <w:tab w:val="left" w:pos="266"/>
              </w:tabs>
              <w:spacing w:line="360" w:lineRule="exact"/>
              <w:rPr>
                <w:rFonts w:hint="eastAsia" w:ascii="仿宋_GB2312" w:hAnsi="仿宋_GB2312" w:eastAsia="仿宋_GB2312" w:cs="仿宋_GB2312"/>
                <w:kern w:val="0"/>
                <w:sz w:val="24"/>
                <w:szCs w:val="24"/>
              </w:rPr>
            </w:pPr>
          </w:p>
        </w:tc>
      </w:tr>
      <w:tr w14:paraId="5E2A519A">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000000" w:sz="4" w:space="0"/>
            </w:tcBorders>
            <w:noWrap/>
            <w:vAlign w:val="center"/>
          </w:tcPr>
          <w:p w14:paraId="60CED571">
            <w:pPr>
              <w:tabs>
                <w:tab w:val="left" w:pos="266"/>
              </w:tabs>
              <w:spacing w:line="360" w:lineRule="exact"/>
              <w:jc w:val="center"/>
              <w:rPr>
                <w:rFonts w:hint="eastAsia" w:ascii="仿宋_GB2312" w:hAnsi="仿宋_GB2312" w:eastAsia="仿宋_GB2312" w:cs="仿宋_GB2312"/>
                <w:kern w:val="0"/>
                <w:sz w:val="24"/>
                <w:szCs w:val="24"/>
              </w:rPr>
            </w:pPr>
          </w:p>
        </w:tc>
        <w:tc>
          <w:tcPr>
            <w:tcW w:w="680" w:type="dxa"/>
            <w:vMerge w:val="continue"/>
            <w:tcBorders>
              <w:top w:val="single" w:color="auto" w:sz="4" w:space="0"/>
              <w:left w:val="single" w:color="000000" w:sz="4" w:space="0"/>
              <w:bottom w:val="single" w:color="auto" w:sz="4" w:space="0"/>
              <w:right w:val="single" w:color="000000" w:sz="4" w:space="0"/>
            </w:tcBorders>
            <w:noWrap/>
            <w:vAlign w:val="center"/>
          </w:tcPr>
          <w:p w14:paraId="53E777DF">
            <w:pPr>
              <w:tabs>
                <w:tab w:val="left" w:pos="266"/>
              </w:tabs>
              <w:spacing w:line="360" w:lineRule="exact"/>
              <w:jc w:val="center"/>
              <w:rPr>
                <w:rFonts w:hint="eastAsia" w:ascii="仿宋_GB2312" w:hAnsi="仿宋_GB2312" w:eastAsia="仿宋_GB2312" w:cs="仿宋_GB2312"/>
                <w:kern w:val="0"/>
                <w:sz w:val="24"/>
                <w:szCs w:val="24"/>
              </w:rPr>
            </w:pP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67C2D631">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病虫害防治：4分。地被草皮有病虫害，受害面积1㎡以上，每处扣0.1分；路段发生病虫害面积超10%时，扣1分。</w:t>
            </w:r>
          </w:p>
        </w:tc>
        <w:tc>
          <w:tcPr>
            <w:tcW w:w="673" w:type="dxa"/>
            <w:tcBorders>
              <w:top w:val="single" w:color="000000" w:sz="4" w:space="0"/>
              <w:left w:val="single" w:color="000000" w:sz="4" w:space="0"/>
              <w:bottom w:val="single" w:color="000000" w:sz="4" w:space="0"/>
              <w:right w:val="single" w:color="auto" w:sz="4" w:space="0"/>
            </w:tcBorders>
            <w:noWrap/>
            <w:vAlign w:val="bottom"/>
          </w:tcPr>
          <w:p w14:paraId="0E837DD5">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74084AAF">
            <w:pPr>
              <w:tabs>
                <w:tab w:val="left" w:pos="266"/>
              </w:tabs>
              <w:spacing w:line="360" w:lineRule="exact"/>
              <w:rPr>
                <w:rFonts w:hint="eastAsia" w:ascii="仿宋_GB2312" w:hAnsi="仿宋_GB2312" w:eastAsia="仿宋_GB2312" w:cs="仿宋_GB2312"/>
                <w:kern w:val="0"/>
                <w:sz w:val="24"/>
                <w:szCs w:val="24"/>
              </w:rPr>
            </w:pPr>
          </w:p>
        </w:tc>
      </w:tr>
      <w:tr w14:paraId="79DE7C7F">
        <w:tblPrEx>
          <w:tblCellMar>
            <w:top w:w="0" w:type="dxa"/>
            <w:left w:w="108" w:type="dxa"/>
            <w:bottom w:w="0" w:type="dxa"/>
            <w:right w:w="108" w:type="dxa"/>
          </w:tblCellMar>
        </w:tblPrEx>
        <w:trPr>
          <w:trHeight w:val="23" w:hRule="atLeast"/>
          <w:jc w:val="center"/>
        </w:trPr>
        <w:tc>
          <w:tcPr>
            <w:tcW w:w="790" w:type="dxa"/>
            <w:tcBorders>
              <w:top w:val="single" w:color="auto" w:sz="4" w:space="0"/>
              <w:left w:val="single" w:color="auto" w:sz="4" w:space="0"/>
              <w:bottom w:val="single" w:color="auto" w:sz="4" w:space="0"/>
              <w:right w:val="single" w:color="000000" w:sz="4" w:space="0"/>
            </w:tcBorders>
            <w:noWrap/>
            <w:vAlign w:val="center"/>
          </w:tcPr>
          <w:p w14:paraId="42F2E5D3">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总分</w:t>
            </w:r>
          </w:p>
        </w:tc>
        <w:tc>
          <w:tcPr>
            <w:tcW w:w="680" w:type="dxa"/>
            <w:tcBorders>
              <w:top w:val="single" w:color="auto" w:sz="4" w:space="0"/>
              <w:left w:val="single" w:color="000000" w:sz="4" w:space="0"/>
              <w:bottom w:val="single" w:color="auto" w:sz="4" w:space="0"/>
              <w:right w:val="single" w:color="000000" w:sz="4" w:space="0"/>
            </w:tcBorders>
            <w:noWrap/>
            <w:vAlign w:val="center"/>
          </w:tcPr>
          <w:p w14:paraId="1138C6D0">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100</w:t>
            </w:r>
          </w:p>
        </w:tc>
        <w:tc>
          <w:tcPr>
            <w:tcW w:w="6487" w:type="dxa"/>
            <w:gridSpan w:val="4"/>
            <w:tcBorders>
              <w:top w:val="single" w:color="000000" w:sz="4" w:space="0"/>
              <w:left w:val="single" w:color="000000" w:sz="4" w:space="0"/>
              <w:bottom w:val="single" w:color="000000" w:sz="4" w:space="0"/>
              <w:right w:val="single" w:color="000000" w:sz="4" w:space="0"/>
            </w:tcBorders>
            <w:noWrap/>
            <w:vAlign w:val="center"/>
          </w:tcPr>
          <w:p w14:paraId="447DB751">
            <w:pPr>
              <w:tabs>
                <w:tab w:val="left" w:pos="266"/>
              </w:tabs>
              <w:spacing w:line="360" w:lineRule="exact"/>
              <w:rPr>
                <w:rFonts w:hint="eastAsia" w:ascii="仿宋_GB2312" w:hAnsi="仿宋_GB2312" w:eastAsia="仿宋_GB2312" w:cs="仿宋_GB2312"/>
                <w:kern w:val="0"/>
                <w:sz w:val="24"/>
                <w:szCs w:val="24"/>
              </w:rPr>
            </w:pPr>
          </w:p>
        </w:tc>
        <w:tc>
          <w:tcPr>
            <w:tcW w:w="673" w:type="dxa"/>
            <w:tcBorders>
              <w:top w:val="single" w:color="000000" w:sz="4" w:space="0"/>
              <w:left w:val="single" w:color="000000" w:sz="4" w:space="0"/>
              <w:bottom w:val="single" w:color="000000" w:sz="4" w:space="0"/>
              <w:right w:val="single" w:color="auto" w:sz="4" w:space="0"/>
            </w:tcBorders>
            <w:noWrap/>
            <w:vAlign w:val="bottom"/>
          </w:tcPr>
          <w:p w14:paraId="28B3112F">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000000" w:sz="4" w:space="0"/>
              <w:left w:val="single" w:color="000000" w:sz="4" w:space="0"/>
              <w:bottom w:val="single" w:color="000000" w:sz="4" w:space="0"/>
              <w:right w:val="single" w:color="auto" w:sz="4" w:space="0"/>
            </w:tcBorders>
            <w:noWrap/>
            <w:vAlign w:val="bottom"/>
          </w:tcPr>
          <w:p w14:paraId="4625EB78">
            <w:pPr>
              <w:tabs>
                <w:tab w:val="left" w:pos="266"/>
              </w:tabs>
              <w:spacing w:line="360" w:lineRule="exact"/>
              <w:rPr>
                <w:rFonts w:hint="eastAsia" w:ascii="仿宋_GB2312" w:hAnsi="仿宋_GB2312" w:eastAsia="仿宋_GB2312" w:cs="仿宋_GB2312"/>
                <w:kern w:val="0"/>
                <w:sz w:val="24"/>
                <w:szCs w:val="24"/>
              </w:rPr>
            </w:pPr>
          </w:p>
        </w:tc>
      </w:tr>
      <w:tr w14:paraId="1A1F4E05">
        <w:tblPrEx>
          <w:tblCellMar>
            <w:top w:w="0" w:type="dxa"/>
            <w:left w:w="108" w:type="dxa"/>
            <w:bottom w:w="0" w:type="dxa"/>
            <w:right w:w="108" w:type="dxa"/>
          </w:tblCellMar>
        </w:tblPrEx>
        <w:trPr>
          <w:trHeight w:val="23" w:hRule="atLeast"/>
          <w:jc w:val="center"/>
        </w:trPr>
        <w:tc>
          <w:tcPr>
            <w:tcW w:w="790" w:type="dxa"/>
            <w:vMerge w:val="restart"/>
            <w:tcBorders>
              <w:top w:val="single" w:color="auto" w:sz="4" w:space="0"/>
              <w:left w:val="single" w:color="auto" w:sz="4" w:space="0"/>
              <w:bottom w:val="single" w:color="auto" w:sz="4" w:space="0"/>
              <w:right w:val="single" w:color="auto" w:sz="4" w:space="0"/>
            </w:tcBorders>
            <w:noWrap/>
            <w:vAlign w:val="center"/>
          </w:tcPr>
          <w:p w14:paraId="1DACFFC9">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考核加减</w:t>
            </w:r>
          </w:p>
          <w:p w14:paraId="3195D30B">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分内容</w:t>
            </w:r>
          </w:p>
        </w:tc>
        <w:tc>
          <w:tcPr>
            <w:tcW w:w="680" w:type="dxa"/>
            <w:tcBorders>
              <w:top w:val="single" w:color="auto" w:sz="4" w:space="0"/>
              <w:left w:val="single" w:color="auto" w:sz="4" w:space="0"/>
              <w:bottom w:val="single" w:color="000000" w:sz="4" w:space="0"/>
              <w:right w:val="single" w:color="000000" w:sz="4" w:space="0"/>
            </w:tcBorders>
            <w:noWrap/>
            <w:vAlign w:val="center"/>
          </w:tcPr>
          <w:p w14:paraId="186E6BB1">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加分项(≤5分)</w:t>
            </w:r>
          </w:p>
        </w:tc>
        <w:tc>
          <w:tcPr>
            <w:tcW w:w="6487" w:type="dxa"/>
            <w:gridSpan w:val="4"/>
            <w:tcBorders>
              <w:top w:val="single" w:color="auto" w:sz="4" w:space="0"/>
              <w:left w:val="single" w:color="000000" w:sz="4" w:space="0"/>
              <w:bottom w:val="single" w:color="000000" w:sz="4" w:space="0"/>
              <w:right w:val="single" w:color="000000" w:sz="4" w:space="0"/>
            </w:tcBorders>
            <w:noWrap/>
            <w:vAlign w:val="center"/>
          </w:tcPr>
          <w:p w14:paraId="11029082">
            <w:pPr>
              <w:tabs>
                <w:tab w:val="left" w:pos="266"/>
              </w:tabs>
              <w:spacing w:line="360" w:lineRule="exact"/>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为改善绿地景观面貌和改善植物生长条件，在履行报批程序的基础上，以自主资金积极实施调整改造等措施，成效显著，当月考核加0.5-2.5分。（以标段为单位，按道路面积加分，不足5000平米按5000平米加0.5分，5000-1000平米加1分，以此类推）</w:t>
            </w:r>
          </w:p>
          <w:p w14:paraId="13935410">
            <w:pPr>
              <w:tabs>
                <w:tab w:val="left" w:pos="266"/>
              </w:tabs>
              <w:spacing w:line="360" w:lineRule="exact"/>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2.宣传稿被城管局公众号采纳，加1分；亮点创新事项，加1分；被领导点名表扬加1分；展开技术培训，或主导互比互学活动，加1分。（以标段为单位加分，需提供支撑资料）</w:t>
            </w:r>
          </w:p>
        </w:tc>
        <w:tc>
          <w:tcPr>
            <w:tcW w:w="673" w:type="dxa"/>
            <w:tcBorders>
              <w:top w:val="single" w:color="auto" w:sz="4" w:space="0"/>
              <w:left w:val="single" w:color="000000" w:sz="4" w:space="0"/>
              <w:bottom w:val="single" w:color="000000" w:sz="4" w:space="0"/>
              <w:right w:val="single" w:color="000000" w:sz="4" w:space="0"/>
            </w:tcBorders>
            <w:noWrap/>
            <w:vAlign w:val="bottom"/>
          </w:tcPr>
          <w:p w14:paraId="53AB2735">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auto" w:sz="4" w:space="0"/>
              <w:left w:val="single" w:color="000000" w:sz="4" w:space="0"/>
              <w:bottom w:val="single" w:color="000000" w:sz="4" w:space="0"/>
              <w:right w:val="single" w:color="000000" w:sz="4" w:space="0"/>
            </w:tcBorders>
            <w:noWrap/>
            <w:vAlign w:val="bottom"/>
          </w:tcPr>
          <w:p w14:paraId="54636F36">
            <w:pPr>
              <w:tabs>
                <w:tab w:val="left" w:pos="266"/>
              </w:tabs>
              <w:spacing w:line="360" w:lineRule="exact"/>
              <w:rPr>
                <w:rFonts w:hint="eastAsia" w:ascii="仿宋_GB2312" w:hAnsi="仿宋_GB2312" w:eastAsia="仿宋_GB2312" w:cs="仿宋_GB2312"/>
                <w:kern w:val="0"/>
                <w:sz w:val="24"/>
                <w:szCs w:val="24"/>
              </w:rPr>
            </w:pPr>
          </w:p>
        </w:tc>
      </w:tr>
      <w:tr w14:paraId="43755F24">
        <w:tblPrEx>
          <w:tblCellMar>
            <w:top w:w="0" w:type="dxa"/>
            <w:left w:w="108" w:type="dxa"/>
            <w:bottom w:w="0" w:type="dxa"/>
            <w:right w:w="108" w:type="dxa"/>
          </w:tblCellMar>
        </w:tblPrEx>
        <w:trPr>
          <w:trHeight w:val="23" w:hRule="atLeast"/>
          <w:jc w:val="center"/>
        </w:trPr>
        <w:tc>
          <w:tcPr>
            <w:tcW w:w="790" w:type="dxa"/>
            <w:vMerge w:val="continue"/>
            <w:tcBorders>
              <w:top w:val="single" w:color="auto" w:sz="4" w:space="0"/>
              <w:left w:val="single" w:color="auto" w:sz="4" w:space="0"/>
              <w:bottom w:val="single" w:color="auto" w:sz="4" w:space="0"/>
              <w:right w:val="single" w:color="auto" w:sz="4" w:space="0"/>
            </w:tcBorders>
            <w:noWrap/>
            <w:vAlign w:val="center"/>
          </w:tcPr>
          <w:p w14:paraId="79E9558B">
            <w:pPr>
              <w:tabs>
                <w:tab w:val="left" w:pos="266"/>
              </w:tabs>
              <w:spacing w:line="360" w:lineRule="exact"/>
              <w:jc w:val="center"/>
              <w:rPr>
                <w:rFonts w:hint="eastAsia" w:ascii="仿宋_GB2312" w:hAnsi="仿宋_GB2312" w:eastAsia="仿宋_GB2312" w:cs="仿宋_GB2312"/>
                <w:kern w:val="0"/>
                <w:sz w:val="24"/>
                <w:szCs w:val="24"/>
              </w:rPr>
            </w:pPr>
          </w:p>
        </w:tc>
        <w:tc>
          <w:tcPr>
            <w:tcW w:w="680" w:type="dxa"/>
            <w:tcBorders>
              <w:top w:val="single" w:color="auto" w:sz="4" w:space="0"/>
              <w:left w:val="single" w:color="auto" w:sz="4" w:space="0"/>
              <w:bottom w:val="single" w:color="auto" w:sz="4" w:space="0"/>
              <w:right w:val="single" w:color="000000" w:sz="4" w:space="0"/>
            </w:tcBorders>
            <w:noWrap/>
            <w:vAlign w:val="center"/>
          </w:tcPr>
          <w:p w14:paraId="20EDB3DB">
            <w:pPr>
              <w:tabs>
                <w:tab w:val="left" w:pos="266"/>
              </w:tabs>
              <w:spacing w:line="36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减分</w:t>
            </w:r>
          </w:p>
          <w:p w14:paraId="4CCBF811">
            <w:pPr>
              <w:tabs>
                <w:tab w:val="left" w:pos="266"/>
              </w:tabs>
              <w:spacing w:line="36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项(≤5分)</w:t>
            </w:r>
          </w:p>
        </w:tc>
        <w:tc>
          <w:tcPr>
            <w:tcW w:w="6487" w:type="dxa"/>
            <w:gridSpan w:val="4"/>
            <w:tcBorders>
              <w:top w:val="single" w:color="auto" w:sz="4" w:space="0"/>
              <w:left w:val="single" w:color="000000" w:sz="4" w:space="0"/>
              <w:bottom w:val="single" w:color="auto" w:sz="4" w:space="0"/>
              <w:right w:val="single" w:color="000000" w:sz="4" w:space="0"/>
            </w:tcBorders>
            <w:noWrap/>
            <w:vAlign w:val="top"/>
          </w:tcPr>
          <w:p w14:paraId="22051541">
            <w:pPr>
              <w:tabs>
                <w:tab w:val="left" w:pos="266"/>
              </w:tabs>
              <w:spacing w:line="360" w:lineRule="exact"/>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主管在日常巡视及周检中发现问题，以整改通知单体现，及时完成整改并回复，扣0.5分/单；整改不合格，扣1分/单；未按时完成整改，扣2分/单；整改单弄虚作假扣5分/单。（整改完成时间以回复照片中水印时间为准，以标段为单位扣分）</w:t>
            </w:r>
          </w:p>
          <w:p w14:paraId="331130DA">
            <w:pPr>
              <w:tabs>
                <w:tab w:val="left" w:pos="266"/>
              </w:tabs>
              <w:spacing w:line="360" w:lineRule="exact"/>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2、局领导在督导检查中发现存在问题，发现一处扣1分；提出整改要求，未按规定时间落实整改，每次扣2分。（整改完成时间以回复照片中水印时间为准，以标段为单位扣分）</w:t>
            </w:r>
          </w:p>
          <w:p w14:paraId="04539922">
            <w:pPr>
              <w:tabs>
                <w:tab w:val="left" w:pos="266"/>
              </w:tabs>
              <w:spacing w:line="360" w:lineRule="exact"/>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3、发生重大安全生产事故的，每次扣5分</w:t>
            </w:r>
          </w:p>
        </w:tc>
        <w:tc>
          <w:tcPr>
            <w:tcW w:w="673" w:type="dxa"/>
            <w:tcBorders>
              <w:top w:val="single" w:color="auto" w:sz="4" w:space="0"/>
              <w:left w:val="single" w:color="000000" w:sz="4" w:space="0"/>
              <w:bottom w:val="single" w:color="auto" w:sz="4" w:space="0"/>
              <w:right w:val="single" w:color="000000" w:sz="4" w:space="0"/>
            </w:tcBorders>
            <w:noWrap/>
            <w:vAlign w:val="bottom"/>
          </w:tcPr>
          <w:p w14:paraId="1BFCBDE7">
            <w:pPr>
              <w:tabs>
                <w:tab w:val="left" w:pos="266"/>
              </w:tabs>
              <w:spacing w:line="360" w:lineRule="exact"/>
              <w:rPr>
                <w:rFonts w:hint="eastAsia" w:ascii="仿宋_GB2312" w:hAnsi="仿宋_GB2312" w:eastAsia="仿宋_GB2312" w:cs="仿宋_GB2312"/>
                <w:kern w:val="0"/>
                <w:sz w:val="24"/>
                <w:szCs w:val="24"/>
              </w:rPr>
            </w:pPr>
          </w:p>
        </w:tc>
        <w:tc>
          <w:tcPr>
            <w:tcW w:w="730" w:type="dxa"/>
            <w:tcBorders>
              <w:top w:val="single" w:color="auto" w:sz="4" w:space="0"/>
              <w:left w:val="single" w:color="000000" w:sz="4" w:space="0"/>
              <w:bottom w:val="single" w:color="auto" w:sz="4" w:space="0"/>
              <w:right w:val="single" w:color="000000" w:sz="4" w:space="0"/>
            </w:tcBorders>
            <w:noWrap/>
            <w:vAlign w:val="bottom"/>
          </w:tcPr>
          <w:p w14:paraId="1ED1707A">
            <w:pPr>
              <w:tabs>
                <w:tab w:val="left" w:pos="266"/>
              </w:tabs>
              <w:spacing w:line="360" w:lineRule="exact"/>
              <w:rPr>
                <w:rFonts w:hint="eastAsia" w:ascii="仿宋_GB2312" w:hAnsi="仿宋_GB2312" w:eastAsia="仿宋_GB2312" w:cs="仿宋_GB2312"/>
                <w:kern w:val="0"/>
                <w:sz w:val="24"/>
                <w:szCs w:val="24"/>
              </w:rPr>
            </w:pPr>
          </w:p>
        </w:tc>
      </w:tr>
      <w:tr w14:paraId="0691183C">
        <w:tblPrEx>
          <w:tblCellMar>
            <w:top w:w="0" w:type="dxa"/>
            <w:left w:w="108" w:type="dxa"/>
            <w:bottom w:w="0" w:type="dxa"/>
            <w:right w:w="108" w:type="dxa"/>
          </w:tblCellMar>
        </w:tblPrEx>
        <w:trPr>
          <w:trHeight w:val="23" w:hRule="atLeast"/>
          <w:jc w:val="center"/>
        </w:trPr>
        <w:tc>
          <w:tcPr>
            <w:tcW w:w="1470" w:type="dxa"/>
            <w:gridSpan w:val="2"/>
            <w:tcBorders>
              <w:top w:val="single" w:color="auto" w:sz="4" w:space="0"/>
              <w:left w:val="single" w:color="auto" w:sz="4" w:space="0"/>
              <w:bottom w:val="single" w:color="auto" w:sz="4" w:space="0"/>
              <w:right w:val="single" w:color="auto" w:sz="4" w:space="0"/>
            </w:tcBorders>
            <w:noWrap/>
            <w:vAlign w:val="center"/>
          </w:tcPr>
          <w:p w14:paraId="2D911E63">
            <w:pPr>
              <w:tabs>
                <w:tab w:val="left" w:pos="266"/>
              </w:tabs>
              <w:spacing w:line="36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得分</w:t>
            </w:r>
          </w:p>
        </w:tc>
        <w:tc>
          <w:tcPr>
            <w:tcW w:w="7890" w:type="dxa"/>
            <w:gridSpan w:val="6"/>
            <w:tcBorders>
              <w:top w:val="single" w:color="auto" w:sz="4" w:space="0"/>
              <w:left w:val="single" w:color="auto" w:sz="4" w:space="0"/>
              <w:bottom w:val="single" w:color="auto" w:sz="4" w:space="0"/>
              <w:right w:val="single" w:color="000000" w:sz="4" w:space="0"/>
            </w:tcBorders>
            <w:noWrap/>
            <w:vAlign w:val="center"/>
          </w:tcPr>
          <w:p w14:paraId="345440BC">
            <w:pPr>
              <w:pStyle w:val="7"/>
              <w:tabs>
                <w:tab w:val="left" w:pos="266"/>
              </w:tabs>
              <w:spacing w:line="360" w:lineRule="exact"/>
              <w:rPr>
                <w:rFonts w:hint="eastAsia" w:ascii="仿宋_GB2312" w:hAnsi="仿宋_GB2312" w:eastAsia="仿宋_GB2312" w:cs="仿宋_GB2312"/>
                <w:sz w:val="24"/>
                <w:szCs w:val="24"/>
              </w:rPr>
            </w:pPr>
          </w:p>
        </w:tc>
      </w:tr>
      <w:tr w14:paraId="4685B265">
        <w:tblPrEx>
          <w:tblCellMar>
            <w:top w:w="0" w:type="dxa"/>
            <w:left w:w="108" w:type="dxa"/>
            <w:bottom w:w="0" w:type="dxa"/>
            <w:right w:w="108" w:type="dxa"/>
          </w:tblCellMar>
        </w:tblPrEx>
        <w:trPr>
          <w:trHeight w:val="23" w:hRule="atLeast"/>
          <w:jc w:val="center"/>
        </w:trPr>
        <w:tc>
          <w:tcPr>
            <w:tcW w:w="1470" w:type="dxa"/>
            <w:gridSpan w:val="2"/>
            <w:tcBorders>
              <w:top w:val="single" w:color="auto" w:sz="4" w:space="0"/>
              <w:left w:val="single" w:color="auto" w:sz="4" w:space="0"/>
              <w:bottom w:val="single" w:color="auto" w:sz="4" w:space="0"/>
              <w:right w:val="single" w:color="auto" w:sz="4" w:space="0"/>
            </w:tcBorders>
            <w:noWrap/>
            <w:vAlign w:val="center"/>
          </w:tcPr>
          <w:p w14:paraId="3BEAE78E">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考评人</w:t>
            </w:r>
          </w:p>
        </w:tc>
        <w:tc>
          <w:tcPr>
            <w:tcW w:w="4128" w:type="dxa"/>
            <w:gridSpan w:val="2"/>
            <w:tcBorders>
              <w:top w:val="single" w:color="auto" w:sz="4" w:space="0"/>
              <w:left w:val="single" w:color="auto" w:sz="4" w:space="0"/>
              <w:bottom w:val="single" w:color="auto" w:sz="4" w:space="0"/>
              <w:right w:val="single" w:color="auto" w:sz="4" w:space="0"/>
            </w:tcBorders>
            <w:noWrap/>
            <w:vAlign w:val="center"/>
          </w:tcPr>
          <w:p w14:paraId="7394EEF9">
            <w:pPr>
              <w:tabs>
                <w:tab w:val="left" w:pos="266"/>
                <w:tab w:val="left" w:pos="671"/>
              </w:tabs>
              <w:spacing w:line="360" w:lineRule="exact"/>
              <w:rPr>
                <w:rFonts w:hint="eastAsia" w:ascii="仿宋_GB2312" w:hAnsi="仿宋_GB2312" w:eastAsia="仿宋_GB2312" w:cs="仿宋_GB2312"/>
                <w:kern w:val="0"/>
                <w:sz w:val="24"/>
                <w:szCs w:val="24"/>
              </w:rPr>
            </w:pPr>
          </w:p>
        </w:tc>
        <w:tc>
          <w:tcPr>
            <w:tcW w:w="2359" w:type="dxa"/>
            <w:gridSpan w:val="2"/>
            <w:tcBorders>
              <w:top w:val="single" w:color="auto" w:sz="4" w:space="0"/>
              <w:left w:val="single" w:color="auto" w:sz="4" w:space="0"/>
              <w:bottom w:val="single" w:color="auto" w:sz="4" w:space="0"/>
              <w:right w:val="single" w:color="auto" w:sz="4" w:space="0"/>
            </w:tcBorders>
            <w:noWrap/>
            <w:vAlign w:val="center"/>
          </w:tcPr>
          <w:p w14:paraId="3DC1312F">
            <w:pPr>
              <w:tabs>
                <w:tab w:val="left" w:pos="266"/>
              </w:tabs>
              <w:spacing w:line="36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养护单位</w:t>
            </w:r>
          </w:p>
        </w:tc>
        <w:tc>
          <w:tcPr>
            <w:tcW w:w="1403" w:type="dxa"/>
            <w:gridSpan w:val="2"/>
            <w:tcBorders>
              <w:top w:val="single" w:color="auto" w:sz="4" w:space="0"/>
              <w:left w:val="single" w:color="auto" w:sz="4" w:space="0"/>
              <w:bottom w:val="single" w:color="auto" w:sz="4" w:space="0"/>
              <w:right w:val="single" w:color="auto" w:sz="4" w:space="0"/>
            </w:tcBorders>
            <w:noWrap/>
            <w:vAlign w:val="top"/>
          </w:tcPr>
          <w:p w14:paraId="2F3DFFFE">
            <w:pPr>
              <w:tabs>
                <w:tab w:val="left" w:pos="266"/>
              </w:tabs>
              <w:spacing w:line="360" w:lineRule="exact"/>
              <w:textAlignment w:val="center"/>
              <w:rPr>
                <w:rFonts w:hint="eastAsia" w:ascii="仿宋_GB2312" w:hAnsi="仿宋_GB2312" w:eastAsia="仿宋_GB2312" w:cs="仿宋_GB2312"/>
                <w:kern w:val="0"/>
                <w:sz w:val="24"/>
                <w:szCs w:val="24"/>
              </w:rPr>
            </w:pPr>
          </w:p>
        </w:tc>
      </w:tr>
      <w:tr w14:paraId="3682E804">
        <w:tblPrEx>
          <w:tblCellMar>
            <w:top w:w="0" w:type="dxa"/>
            <w:left w:w="108" w:type="dxa"/>
            <w:bottom w:w="0" w:type="dxa"/>
            <w:right w:w="108" w:type="dxa"/>
          </w:tblCellMar>
        </w:tblPrEx>
        <w:trPr>
          <w:trHeight w:val="23" w:hRule="atLeast"/>
          <w:jc w:val="center"/>
        </w:trPr>
        <w:tc>
          <w:tcPr>
            <w:tcW w:w="1470" w:type="dxa"/>
            <w:gridSpan w:val="2"/>
            <w:tcBorders>
              <w:top w:val="single" w:color="auto" w:sz="4" w:space="0"/>
              <w:left w:val="single" w:color="auto" w:sz="4" w:space="0"/>
              <w:bottom w:val="single" w:color="auto" w:sz="4" w:space="0"/>
              <w:right w:val="single" w:color="auto" w:sz="4" w:space="0"/>
            </w:tcBorders>
            <w:noWrap/>
            <w:vAlign w:val="center"/>
          </w:tcPr>
          <w:p w14:paraId="2D134952">
            <w:pPr>
              <w:tabs>
                <w:tab w:val="left" w:pos="266"/>
              </w:tabs>
              <w:spacing w:line="360" w:lineRule="exact"/>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部门负责人</w:t>
            </w:r>
          </w:p>
        </w:tc>
        <w:tc>
          <w:tcPr>
            <w:tcW w:w="7890" w:type="dxa"/>
            <w:gridSpan w:val="6"/>
            <w:tcBorders>
              <w:top w:val="single" w:color="auto" w:sz="4" w:space="0"/>
              <w:left w:val="single" w:color="auto" w:sz="4" w:space="0"/>
              <w:bottom w:val="single" w:color="auto" w:sz="4" w:space="0"/>
              <w:right w:val="single" w:color="auto" w:sz="4" w:space="0"/>
            </w:tcBorders>
            <w:noWrap/>
            <w:vAlign w:val="center"/>
          </w:tcPr>
          <w:p w14:paraId="6EA9F1F6">
            <w:pPr>
              <w:tabs>
                <w:tab w:val="left" w:pos="266"/>
              </w:tabs>
              <w:spacing w:line="360" w:lineRule="exact"/>
              <w:jc w:val="center"/>
              <w:textAlignment w:val="center"/>
              <w:rPr>
                <w:rFonts w:hint="eastAsia" w:ascii="仿宋_GB2312" w:hAnsi="仿宋_GB2312" w:eastAsia="仿宋_GB2312" w:cs="仿宋_GB2312"/>
                <w:kern w:val="0"/>
                <w:sz w:val="24"/>
                <w:szCs w:val="24"/>
              </w:rPr>
            </w:pPr>
          </w:p>
        </w:tc>
      </w:tr>
      <w:tr w14:paraId="4E5AFE00">
        <w:tblPrEx>
          <w:tblCellMar>
            <w:top w:w="0" w:type="dxa"/>
            <w:left w:w="108" w:type="dxa"/>
            <w:bottom w:w="0" w:type="dxa"/>
            <w:right w:w="108" w:type="dxa"/>
          </w:tblCellMar>
        </w:tblPrEx>
        <w:trPr>
          <w:trHeight w:val="23" w:hRule="atLeast"/>
          <w:jc w:val="center"/>
        </w:trPr>
        <w:tc>
          <w:tcPr>
            <w:tcW w:w="8630" w:type="dxa"/>
            <w:gridSpan w:val="7"/>
            <w:tcBorders>
              <w:top w:val="single" w:color="auto" w:sz="4" w:space="0"/>
              <w:left w:val="nil"/>
              <w:bottom w:val="nil"/>
              <w:right w:val="nil"/>
            </w:tcBorders>
            <w:noWrap/>
            <w:vAlign w:val="center"/>
          </w:tcPr>
          <w:p w14:paraId="026EE807">
            <w:pPr>
              <w:tabs>
                <w:tab w:val="left" w:pos="266"/>
              </w:tabs>
              <w:spacing w:line="36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备注：此考核以高新区城市管理和综合执法局当月下发考核表为准。</w:t>
            </w:r>
          </w:p>
        </w:tc>
        <w:tc>
          <w:tcPr>
            <w:tcW w:w="730" w:type="dxa"/>
            <w:tcBorders>
              <w:top w:val="single" w:color="auto" w:sz="4" w:space="0"/>
              <w:left w:val="nil"/>
              <w:bottom w:val="nil"/>
              <w:right w:val="nil"/>
            </w:tcBorders>
            <w:noWrap/>
            <w:vAlign w:val="center"/>
          </w:tcPr>
          <w:p w14:paraId="2E4CCEA2">
            <w:pPr>
              <w:tabs>
                <w:tab w:val="left" w:pos="266"/>
              </w:tabs>
              <w:spacing w:line="360" w:lineRule="exact"/>
              <w:rPr>
                <w:rFonts w:hint="eastAsia" w:ascii="仿宋_GB2312" w:hAnsi="仿宋_GB2312" w:eastAsia="仿宋_GB2312" w:cs="仿宋_GB2312"/>
                <w:kern w:val="0"/>
                <w:sz w:val="24"/>
                <w:szCs w:val="24"/>
              </w:rPr>
            </w:pPr>
          </w:p>
        </w:tc>
      </w:tr>
    </w:tbl>
    <w:p w14:paraId="7C870B26">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br w:type="page"/>
      </w:r>
      <w:r>
        <w:rPr>
          <w:rFonts w:hint="eastAsia" w:ascii="仿宋_GB2312" w:hAnsi="仿宋_GB2312" w:eastAsia="仿宋_GB2312" w:cs="仿宋_GB2312"/>
          <w:kern w:val="0"/>
          <w:sz w:val="24"/>
          <w:szCs w:val="24"/>
        </w:rPr>
        <w:t>3.绿化养护整改通知单</w:t>
      </w:r>
    </w:p>
    <w:p w14:paraId="78D39B5A">
      <w:pPr>
        <w:tabs>
          <w:tab w:val="left" w:pos="266"/>
        </w:tabs>
        <w:spacing w:line="5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养护单位：                        编号：</w:t>
      </w:r>
    </w:p>
    <w:tbl>
      <w:tblPr>
        <w:tblStyle w:val="10"/>
        <w:tblW w:w="4677" w:type="pct"/>
        <w:tblInd w:w="0" w:type="dxa"/>
        <w:tblLayout w:type="fixed"/>
        <w:tblCellMar>
          <w:top w:w="0" w:type="dxa"/>
          <w:left w:w="108" w:type="dxa"/>
          <w:bottom w:w="0" w:type="dxa"/>
          <w:right w:w="108" w:type="dxa"/>
        </w:tblCellMar>
      </w:tblPr>
      <w:tblGrid>
        <w:gridCol w:w="1539"/>
        <w:gridCol w:w="1998"/>
        <w:gridCol w:w="1833"/>
        <w:gridCol w:w="2601"/>
      </w:tblGrid>
      <w:tr w14:paraId="66D85F0F">
        <w:tblPrEx>
          <w:tblCellMar>
            <w:top w:w="0" w:type="dxa"/>
            <w:left w:w="108" w:type="dxa"/>
            <w:bottom w:w="0" w:type="dxa"/>
            <w:right w:w="108" w:type="dxa"/>
          </w:tblCellMar>
        </w:tblPrEx>
        <w:trPr>
          <w:trHeight w:val="676" w:hRule="atLeast"/>
        </w:trPr>
        <w:tc>
          <w:tcPr>
            <w:tcW w:w="965" w:type="pct"/>
            <w:tcBorders>
              <w:top w:val="single" w:color="auto" w:sz="4" w:space="0"/>
              <w:left w:val="single" w:color="auto" w:sz="4" w:space="0"/>
              <w:bottom w:val="single" w:color="auto" w:sz="4" w:space="0"/>
              <w:right w:val="single" w:color="auto" w:sz="4" w:space="0"/>
            </w:tcBorders>
            <w:noWrap/>
            <w:vAlign w:val="center"/>
          </w:tcPr>
          <w:p w14:paraId="0D8D7418">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检查时间</w:t>
            </w:r>
          </w:p>
        </w:tc>
        <w:tc>
          <w:tcPr>
            <w:tcW w:w="1253" w:type="pct"/>
            <w:tcBorders>
              <w:top w:val="single" w:color="auto" w:sz="4" w:space="0"/>
              <w:left w:val="single" w:color="auto" w:sz="4" w:space="0"/>
              <w:bottom w:val="single" w:color="auto" w:sz="4" w:space="0"/>
              <w:right w:val="single" w:color="auto" w:sz="4" w:space="0"/>
            </w:tcBorders>
            <w:noWrap/>
            <w:vAlign w:val="center"/>
          </w:tcPr>
          <w:p w14:paraId="03FC90DB">
            <w:pPr>
              <w:tabs>
                <w:tab w:val="left" w:pos="266"/>
              </w:tabs>
              <w:spacing w:line="320" w:lineRule="exact"/>
              <w:jc w:val="center"/>
              <w:rPr>
                <w:rFonts w:hint="eastAsia" w:ascii="仿宋_GB2312" w:hAnsi="仿宋_GB2312" w:eastAsia="仿宋_GB2312" w:cs="仿宋_GB2312"/>
                <w:kern w:val="0"/>
                <w:sz w:val="24"/>
                <w:szCs w:val="24"/>
              </w:rPr>
            </w:pPr>
          </w:p>
        </w:tc>
        <w:tc>
          <w:tcPr>
            <w:tcW w:w="1150" w:type="pct"/>
            <w:tcBorders>
              <w:top w:val="single" w:color="auto" w:sz="4" w:space="0"/>
              <w:left w:val="nil"/>
              <w:bottom w:val="single" w:color="auto" w:sz="4" w:space="0"/>
              <w:right w:val="single" w:color="auto" w:sz="4" w:space="0"/>
            </w:tcBorders>
            <w:noWrap/>
            <w:vAlign w:val="center"/>
          </w:tcPr>
          <w:p w14:paraId="7DDB62FA">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检查人员</w:t>
            </w:r>
          </w:p>
        </w:tc>
        <w:tc>
          <w:tcPr>
            <w:tcW w:w="1630" w:type="pct"/>
            <w:tcBorders>
              <w:top w:val="single" w:color="auto" w:sz="4" w:space="0"/>
              <w:left w:val="nil"/>
              <w:bottom w:val="single" w:color="auto" w:sz="4" w:space="0"/>
              <w:right w:val="single" w:color="auto" w:sz="4" w:space="0"/>
            </w:tcBorders>
            <w:noWrap/>
            <w:vAlign w:val="center"/>
          </w:tcPr>
          <w:p w14:paraId="316710A0">
            <w:pPr>
              <w:tabs>
                <w:tab w:val="left" w:pos="266"/>
              </w:tabs>
              <w:spacing w:line="320" w:lineRule="exact"/>
              <w:jc w:val="center"/>
              <w:rPr>
                <w:rFonts w:hint="eastAsia" w:ascii="仿宋_GB2312" w:hAnsi="仿宋_GB2312" w:eastAsia="仿宋_GB2312" w:cs="仿宋_GB2312"/>
                <w:kern w:val="0"/>
                <w:sz w:val="24"/>
                <w:szCs w:val="24"/>
              </w:rPr>
            </w:pPr>
          </w:p>
        </w:tc>
      </w:tr>
      <w:tr w14:paraId="2A1AEE07">
        <w:tblPrEx>
          <w:tblCellMar>
            <w:top w:w="0" w:type="dxa"/>
            <w:left w:w="108" w:type="dxa"/>
            <w:bottom w:w="0" w:type="dxa"/>
            <w:right w:w="108" w:type="dxa"/>
          </w:tblCellMar>
        </w:tblPrEx>
        <w:trPr>
          <w:trHeight w:val="647" w:hRule="atLeast"/>
        </w:trPr>
        <w:tc>
          <w:tcPr>
            <w:tcW w:w="965" w:type="pct"/>
            <w:tcBorders>
              <w:top w:val="nil"/>
              <w:left w:val="single" w:color="auto" w:sz="4" w:space="0"/>
              <w:bottom w:val="single" w:color="auto" w:sz="4" w:space="0"/>
              <w:right w:val="single" w:color="auto" w:sz="4" w:space="0"/>
            </w:tcBorders>
            <w:noWrap/>
            <w:vAlign w:val="center"/>
          </w:tcPr>
          <w:p w14:paraId="14E6C22C">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检查地点</w:t>
            </w:r>
          </w:p>
        </w:tc>
        <w:tc>
          <w:tcPr>
            <w:tcW w:w="4034" w:type="pct"/>
            <w:gridSpan w:val="3"/>
            <w:tcBorders>
              <w:top w:val="single" w:color="auto" w:sz="4" w:space="0"/>
              <w:left w:val="nil"/>
              <w:bottom w:val="single" w:color="auto" w:sz="4" w:space="0"/>
              <w:right w:val="single" w:color="000000" w:sz="4" w:space="0"/>
            </w:tcBorders>
            <w:noWrap/>
            <w:vAlign w:val="center"/>
          </w:tcPr>
          <w:p w14:paraId="283F876B">
            <w:pPr>
              <w:tabs>
                <w:tab w:val="left" w:pos="266"/>
              </w:tabs>
              <w:spacing w:line="320" w:lineRule="exact"/>
              <w:jc w:val="center"/>
              <w:rPr>
                <w:rFonts w:hint="eastAsia" w:ascii="仿宋_GB2312" w:hAnsi="仿宋_GB2312" w:eastAsia="仿宋_GB2312" w:cs="仿宋_GB2312"/>
                <w:kern w:val="0"/>
                <w:sz w:val="24"/>
                <w:szCs w:val="24"/>
              </w:rPr>
            </w:pPr>
          </w:p>
        </w:tc>
      </w:tr>
      <w:tr w14:paraId="13EC30A5">
        <w:tblPrEx>
          <w:tblCellMar>
            <w:top w:w="0" w:type="dxa"/>
            <w:left w:w="108" w:type="dxa"/>
            <w:bottom w:w="0" w:type="dxa"/>
            <w:right w:w="108" w:type="dxa"/>
          </w:tblCellMar>
        </w:tblPrEx>
        <w:trPr>
          <w:trHeight w:val="4909" w:hRule="atLeast"/>
        </w:trPr>
        <w:tc>
          <w:tcPr>
            <w:tcW w:w="965" w:type="pct"/>
            <w:tcBorders>
              <w:top w:val="nil"/>
              <w:left w:val="single" w:color="auto" w:sz="4" w:space="0"/>
              <w:bottom w:val="single" w:color="auto" w:sz="4" w:space="0"/>
              <w:right w:val="single" w:color="auto" w:sz="4" w:space="0"/>
            </w:tcBorders>
            <w:noWrap/>
            <w:vAlign w:val="center"/>
          </w:tcPr>
          <w:p w14:paraId="3D664037">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存在问题</w:t>
            </w:r>
          </w:p>
        </w:tc>
        <w:tc>
          <w:tcPr>
            <w:tcW w:w="4034" w:type="pct"/>
            <w:gridSpan w:val="3"/>
            <w:tcBorders>
              <w:top w:val="single" w:color="auto" w:sz="4" w:space="0"/>
              <w:left w:val="nil"/>
              <w:bottom w:val="single" w:color="auto" w:sz="4" w:space="0"/>
              <w:right w:val="single" w:color="000000" w:sz="4" w:space="0"/>
            </w:tcBorders>
            <w:noWrap/>
            <w:vAlign w:val="center"/>
          </w:tcPr>
          <w:p w14:paraId="56AE8E2A">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1.xxx处断枝未清理，有杂草。。。。</w:t>
            </w:r>
          </w:p>
          <w:p w14:paraId="1A87DB62">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p w14:paraId="48DEB5C8">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w:t>
            </w:r>
          </w:p>
        </w:tc>
      </w:tr>
      <w:tr w14:paraId="47BD0417">
        <w:tblPrEx>
          <w:tblCellMar>
            <w:top w:w="0" w:type="dxa"/>
            <w:left w:w="108" w:type="dxa"/>
            <w:bottom w:w="0" w:type="dxa"/>
            <w:right w:w="108" w:type="dxa"/>
          </w:tblCellMar>
        </w:tblPrEx>
        <w:trPr>
          <w:trHeight w:val="1678" w:hRule="atLeast"/>
        </w:trPr>
        <w:tc>
          <w:tcPr>
            <w:tcW w:w="965" w:type="pct"/>
            <w:tcBorders>
              <w:top w:val="nil"/>
              <w:left w:val="single" w:color="auto" w:sz="4" w:space="0"/>
              <w:bottom w:val="single" w:color="auto" w:sz="4" w:space="0"/>
              <w:right w:val="single" w:color="auto" w:sz="4" w:space="0"/>
            </w:tcBorders>
            <w:noWrap/>
            <w:vAlign w:val="center"/>
          </w:tcPr>
          <w:p w14:paraId="23D781E2">
            <w:pPr>
              <w:tabs>
                <w:tab w:val="left" w:pos="266"/>
              </w:tabs>
              <w:spacing w:line="32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整改处理</w:t>
            </w:r>
          </w:p>
          <w:p w14:paraId="7F1CA835">
            <w:pPr>
              <w:tabs>
                <w:tab w:val="left" w:pos="266"/>
              </w:tabs>
              <w:spacing w:line="32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意见</w:t>
            </w:r>
          </w:p>
        </w:tc>
        <w:tc>
          <w:tcPr>
            <w:tcW w:w="4034" w:type="pct"/>
            <w:gridSpan w:val="3"/>
            <w:tcBorders>
              <w:top w:val="single" w:color="auto" w:sz="4" w:space="0"/>
              <w:left w:val="nil"/>
              <w:bottom w:val="single" w:color="auto" w:sz="4" w:space="0"/>
              <w:right w:val="single" w:color="000000" w:sz="4" w:space="0"/>
            </w:tcBorders>
            <w:noWrap/>
            <w:vAlign w:val="center"/>
          </w:tcPr>
          <w:p w14:paraId="19C6101C">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请养护单位举一反三，立即整改以上问题。并于年月日前完成整改，并将整改回复报送至城市管理局绿化部。</w:t>
            </w:r>
          </w:p>
          <w:p w14:paraId="13BF6873">
            <w:pPr>
              <w:tabs>
                <w:tab w:val="left" w:pos="266"/>
              </w:tabs>
              <w:spacing w:line="320" w:lineRule="exact"/>
              <w:rPr>
                <w:rFonts w:hint="eastAsia" w:ascii="仿宋_GB2312" w:hAnsi="仿宋_GB2312" w:eastAsia="仿宋_GB2312" w:cs="仿宋_GB2312"/>
                <w:kern w:val="0"/>
                <w:sz w:val="24"/>
                <w:szCs w:val="24"/>
              </w:rPr>
            </w:pPr>
          </w:p>
        </w:tc>
      </w:tr>
      <w:tr w14:paraId="1CEC6F24">
        <w:tblPrEx>
          <w:tblCellMar>
            <w:top w:w="0" w:type="dxa"/>
            <w:left w:w="108" w:type="dxa"/>
            <w:bottom w:w="0" w:type="dxa"/>
            <w:right w:w="108" w:type="dxa"/>
          </w:tblCellMar>
        </w:tblPrEx>
        <w:trPr>
          <w:trHeight w:val="4005" w:hRule="atLeast"/>
        </w:trPr>
        <w:tc>
          <w:tcPr>
            <w:tcW w:w="965" w:type="pct"/>
            <w:tcBorders>
              <w:top w:val="nil"/>
              <w:left w:val="single" w:color="auto" w:sz="4" w:space="0"/>
              <w:bottom w:val="single" w:color="auto" w:sz="4" w:space="0"/>
              <w:right w:val="single" w:color="auto" w:sz="4" w:space="0"/>
            </w:tcBorders>
            <w:noWrap/>
            <w:vAlign w:val="center"/>
          </w:tcPr>
          <w:p w14:paraId="3F477202">
            <w:pPr>
              <w:tabs>
                <w:tab w:val="left" w:pos="266"/>
              </w:tabs>
              <w:spacing w:line="32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备注</w:t>
            </w:r>
          </w:p>
        </w:tc>
        <w:tc>
          <w:tcPr>
            <w:tcW w:w="4034" w:type="pct"/>
            <w:gridSpan w:val="3"/>
            <w:tcBorders>
              <w:top w:val="single" w:color="auto" w:sz="4" w:space="0"/>
              <w:left w:val="nil"/>
              <w:bottom w:val="single" w:color="auto" w:sz="4" w:space="0"/>
              <w:right w:val="single" w:color="000000" w:sz="4" w:space="0"/>
            </w:tcBorders>
            <w:noWrap/>
            <w:vAlign w:val="center"/>
          </w:tcPr>
          <w:p w14:paraId="2DDD75C2">
            <w:pPr>
              <w:tabs>
                <w:tab w:val="left" w:pos="266"/>
              </w:tabs>
              <w:spacing w:line="320" w:lineRule="exact"/>
              <w:rPr>
                <w:rFonts w:hint="eastAsia" w:ascii="仿宋_GB2312" w:hAnsi="仿宋_GB2312" w:eastAsia="仿宋_GB2312" w:cs="仿宋_GB2312"/>
                <w:kern w:val="0"/>
                <w:sz w:val="24"/>
                <w:szCs w:val="24"/>
              </w:rPr>
            </w:pPr>
          </w:p>
          <w:p w14:paraId="4C4369BE">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周检结果以整改通知单及亮点报送体现，并计入月考核最终得分。</w:t>
            </w:r>
          </w:p>
          <w:p w14:paraId="23516651">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扣分事项：整改单能及时完成整改并回复，扣0.5分/单；整改不合格，扣1分/单；未按时完成整改，扣2分/单；整改单弄虚作假扣5分/单。（整改完成时间以回复照片中水印时间为准）</w:t>
            </w:r>
          </w:p>
          <w:p w14:paraId="59265C90">
            <w:pPr>
              <w:tabs>
                <w:tab w:val="left" w:pos="266"/>
              </w:tabs>
              <w:spacing w:line="3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加分事项：宣传稿被城管局公众号采纳，加1分；亮点创新事项，加1分；被领导点名表扬加1分；展开技术培训，或主导互比互学活动，养护工作措施得力有效、公认值得推广的加1分。（需提供支撑资料）</w:t>
            </w:r>
          </w:p>
          <w:p w14:paraId="4CBC8245">
            <w:pPr>
              <w:tabs>
                <w:tab w:val="left" w:pos="266"/>
              </w:tabs>
              <w:spacing w:line="320" w:lineRule="exact"/>
              <w:rPr>
                <w:rFonts w:hint="eastAsia" w:ascii="仿宋_GB2312" w:hAnsi="仿宋_GB2312" w:eastAsia="仿宋_GB2312" w:cs="仿宋_GB2312"/>
                <w:kern w:val="0"/>
                <w:sz w:val="24"/>
                <w:szCs w:val="24"/>
              </w:rPr>
            </w:pPr>
          </w:p>
        </w:tc>
      </w:tr>
    </w:tbl>
    <w:p w14:paraId="59F55B6A">
      <w:pPr>
        <w:tabs>
          <w:tab w:val="left" w:pos="266"/>
        </w:tabs>
        <w:spacing w:line="5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养护单位签字：                 检查组签字：</w:t>
      </w:r>
    </w:p>
    <w:p w14:paraId="7D8136C3">
      <w:pPr>
        <w:pStyle w:val="8"/>
        <w:tabs>
          <w:tab w:val="left" w:pos="266"/>
        </w:tabs>
        <w:spacing w:line="520" w:lineRule="exact"/>
        <w:outlineLvl w:val="0"/>
        <w:rPr>
          <w:rFonts w:hint="eastAsia" w:ascii="仿宋_GB2312" w:hAnsi="仿宋_GB2312" w:eastAsia="仿宋_GB2312" w:cs="仿宋_GB2312"/>
          <w:b/>
          <w:sz w:val="24"/>
          <w:szCs w:val="24"/>
        </w:rPr>
      </w:pPr>
      <w:r>
        <w:rPr>
          <w:rFonts w:hint="eastAsia" w:ascii="仿宋_GB2312" w:hAnsi="仿宋_GB2312" w:eastAsia="仿宋_GB2312" w:cs="仿宋_GB2312"/>
          <w:kern w:val="0"/>
          <w:sz w:val="24"/>
          <w:szCs w:val="24"/>
        </w:rPr>
        <w:br w:type="page"/>
      </w:r>
      <w:r>
        <w:rPr>
          <w:rFonts w:hint="eastAsia" w:ascii="仿宋_GB2312" w:hAnsi="仿宋_GB2312" w:eastAsia="仿宋_GB2312" w:cs="仿宋_GB2312"/>
          <w:b/>
          <w:sz w:val="24"/>
          <w:szCs w:val="24"/>
        </w:rPr>
        <w:t>附件4：</w:t>
      </w:r>
    </w:p>
    <w:p w14:paraId="3E6B7345">
      <w:pPr>
        <w:widowControl/>
        <w:kinsoku w:val="0"/>
        <w:autoSpaceDE w:val="0"/>
        <w:autoSpaceDN w:val="0"/>
        <w:adjustRightInd w:val="0"/>
        <w:snapToGrid w:val="0"/>
        <w:spacing w:line="360" w:lineRule="auto"/>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b/>
          <w:bCs/>
          <w:sz w:val="28"/>
          <w:szCs w:val="28"/>
        </w:rPr>
        <w:t>西安高新区车辆管理办法及考核细则</w:t>
      </w:r>
    </w:p>
    <w:p w14:paraId="3BDD4251">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为进一步提升高新区机械化作业水平，全面提升辖区环境质量，同时确保承包 单位机动车辆安全高效运行、降低成本、杜绝事故隐患，不断扎实推进高新区市容 环境质量，现制定高新区车辆管理办法及考核细则：</w:t>
      </w:r>
    </w:p>
    <w:p w14:paraId="3F243E9E">
      <w:pPr>
        <w:widowControl/>
        <w:kinsoku w:val="0"/>
        <w:autoSpaceDE w:val="0"/>
        <w:autoSpaceDN w:val="0"/>
        <w:adjustRightInd w:val="0"/>
        <w:snapToGrid w:val="0"/>
        <w:spacing w:line="360" w:lineRule="auto"/>
        <w:ind w:firstLine="482" w:firstLineChars="200"/>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一、车辆管理办法</w:t>
      </w:r>
    </w:p>
    <w:p w14:paraId="633B75D9">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1.所有专业机动车辆由高新区环卫主管部门统一协调管理，道路清扫、冲洗作业由各环卫承包单位自行调配使用。</w:t>
      </w:r>
    </w:p>
    <w:p w14:paraId="5A8FDAC6">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2.各承包单位车辆主管应加强对驾驶员的安全教育和交通法规的学习，尤其是对专业车辆驾驶员的法规学习和技术培训应更加重视。每位驾驶员应严格遵 守交通法规、提高安全意识、礼貌行车、服从交警指挥。因个人违反规定驾 驶车辆所造成的损失由承包单位及当事人承担。</w:t>
      </w:r>
    </w:p>
    <w:p w14:paraId="7F464AD4">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3.各承包单位车辆应由专职司机驾驶，一人一车未经高新区环卫主管部门同意非专职司机或其他人员不得驾驶，专业车辆严禁由非专业车辆驾驶员驾驶。如遇驾驶员请假由各环卫承包单位车队主管安排调配。</w:t>
      </w:r>
    </w:p>
    <w:p w14:paraId="398AF458">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4.各承包单位驾驶员应精神饱满、仪表整洁、举止文明、爱岗敬业、不迟到早退、不脱岗、上班期间不做与工作无关的事。出车前后进行检查，发现问题及时解 决，始终使车辆保持良好状态并随时做好出车准备。</w:t>
      </w:r>
    </w:p>
    <w:p w14:paraId="4C571E79">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5.各承包单位机动车辆的户籍、审验、保险、过路费等车辆各项手续由保洁公司办理，必须保证车辆手续齐全保险及时有效、车辆性能良好。</w:t>
      </w:r>
    </w:p>
    <w:p w14:paraId="4BBEB2AC">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6.各承包单位应定期组织驾驶员自觉参加安全教育活动，做到警钟长鸣，时刻加强安全防范意识。</w:t>
      </w:r>
    </w:p>
    <w:p w14:paraId="4681268D">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7.各承包单位所有车辆实行两班制运行，每班次工作时间不少于8小时。</w:t>
      </w:r>
    </w:p>
    <w:p w14:paraId="2E5E5575">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车辆考核周期以月为单位，所有车辆因修车、审验、事故等原因造成的缺勤，必须在每月3号前由车管办理有关手续认可后交车辆监管处，由车辆考核负责人做出相应的减免标注。车辆监管处根据每月考核情况以通报形式发送各承包单位。</w:t>
      </w:r>
    </w:p>
    <w:p w14:paraId="6991924F">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9.各承包单位须有完整机械化作业管理规章制度和标准；完整机械化作业人员</w:t>
      </w:r>
    </w:p>
    <w:p w14:paraId="2FA1C646">
      <w:pPr>
        <w:widowControl/>
        <w:kinsoku w:val="0"/>
        <w:autoSpaceDE w:val="0"/>
        <w:autoSpaceDN w:val="0"/>
        <w:adjustRightInd w:val="0"/>
        <w:snapToGrid w:val="0"/>
        <w:spacing w:line="360" w:lineRule="auto"/>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档案、管理职责、用车制度；完整的机械化车辆保养、维修、维护制度，并保证车辆外表清洁、性能完好。</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xml:space="preserve">    10.各承包单位车辆作业人员不擅离岗位、脱岗、换岗等，不酒后作业，持证上岗，并定期体检等。</w:t>
      </w:r>
    </w:p>
    <w:p w14:paraId="76C217E9">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 各承包单位人车结合作业时，须放置安全隔离墩等防护措施，如未按规定执行，一切后果自负。</w:t>
      </w:r>
    </w:p>
    <w:p w14:paraId="56491674">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12.各承包单位所有作业车辆必须按规定时间准时到达所属区域开始作业，未按规定执行的车辆按迟到处理。</w:t>
      </w:r>
    </w:p>
    <w:p w14:paraId="2C09F71A">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 各承包单位应配备有责任心、有一定车辆专业知识技能、熟悉环卫作业车辆及维修的车管人员，配合环卫主管部门开展日常工作。车管人员不能胜任工作或有重大工作失误的承包单位应及时调整更换车管人员。</w:t>
      </w:r>
    </w:p>
    <w:p w14:paraId="0126DC61">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14.所有车辆按照高新区城市管理局划定网格和要求里程（水量）进行有序作业，对违法规定作业的车辆进行通报处罚。</w:t>
      </w:r>
    </w:p>
    <w:p w14:paraId="5ADB3317">
      <w:pPr>
        <w:widowControl/>
        <w:kinsoku w:val="0"/>
        <w:autoSpaceDE w:val="0"/>
        <w:autoSpaceDN w:val="0"/>
        <w:adjustRightInd w:val="0"/>
        <w:snapToGrid w:val="0"/>
        <w:spacing w:line="360" w:lineRule="auto"/>
        <w:ind w:firstLine="482" w:firstLineChars="200"/>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二、车辆考核细则</w:t>
      </w:r>
    </w:p>
    <w:p w14:paraId="00854B33">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1.饮酒后驾驶作业车辆发生交通事故的或者发生重大交通事故本人负同等责任以上的（含同等责任）每次扣除承包单位月考核10分；饮酒后驾驶专业车辆 虽未发生交通事故，但造成不良影响的每次扣除承包单位月考核5分；日常检查发现扣款100000元。</w:t>
      </w:r>
    </w:p>
    <w:p w14:paraId="5AE142A8">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2.未按规定时间和路段进行保洁作业的，每次扣除承包单位月考核2分； 日常检查发现扣款500元。</w:t>
      </w:r>
    </w:p>
    <w:p w14:paraId="45FF262B">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3.将专业车辆交由非专业司机驾驶的，每次扣除承包单位月考核2分； 日常检查发现扣款500元。</w:t>
      </w:r>
    </w:p>
    <w:p w14:paraId="58DAE22A">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道路保洁车辆出勤率依据北斗定位统计每降低一个百分点（机扫车90%以上、洒水车80%以上、吸尘车80%以上）扣1分。</w:t>
      </w:r>
    </w:p>
    <w:p w14:paraId="01B89EFD">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5.驾驶员在行车前要对车辆整体情况进行检查，驾驶中规范操作，行车后对车 辆进行日常保养、清洗，保证车容车貌整洁，机械运行正常。对于因车容车貌脏乱或不文明驾驶造成的投诉或曝光，每次扣除5分；日常检查发现扣款500元。</w:t>
      </w:r>
    </w:p>
    <w:p w14:paraId="3C990E67">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6.驾驶员要爱惜车辆，提高自身职业素质和驾驶技能，减少因违规作业造成的 市民投诉或者各级领导批评的扣3分。</w:t>
      </w:r>
    </w:p>
    <w:p w14:paraId="1FFD4AFB">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7.每日对合同规定的清扫范围至少清扫两班次，并按规定进行机械化清扫，如 未按规定清扫的，每次扣除承包单位月考核2分。</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xml:space="preserve">    8.一级道路每日冲洗不得少于两次，二级道路每日冲洗不得少于一次，污染道 路随时冲洗，道路应见本色，如未按规定冲洗的，每次扣除承包单位月考核3分。</w:t>
      </w:r>
    </w:p>
    <w:p w14:paraId="3A9BA6CA">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9.所有作业车辆（</w:t>
      </w:r>
      <w:r>
        <w:rPr>
          <w:rFonts w:hint="eastAsia" w:ascii="仿宋_GB2312" w:hAnsi="仿宋_GB2312" w:eastAsia="仿宋_GB2312" w:cs="仿宋_GB2312"/>
          <w:sz w:val="24"/>
          <w:szCs w:val="24"/>
          <w:highlight w:val="none"/>
        </w:rPr>
        <w:t>含清扫车、洒水车、高压冲洗车、快速保洁车等</w:t>
      </w:r>
      <w:r>
        <w:rPr>
          <w:rFonts w:hint="eastAsia" w:ascii="仿宋_GB2312" w:hAnsi="仿宋_GB2312" w:eastAsia="仿宋_GB2312" w:cs="仿宋_GB2312"/>
          <w:sz w:val="24"/>
          <w:szCs w:val="24"/>
        </w:rPr>
        <w:t>）按城市管理局时间要求进行作业，不准迟到早退。如有迟到早退车辆每次扣除承包单位月考核3分；日常检查发现扣款500元。</w:t>
      </w:r>
    </w:p>
    <w:p w14:paraId="2BC8C90D">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10.清扫车辆不按上报路线清扫作业的，如出现漏扫、空跑等现象，每次扣除承包单位月考核5分； 日常检查发现扣款500元。</w:t>
      </w:r>
    </w:p>
    <w:p w14:paraId="7BF0E221">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11.在道路作业过程中，扫地车转速须达到1300转/分以上不落刷子，洗扫车作业不喷水、转速不够、刷子不落地被举报、投诉或巡查发现，每次扣除承包单位月考核5分； 日常检查发现扣款500元。</w:t>
      </w:r>
    </w:p>
    <w:p w14:paraId="69790AF3">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12.洒水车在半小时内完成一次加水、冲洗作业全过程的，每次扣除承包单位月考核5分；日常检查发现扣款500元。</w:t>
      </w:r>
    </w:p>
    <w:p w14:paraId="549051BF">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13.遇重大接待检查，需调配水车时，在规定时间不能按时到场的，每次扣除承包单位月考核5分。</w:t>
      </w:r>
    </w:p>
    <w:p w14:paraId="1CF40163">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14.各承包单位须保证车辆每天作业时间及劳动定额不低于规定定额。清扫车作业里程、时速不得违反规定要求，如未按规定要求执行的，每次扣除承包单位月考核5分。</w:t>
      </w:r>
    </w:p>
    <w:p w14:paraId="26B2A4ED">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15.各承包单位作业车辆在工作时间内无故停车、熄火时间超出30分钟的，每次扣除承包单位月考核5分；日常检查发现扣款500元。</w:t>
      </w:r>
    </w:p>
    <w:p w14:paraId="4A690C78">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16.各单位须保证车辆满负荷运行，车辆出勤每缺少一台/天，扣除承包单位月 考核2分。</w:t>
      </w:r>
    </w:p>
    <w:p w14:paraId="3F6DD72D">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17.各承包单位车辆除去修车、加油、往返车场外，必须在本单位承包区域内运行作业。如在监控中出现车辆在作业区域以外停放、行驶的，每次扣除承包单位月考核8分；日常检查发现扣款1000元。</w:t>
      </w:r>
    </w:p>
    <w:p w14:paraId="12716236">
      <w:pPr>
        <w:widowControl/>
        <w:kinsoku w:val="0"/>
        <w:autoSpaceDE w:val="0"/>
        <w:autoSpaceDN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18.扫地车吸尘车随意排风污泥污水，被巡查发现或者被执法部门处罚的每次扣除承包单位月考核5分。</w:t>
      </w:r>
    </w:p>
    <w:p w14:paraId="5623E2F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19.在道路作业过程中，扫地车转速须达到1300转/分以上，如未按规定执行，每次扣除承包单位月考核2分。</w:t>
      </w:r>
    </w:p>
    <w:p w14:paraId="1604BCD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20.洒水车、喷雾车在接待检查中未经车辆监管处批准私自出车的，每次扣除承包单位月考核3分。</w:t>
      </w:r>
    </w:p>
    <w:p w14:paraId="1ECD9238">
      <w:pPr>
        <w:keepNext w:val="0"/>
        <w:keepLines w:val="0"/>
        <w:pageBreakBefore w:val="0"/>
        <w:widowControl w:val="0"/>
        <w:kinsoku/>
        <w:wordWrap/>
        <w:overflowPunct/>
        <w:topLinePunct w:val="0"/>
        <w:bidi w:val="0"/>
        <w:spacing w:line="36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21.以上所扣分值根据承包单位每月环卫承包费用占比的10%，扣款总额不得超 出占比承包费用。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60E55">
    <w:pPr>
      <w:pStyle w:val="9"/>
      <w:tabs>
        <w:tab w:val="left" w:pos="2535"/>
        <w:tab w:val="clear" w:pos="4153"/>
        <w:tab w:val="clear" w:pos="8306"/>
      </w:tabs>
      <w:rPr>
        <w:rFonts w:ascii="宋体"/>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AAD4D">
    <w:pP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2BEDF">
    <w:pP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2909BC"/>
    <w:multiLevelType w:val="singleLevel"/>
    <w:tmpl w:val="832909BC"/>
    <w:lvl w:ilvl="0" w:tentative="0">
      <w:start w:val="5"/>
      <w:numFmt w:val="chineseCounting"/>
      <w:suff w:val="space"/>
      <w:lvlText w:val="第%1条"/>
      <w:lvlJc w:val="left"/>
      <w:rPr>
        <w:rFonts w:hint="eastAsia"/>
      </w:rPr>
    </w:lvl>
  </w:abstractNum>
  <w:abstractNum w:abstractNumId="1">
    <w:nsid w:val="F233C3FE"/>
    <w:multiLevelType w:val="singleLevel"/>
    <w:tmpl w:val="F233C3FE"/>
    <w:lvl w:ilvl="0" w:tentative="0">
      <w:start w:val="2"/>
      <w:numFmt w:val="decimal"/>
      <w:suff w:val="nothing"/>
      <w:lvlText w:val="（%1）"/>
      <w:lvlJc w:val="left"/>
    </w:lvl>
  </w:abstractNum>
  <w:abstractNum w:abstractNumId="2">
    <w:nsid w:val="00000010"/>
    <w:multiLevelType w:val="multilevel"/>
    <w:tmpl w:val="00000010"/>
    <w:lvl w:ilvl="0" w:tentative="0">
      <w:start w:val="8"/>
      <w:numFmt w:val="chineseCountingThousand"/>
      <w:lvlText w:val="第%1条"/>
      <w:lvlJc w:val="left"/>
      <w:pPr>
        <w:ind w:left="780" w:hanging="360"/>
      </w:pPr>
      <w:rPr>
        <w:rFonts w:hint="default"/>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3">
    <w:nsid w:val="689730D2"/>
    <w:multiLevelType w:val="multilevel"/>
    <w:tmpl w:val="689730D2"/>
    <w:lvl w:ilvl="0" w:tentative="0">
      <w:start w:val="1"/>
      <w:numFmt w:val="japaneseCounting"/>
      <w:lvlText w:val="第%1章"/>
      <w:lvlJc w:val="left"/>
      <w:pPr>
        <w:ind w:left="1080" w:hanging="1080"/>
      </w:pPr>
      <w:rPr>
        <w:rFonts w:hint="default" w:cs="Times New Roman"/>
      </w:rPr>
    </w:lvl>
    <w:lvl w:ilvl="1" w:tentative="0">
      <w:start w:val="1"/>
      <w:numFmt w:val="lowerLetter"/>
      <w:lvlText w:val="%2)"/>
      <w:lvlJc w:val="left"/>
      <w:pPr>
        <w:ind w:left="1673" w:hanging="420"/>
      </w:pPr>
      <w:rPr>
        <w:rFonts w:cs="Times New Roman"/>
      </w:rPr>
    </w:lvl>
    <w:lvl w:ilvl="2" w:tentative="0">
      <w:start w:val="1"/>
      <w:numFmt w:val="lowerRoman"/>
      <w:lvlText w:val="%3."/>
      <w:lvlJc w:val="right"/>
      <w:pPr>
        <w:ind w:left="2093" w:hanging="420"/>
      </w:pPr>
      <w:rPr>
        <w:rFonts w:cs="Times New Roman"/>
      </w:rPr>
    </w:lvl>
    <w:lvl w:ilvl="3" w:tentative="0">
      <w:start w:val="1"/>
      <w:numFmt w:val="decimal"/>
      <w:lvlText w:val="%4."/>
      <w:lvlJc w:val="left"/>
      <w:pPr>
        <w:ind w:left="2513" w:hanging="420"/>
      </w:pPr>
      <w:rPr>
        <w:rFonts w:cs="Times New Roman"/>
      </w:rPr>
    </w:lvl>
    <w:lvl w:ilvl="4" w:tentative="0">
      <w:start w:val="1"/>
      <w:numFmt w:val="lowerLetter"/>
      <w:lvlText w:val="%5)"/>
      <w:lvlJc w:val="left"/>
      <w:pPr>
        <w:ind w:left="2933" w:hanging="420"/>
      </w:pPr>
      <w:rPr>
        <w:rFonts w:cs="Times New Roman"/>
      </w:rPr>
    </w:lvl>
    <w:lvl w:ilvl="5" w:tentative="0">
      <w:start w:val="1"/>
      <w:numFmt w:val="lowerRoman"/>
      <w:lvlText w:val="%6."/>
      <w:lvlJc w:val="right"/>
      <w:pPr>
        <w:ind w:left="3353" w:hanging="420"/>
      </w:pPr>
      <w:rPr>
        <w:rFonts w:cs="Times New Roman"/>
      </w:rPr>
    </w:lvl>
    <w:lvl w:ilvl="6" w:tentative="0">
      <w:start w:val="1"/>
      <w:numFmt w:val="decimal"/>
      <w:lvlText w:val="%7."/>
      <w:lvlJc w:val="left"/>
      <w:pPr>
        <w:ind w:left="3773" w:hanging="420"/>
      </w:pPr>
      <w:rPr>
        <w:rFonts w:cs="Times New Roman"/>
      </w:rPr>
    </w:lvl>
    <w:lvl w:ilvl="7" w:tentative="0">
      <w:start w:val="1"/>
      <w:numFmt w:val="lowerLetter"/>
      <w:lvlText w:val="%8)"/>
      <w:lvlJc w:val="left"/>
      <w:pPr>
        <w:ind w:left="4193" w:hanging="420"/>
      </w:pPr>
      <w:rPr>
        <w:rFonts w:cs="Times New Roman"/>
      </w:rPr>
    </w:lvl>
    <w:lvl w:ilvl="8" w:tentative="0">
      <w:start w:val="1"/>
      <w:numFmt w:val="lowerRoman"/>
      <w:lvlText w:val="%9."/>
      <w:lvlJc w:val="right"/>
      <w:pPr>
        <w:ind w:left="4613" w:hanging="42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91F26"/>
    <w:rsid w:val="029C1412"/>
    <w:rsid w:val="04675137"/>
    <w:rsid w:val="047E2BDC"/>
    <w:rsid w:val="04AD7ABA"/>
    <w:rsid w:val="07554228"/>
    <w:rsid w:val="076E1A01"/>
    <w:rsid w:val="08B82EF3"/>
    <w:rsid w:val="0CA43C19"/>
    <w:rsid w:val="14B37887"/>
    <w:rsid w:val="1E8D5F3B"/>
    <w:rsid w:val="20045859"/>
    <w:rsid w:val="22AF0896"/>
    <w:rsid w:val="22FB2867"/>
    <w:rsid w:val="22FE48A1"/>
    <w:rsid w:val="23002CC8"/>
    <w:rsid w:val="29E259F5"/>
    <w:rsid w:val="2CF40789"/>
    <w:rsid w:val="2D23061C"/>
    <w:rsid w:val="2DB155D6"/>
    <w:rsid w:val="2F193C67"/>
    <w:rsid w:val="30332969"/>
    <w:rsid w:val="305425A9"/>
    <w:rsid w:val="32F94991"/>
    <w:rsid w:val="34651AF2"/>
    <w:rsid w:val="349A62B5"/>
    <w:rsid w:val="34FC549D"/>
    <w:rsid w:val="366E3E9D"/>
    <w:rsid w:val="3A102E54"/>
    <w:rsid w:val="3B6E0E98"/>
    <w:rsid w:val="3DF24001"/>
    <w:rsid w:val="435720D9"/>
    <w:rsid w:val="459B04FB"/>
    <w:rsid w:val="46784A78"/>
    <w:rsid w:val="475F17EC"/>
    <w:rsid w:val="4B7C075F"/>
    <w:rsid w:val="4D6132AA"/>
    <w:rsid w:val="4E0B7D9B"/>
    <w:rsid w:val="50CA2930"/>
    <w:rsid w:val="58907E91"/>
    <w:rsid w:val="58DF3ACC"/>
    <w:rsid w:val="59C3741A"/>
    <w:rsid w:val="5B1E7567"/>
    <w:rsid w:val="5C440896"/>
    <w:rsid w:val="623C6124"/>
    <w:rsid w:val="68FC4253"/>
    <w:rsid w:val="690A53D6"/>
    <w:rsid w:val="6AF83D38"/>
    <w:rsid w:val="6E4E7318"/>
    <w:rsid w:val="6F2463D6"/>
    <w:rsid w:val="714C1C39"/>
    <w:rsid w:val="7312139A"/>
    <w:rsid w:val="773B10EA"/>
    <w:rsid w:val="78571E88"/>
    <w:rsid w:val="78F637DD"/>
    <w:rsid w:val="7B864284"/>
    <w:rsid w:val="7BBB198C"/>
    <w:rsid w:val="7CA10B3D"/>
    <w:rsid w:val="7CEB4E65"/>
    <w:rsid w:val="7DA90C1F"/>
    <w:rsid w:val="7E342B22"/>
    <w:rsid w:val="7EC62364"/>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3"/>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1"/>
    </w:rPr>
  </w:style>
  <w:style w:type="paragraph" w:styleId="6">
    <w:name w:val="annotation text"/>
    <w:basedOn w:val="1"/>
    <w:qFormat/>
    <w:uiPriority w:val="0"/>
    <w:pPr>
      <w:jc w:val="left"/>
    </w:pPr>
  </w:style>
  <w:style w:type="paragraph" w:styleId="7">
    <w:name w:val="Body Text"/>
    <w:basedOn w:val="1"/>
    <w:next w:val="1"/>
    <w:qFormat/>
    <w:uiPriority w:val="0"/>
    <w:pPr>
      <w:jc w:val="center"/>
    </w:pPr>
  </w:style>
  <w:style w:type="paragraph" w:styleId="8">
    <w:name w:val="Plain Text"/>
    <w:basedOn w:val="1"/>
    <w:next w:val="1"/>
    <w:qFormat/>
    <w:uiPriority w:val="0"/>
    <w:rPr>
      <w:rFonts w:ascii="宋体"/>
    </w:rPr>
  </w:style>
  <w:style w:type="paragraph" w:styleId="9">
    <w:name w:val="footer"/>
    <w:basedOn w:val="1"/>
    <w:qFormat/>
    <w:uiPriority w:val="0"/>
    <w:pPr>
      <w:tabs>
        <w:tab w:val="center" w:pos="4153"/>
        <w:tab w:val="right" w:pos="8306"/>
      </w:tabs>
      <w:snapToGrid w:val="0"/>
      <w:jc w:val="left"/>
    </w:pPr>
    <w:rPr>
      <w:sz w:val="18"/>
    </w:rPr>
  </w:style>
  <w:style w:type="paragraph" w:customStyle="1" w:styleId="12">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3">
    <w:name w:val="标题 1 Char"/>
    <w:link w:val="2"/>
    <w:qFormat/>
    <w:uiPriority w:val="0"/>
    <w:rPr>
      <w:rFonts w:ascii="黑体" w:eastAsia="黑体"/>
      <w:sz w:val="28"/>
    </w:rPr>
  </w:style>
  <w:style w:type="paragraph" w:customStyle="1" w:styleId="14">
    <w:name w:val="p0"/>
    <w:basedOn w:val="1"/>
    <w:qFormat/>
    <w:uiPriority w:val="0"/>
    <w:pPr>
      <w:widowControl/>
      <w:jc w:val="left"/>
    </w:pPr>
    <w:rPr>
      <w:rFonts w:ascii="Calibri" w:hAnsi="Calibri"/>
      <w:kern w:val="0"/>
      <w:szCs w:val="21"/>
    </w:rPr>
  </w:style>
  <w:style w:type="paragraph" w:customStyle="1" w:styleId="15">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6">
    <w:name w:val="null3"/>
    <w:hidden/>
    <w:qFormat/>
    <w:uiPriority w:val="0"/>
    <w:rPr>
      <w:rFonts w:hint="eastAsia" w:asciiTheme="minorHAnsi" w:hAnsiTheme="minorHAnsi" w:eastAsiaTheme="minorEastAsia" w:cstheme="minorBidi"/>
      <w:lang w:val="en-US" w:eastAsia="zh-Hans"/>
    </w:rPr>
  </w:style>
  <w:style w:type="paragraph" w:customStyle="1" w:styleId="17">
    <w:name w:val="List Paragraph"/>
    <w:basedOn w:val="1"/>
    <w:qFormat/>
    <w:uiPriority w:val="0"/>
    <w:pPr>
      <w:ind w:firstLine="200" w:firstLineChars="200"/>
    </w:pPr>
    <w:rPr>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87</Pages>
  <Words>20276</Words>
  <Characters>20902</Characters>
  <Lines>0</Lines>
  <Paragraphs>0</Paragraphs>
  <TotalTime>0</TotalTime>
  <ScaleCrop>false</ScaleCrop>
  <LinksUpToDate>false</LinksUpToDate>
  <CharactersWithSpaces>21697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WPS_1712807528</cp:lastModifiedBy>
  <cp:lastPrinted>2025-04-01T07:59:00Z</cp:lastPrinted>
  <dcterms:modified xsi:type="dcterms:W3CDTF">2025-05-16T13:02:52Z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9E724B8E9A8F48279104D4476B7E9153_13</vt:lpwstr>
  </property>
  <property fmtid="{D5CDD505-2E9C-101B-9397-08002B2CF9AE}" pid="4" name="KSOTemplateDocerSaveRecord">
    <vt:lpwstr>eyJoZGlkIjoiMDljYTAyNGM4MWFiZjY0MmU0YmM3MGIzZWFlYjMyMzkiLCJ1c2VySWQiOiIxNTkyMjE0MzgwIn0=</vt:lpwstr>
  </property>
</Properties>
</file>