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027E4F">
      <w:pPr>
        <w:tabs>
          <w:tab w:val="left" w:pos="9030"/>
        </w:tabs>
        <w:snapToGrid w:val="0"/>
        <w:spacing w:line="360" w:lineRule="auto"/>
        <w:ind w:right="-62"/>
        <w:jc w:val="center"/>
        <w:outlineLvl w:val="0"/>
        <w:rPr>
          <w:b/>
          <w:bCs/>
          <w:sz w:val="44"/>
          <w:szCs w:val="44"/>
          <w:lang w:val="zh-CN"/>
        </w:rPr>
      </w:pPr>
      <w:r>
        <w:rPr>
          <w:rFonts w:hint="eastAsia" w:ascii="宋体" w:hAnsi="宋体" w:cs="宋体"/>
          <w:b/>
          <w:bCs/>
          <w:sz w:val="44"/>
          <w:szCs w:val="44"/>
          <w:lang w:val="zh-CN"/>
        </w:rPr>
        <w:t>拟签订的合同条款文本</w:t>
      </w:r>
    </w:p>
    <w:p w14:paraId="6A149FF0">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 xml:space="preserve">甲方（采购人）： </w:t>
      </w:r>
    </w:p>
    <w:p w14:paraId="2411B517">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 xml:space="preserve">乙方（中标人）： </w:t>
      </w:r>
    </w:p>
    <w:p w14:paraId="2F423BA1">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u w:val="single"/>
          <w:lang w:val="en-US" w:eastAsia="zh-CN"/>
        </w:rPr>
        <w:t>西安高新区政务新媒体平台运维项目(项目编号：SXHC2025-108)</w:t>
      </w:r>
      <w:r>
        <w:rPr>
          <w:rFonts w:hint="eastAsia" w:ascii="仿宋_GB2312" w:hAnsi="仿宋_GB2312" w:eastAsia="仿宋_GB2312" w:cs="仿宋_GB2312"/>
          <w:color w:val="auto"/>
          <w:sz w:val="28"/>
          <w:szCs w:val="28"/>
          <w:highlight w:val="none"/>
          <w:lang w:val="en-US" w:eastAsia="zh-CN"/>
        </w:rPr>
        <w:t>，由陕西华采招标有限公司组织公开招标，</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lang w:val="en-US" w:eastAsia="zh-CN"/>
        </w:rPr>
        <w:t>(以下简称“甲方”)确定</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lang w:val="en-US" w:eastAsia="zh-CN"/>
        </w:rPr>
        <w:t>（以下简称“乙方</w:t>
      </w:r>
      <w:bookmarkStart w:id="0" w:name="_GoBack"/>
      <w:bookmarkEnd w:id="0"/>
      <w:r>
        <w:rPr>
          <w:rFonts w:hint="eastAsia" w:ascii="仿宋_GB2312" w:hAnsi="仿宋_GB2312" w:eastAsia="仿宋_GB2312" w:cs="仿宋_GB2312"/>
          <w:color w:val="auto"/>
          <w:sz w:val="28"/>
          <w:szCs w:val="28"/>
          <w:highlight w:val="none"/>
          <w:lang w:val="en-US" w:eastAsia="zh-CN"/>
        </w:rPr>
        <w:t>”）为该项目的中标人。</w:t>
      </w:r>
    </w:p>
    <w:p w14:paraId="4FA0713D">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依据《中华人民共和国民法典》和《中华人民共和国政府采购法》之规定，经双方在平等、自愿、互利的基础上，签订本合同，共同信守。</w:t>
      </w:r>
    </w:p>
    <w:p w14:paraId="0AD847DC">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一、合同价款</w:t>
      </w:r>
    </w:p>
    <w:p w14:paraId="63524C46">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（一）合同价款为人民币（大写）</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lang w:val="en-US" w:eastAsia="zh-CN"/>
        </w:rPr>
        <w:t>（¥</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lang w:val="en-US" w:eastAsia="zh-CN"/>
        </w:rPr>
        <w:t>）。</w:t>
      </w:r>
    </w:p>
    <w:p w14:paraId="1D8F9B2D">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（二）合同价款是指本次服务内容所需的全部费用, 包括但不限于策划费、实施费、发布费、出版费、人员工资、设备费、税金及其它全部费用。</w:t>
      </w:r>
    </w:p>
    <w:p w14:paraId="60962ACD">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（三）合同价款一次性包死，不受市场价格变化因素的影响。</w:t>
      </w:r>
    </w:p>
    <w:p w14:paraId="699220B6">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二、委托工作内容：</w:t>
      </w:r>
      <w:r>
        <w:rPr>
          <w:rFonts w:hint="eastAsia" w:ascii="仿宋_GB2312" w:hAnsi="仿宋_GB2312" w:eastAsia="仿宋_GB2312" w:cs="仿宋_GB2312"/>
          <w:color w:val="auto"/>
          <w:sz w:val="28"/>
          <w:szCs w:val="28"/>
          <w:highlight w:val="none"/>
          <w:lang w:val="en-US" w:eastAsia="zh-CN"/>
        </w:rPr>
        <w:t>原创稿件策划采编、原创视频拍摄制作、政务新媒体平台运维、设计制作印刷出版发行工作。</w:t>
      </w:r>
    </w:p>
    <w:p w14:paraId="1C654FC2">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三、款项结算</w:t>
      </w:r>
    </w:p>
    <w:p w14:paraId="510FCD99">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（一）付款方式：</w:t>
      </w:r>
    </w:p>
    <w:p w14:paraId="76DE75C0">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1、本合同签订后，达到付款条件起15日内，支付合同总金额的40%。</w:t>
      </w:r>
    </w:p>
    <w:p w14:paraId="2BA76412">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2、在合同履行3个月后，达到付款条件起15日内，支付合同总金额的30%。</w:t>
      </w:r>
    </w:p>
    <w:p w14:paraId="2B9760E9">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default" w:ascii="仿宋_GB2312" w:hAnsi="仿宋_GB2312" w:eastAsia="仿宋_GB2312" w:cs="仿宋_GB2312"/>
          <w:color w:val="auto"/>
          <w:sz w:val="28"/>
          <w:szCs w:val="28"/>
          <w:highlight w:val="yellow"/>
          <w:lang w:val="en-US" w:eastAsia="zh-CN"/>
        </w:rPr>
      </w:pPr>
      <w:r>
        <w:rPr>
          <w:rFonts w:hint="eastAsia" w:ascii="仿宋_GB2312" w:hAnsi="仿宋_GB2312" w:eastAsia="仿宋_GB2312" w:cs="仿宋_GB2312"/>
          <w:color w:val="auto"/>
          <w:sz w:val="28"/>
          <w:szCs w:val="28"/>
          <w:highlight w:val="none"/>
          <w:lang w:val="en-US" w:eastAsia="zh-CN"/>
        </w:rPr>
        <w:t>3、在乙方合同全部履行完毕，并经甲方书面验收合格后，达到付款条件起15日内，支付合同总金额的30%。</w:t>
      </w:r>
    </w:p>
    <w:p w14:paraId="58F9A579">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甲方每次付款前5日，乙方应按照甲方要求提供等额合规增值税发票并送达，若甲方延迟收到发票导致的延迟付款，甲方不承担违约责任，但不影响乙方应履行的合同义务，但不影响乙方应履行的合同义务</w:t>
      </w:r>
    </w:p>
    <w:p w14:paraId="34579DFA">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（二）结算方式：银行转账。</w:t>
      </w:r>
    </w:p>
    <w:p w14:paraId="0057D862">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（三）结算单位：由甲方负责结算，乙方开具合同价款的全额发票给甲方。</w:t>
      </w:r>
    </w:p>
    <w:p w14:paraId="5ED92049">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四、服务地点及服务期</w:t>
      </w:r>
    </w:p>
    <w:p w14:paraId="45C8657D">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（一）服务地点：西安市范围内，具体以甲方指定地点为准。</w:t>
      </w:r>
    </w:p>
    <w:p w14:paraId="76556924">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（二）服务期：自合同签订之日起1年。</w:t>
      </w:r>
    </w:p>
    <w:p w14:paraId="49DFB81B">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五、双方的权利和义务</w:t>
      </w:r>
    </w:p>
    <w:p w14:paraId="44774111">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（一）甲方的权利与义务</w:t>
      </w:r>
    </w:p>
    <w:p w14:paraId="61EC7CE9">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1、甲方负责配合本次项目服务工作；</w:t>
      </w:r>
    </w:p>
    <w:p w14:paraId="17B0994F">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2、甲方应按本合同的约定向乙方支付合同价款；</w:t>
      </w:r>
    </w:p>
    <w:p w14:paraId="5341E20C">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3、甲方根据需要对乙方提供的实施方案进行审核，提供建议及意见，确定最终实施的服务方案，以便乙方遵照执行；</w:t>
      </w:r>
    </w:p>
    <w:p w14:paraId="1ECAAC45">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4、甲方有权对乙方的工作进行监督和考核。</w:t>
      </w:r>
    </w:p>
    <w:p w14:paraId="723618FB">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（二）乙方的权利与义务</w:t>
      </w:r>
    </w:p>
    <w:p w14:paraId="178F18CF">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1、乙方的工作人员必须严格遵守甲方的规章制度，以良好的形象和积极的工作态度，按甲方要求开展工作；</w:t>
      </w:r>
    </w:p>
    <w:p w14:paraId="74A51DFC">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2、乙方应服从甲方统筹管理并按流程开展工作；</w:t>
      </w:r>
    </w:p>
    <w:p w14:paraId="290E8E1A">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3、乙方提交的方案等应得到甲方确认再予以实施。</w:t>
      </w:r>
    </w:p>
    <w:p w14:paraId="30CC9F8A">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六、服务质量保证</w:t>
      </w:r>
    </w:p>
    <w:p w14:paraId="53EE24CA">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以招标文件、澄清表、合同和服务承诺的相关文件为准，但至少应包括：</w:t>
      </w:r>
    </w:p>
    <w:p w14:paraId="00D0F856">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（一）乙方需派一名常驻项目经理，直接与甲方沟通，项目经理接收甲方提出的问题与要求，并及时向公司申请调动资源，解决甲方在项目实施过程中遇到的问题。</w:t>
      </w:r>
    </w:p>
    <w:p w14:paraId="7060C35B">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（二）项目在实施过程中会出现不可预料的需求变更，乙方需积极配合甲方的需求变更，并按照变更后的需求继续制作。</w:t>
      </w:r>
    </w:p>
    <w:p w14:paraId="71441B96">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（三）对于重大故障或者需要较高技术的服务，乙方需根据甲方的具体情况，紧急成立由各专家和资深技术人员组成的专家服务组，为客户提供诊断和技术咨询服务，迅速排除故障。</w:t>
      </w:r>
    </w:p>
    <w:p w14:paraId="4618C04A">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（四）乙方需设有详细的技术资料档案和服务档案，将保存项目的详细资料以便于更好地提供服务。</w:t>
      </w:r>
    </w:p>
    <w:p w14:paraId="1C057A8A">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（五）服务响应：提供7*24小时的服务响应，出现问题或意外情况时，乙方会及时派出相关人员1小时内解决问题。</w:t>
      </w:r>
    </w:p>
    <w:p w14:paraId="366FA7F8">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七、知识产权</w:t>
      </w:r>
    </w:p>
    <w:p w14:paraId="742C21CF">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（一）本项目知识产权归甲方所有。</w:t>
      </w:r>
    </w:p>
    <w:p w14:paraId="66BABAE2">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 xml:space="preserve">（二）乙方无论出于任何目的如在其他地方使用该成果，必须经甲方同意方可使用。否则，甲方有权要求终止涉及到该中标知识产权的任何使用活动并保留追究卖方相应的法律责任的权利。 </w:t>
      </w:r>
    </w:p>
    <w:p w14:paraId="6E7DFABF">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（三）乙方为执行本合同而提供的技术资料使用权归甲方所有。</w:t>
      </w:r>
    </w:p>
    <w:p w14:paraId="0E5DAC91">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八、保密规定</w:t>
      </w:r>
    </w:p>
    <w:p w14:paraId="2FF4DDAB">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甲、乙双方应永久恪守因签署或履行本合同而获知的对方秘密信息及其它秘密资料。任何一方如将获知的对方秘密信息泄露给第三方，应赔偿因泄密而给对方造成的一切损失并承担相应的法律责任（包括刑事责任）。</w:t>
      </w:r>
    </w:p>
    <w:p w14:paraId="7788AB20">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九、其他事项</w:t>
      </w:r>
    </w:p>
    <w:p w14:paraId="2B39E838">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（一）乙方不得转让给其它单位或个人。</w:t>
      </w:r>
    </w:p>
    <w:p w14:paraId="16692B89">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（二）乙方的投标文件和承诺等内容将列入合同。</w:t>
      </w:r>
    </w:p>
    <w:p w14:paraId="28A0E8EF">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十、验收</w:t>
      </w:r>
    </w:p>
    <w:p w14:paraId="1AB929DF">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（一）本项目验收费用，由乙方自行承担。</w:t>
      </w:r>
    </w:p>
    <w:p w14:paraId="159D9263">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（二）服务期满后，由乙方向甲方递交验收通知书，经甲方确认后，组织乙方进行验收。验收合格后，填写政府采购项目验收单作为对本次服务的最终认可。</w:t>
      </w:r>
    </w:p>
    <w:p w14:paraId="56244F68">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（三）验收依据：</w:t>
      </w:r>
    </w:p>
    <w:p w14:paraId="1EAC344B">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1、本合同及附加文本；</w:t>
      </w:r>
    </w:p>
    <w:p w14:paraId="4F3A0F49">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2、招标文件、中标人的投标文件及澄清（承诺）函；</w:t>
      </w:r>
    </w:p>
    <w:p w14:paraId="0BF9C605">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3、国家相应的标准、规范。</w:t>
      </w:r>
    </w:p>
    <w:p w14:paraId="247A54D2">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十一、违约责任</w:t>
      </w:r>
    </w:p>
    <w:p w14:paraId="7748B60C">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（一）按《中华人民共和国民法典》中的相关条款执行。</w:t>
      </w:r>
    </w:p>
    <w:p w14:paraId="5C3B612F">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（二）未按合同要求提供服务或服务质量不能满足本次招标要求，甲方会同监督机构、采购代理机构有权终止合同和对乙方违约行为进行追究，同时按政府采购法的有关规定进行相应的处罚。</w:t>
      </w:r>
    </w:p>
    <w:p w14:paraId="63FB188E">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十二、合同争议解决的方式</w:t>
      </w:r>
    </w:p>
    <w:p w14:paraId="1E5ED0F0">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本合同在履行过程中发生的争议，由甲、乙双方当事人协商解决，协商不成的按下列第</w:t>
      </w:r>
      <w:r>
        <w:rPr>
          <w:rFonts w:hint="eastAsia" w:ascii="仿宋_GB2312" w:hAnsi="仿宋_GB2312" w:eastAsia="仿宋_GB2312" w:cs="仿宋_GB2312"/>
          <w:color w:val="auto"/>
          <w:sz w:val="28"/>
          <w:szCs w:val="28"/>
          <w:highlight w:val="none"/>
          <w:u w:val="single"/>
          <w:lang w:val="en-US" w:eastAsia="zh-CN"/>
        </w:rPr>
        <w:t>（二）</w:t>
      </w:r>
      <w:r>
        <w:rPr>
          <w:rFonts w:hint="eastAsia" w:ascii="仿宋_GB2312" w:hAnsi="仿宋_GB2312" w:eastAsia="仿宋_GB2312" w:cs="仿宋_GB2312"/>
          <w:color w:val="auto"/>
          <w:sz w:val="28"/>
          <w:szCs w:val="28"/>
          <w:highlight w:val="none"/>
          <w:lang w:val="en-US" w:eastAsia="zh-CN"/>
        </w:rPr>
        <w:t>种方式解决：</w:t>
      </w:r>
    </w:p>
    <w:p w14:paraId="432EB2DF">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（一）提交西安仲裁委员会仲裁；</w:t>
      </w:r>
    </w:p>
    <w:p w14:paraId="28B01DBB">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（二）依法向乙方所在地人民法院起诉。</w:t>
      </w:r>
    </w:p>
    <w:p w14:paraId="6512E03A">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十三、合同生效</w:t>
      </w:r>
    </w:p>
    <w:p w14:paraId="6049A91F">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（一）本合同须经甲、乙双方的法定代表人（授权代表）在合同书上签字并加盖本单位公章后正式生效。</w:t>
      </w:r>
    </w:p>
    <w:p w14:paraId="212424BC">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（二）合同生效后，甲、乙双方须严格执行本合同条款的规定，全面履行合同，违者按《中华人民共和国民法典》的有关规定承担相应责任。</w:t>
      </w:r>
    </w:p>
    <w:p w14:paraId="05C85B82">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（三）本合同一式</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lang w:val="en-US" w:eastAsia="zh-CN"/>
        </w:rPr>
        <w:t>份，甲乙双方各执</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lang w:val="en-US" w:eastAsia="zh-CN"/>
        </w:rPr>
        <w:t>份。</w:t>
      </w:r>
    </w:p>
    <w:p w14:paraId="2FED0F6E">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lang w:val="en-US" w:eastAsia="zh-CN"/>
        </w:rPr>
        <w:t>（四）本合同如有未尽事宜，甲、乙双方协商解决</w:t>
      </w:r>
      <w:r>
        <w:rPr>
          <w:rFonts w:hint="eastAsia" w:ascii="仿宋_GB2312" w:hAnsi="仿宋_GB2312" w:eastAsia="仿宋_GB2312" w:cs="仿宋_GB2312"/>
          <w:sz w:val="28"/>
          <w:szCs w:val="28"/>
        </w:rPr>
        <w:t>。</w:t>
      </w:r>
    </w:p>
    <w:p w14:paraId="137C0D5C">
      <w:pPr>
        <w:pStyle w:val="7"/>
        <w:tabs>
          <w:tab w:val="center" w:pos="4153"/>
          <w:tab w:val="right" w:pos="8306"/>
          <w:tab w:val="clear" w:pos="4140"/>
          <w:tab w:val="clear" w:pos="8300"/>
        </w:tabs>
        <w:rPr>
          <w:rFonts w:ascii="仿宋_GB2312" w:hAnsi="仿宋_GB2312" w:eastAsia="仿宋_GB2312" w:cs="仿宋_GB2312"/>
          <w:sz w:val="28"/>
          <w:szCs w:val="28"/>
        </w:rPr>
      </w:pPr>
    </w:p>
    <w:tbl>
      <w:tblPr>
        <w:tblStyle w:val="12"/>
        <w:tblW w:w="0" w:type="auto"/>
        <w:jc w:val="center"/>
        <w:tblLayout w:type="fixed"/>
        <w:tblCellMar>
          <w:top w:w="0" w:type="dxa"/>
          <w:left w:w="108" w:type="dxa"/>
          <w:bottom w:w="0" w:type="dxa"/>
          <w:right w:w="108" w:type="dxa"/>
        </w:tblCellMar>
      </w:tblPr>
      <w:tblGrid>
        <w:gridCol w:w="4201"/>
        <w:gridCol w:w="4202"/>
      </w:tblGrid>
      <w:tr w14:paraId="439EB9C1">
        <w:tblPrEx>
          <w:tblCellMar>
            <w:top w:w="0" w:type="dxa"/>
            <w:left w:w="108" w:type="dxa"/>
            <w:bottom w:w="0" w:type="dxa"/>
            <w:right w:w="108" w:type="dxa"/>
          </w:tblCellMar>
        </w:tblPrEx>
        <w:trPr>
          <w:trHeight w:val="567" w:hRule="exact"/>
          <w:jc w:val="center"/>
        </w:trPr>
        <w:tc>
          <w:tcPr>
            <w:tcW w:w="4201" w:type="dxa"/>
            <w:noWrap w:val="0"/>
            <w:vAlign w:val="center"/>
          </w:tcPr>
          <w:p w14:paraId="6CBA0813">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甲  方</w:t>
            </w:r>
          </w:p>
        </w:tc>
        <w:tc>
          <w:tcPr>
            <w:tcW w:w="4202" w:type="dxa"/>
            <w:noWrap w:val="0"/>
            <w:vAlign w:val="center"/>
          </w:tcPr>
          <w:p w14:paraId="62FCE3A9">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乙  方</w:t>
            </w:r>
          </w:p>
        </w:tc>
      </w:tr>
      <w:tr w14:paraId="1C79A5E9">
        <w:tblPrEx>
          <w:tblCellMar>
            <w:top w:w="0" w:type="dxa"/>
            <w:left w:w="108" w:type="dxa"/>
            <w:bottom w:w="0" w:type="dxa"/>
            <w:right w:w="108" w:type="dxa"/>
          </w:tblCellMar>
        </w:tblPrEx>
        <w:trPr>
          <w:trHeight w:val="567" w:hRule="exact"/>
          <w:jc w:val="center"/>
        </w:trPr>
        <w:tc>
          <w:tcPr>
            <w:tcW w:w="4201" w:type="dxa"/>
            <w:noWrap w:val="0"/>
            <w:vAlign w:val="center"/>
          </w:tcPr>
          <w:p w14:paraId="189FE542">
            <w:pPr>
              <w:ind w:firstLine="840" w:firstLineChars="350"/>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（盖章）</w:t>
            </w:r>
          </w:p>
        </w:tc>
        <w:tc>
          <w:tcPr>
            <w:tcW w:w="4202" w:type="dxa"/>
            <w:noWrap w:val="0"/>
            <w:vAlign w:val="center"/>
          </w:tcPr>
          <w:p w14:paraId="52411E24">
            <w:pPr>
              <w:ind w:firstLine="960" w:firstLineChars="400"/>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（盖章）</w:t>
            </w:r>
          </w:p>
        </w:tc>
      </w:tr>
      <w:tr w14:paraId="25914C1C">
        <w:tblPrEx>
          <w:tblCellMar>
            <w:top w:w="0" w:type="dxa"/>
            <w:left w:w="108" w:type="dxa"/>
            <w:bottom w:w="0" w:type="dxa"/>
            <w:right w:w="108" w:type="dxa"/>
          </w:tblCellMar>
        </w:tblPrEx>
        <w:trPr>
          <w:trHeight w:val="567" w:hRule="exact"/>
          <w:jc w:val="center"/>
        </w:trPr>
        <w:tc>
          <w:tcPr>
            <w:tcW w:w="4201" w:type="dxa"/>
            <w:noWrap w:val="0"/>
            <w:vAlign w:val="center"/>
          </w:tcPr>
          <w:p w14:paraId="5F3BF6CB">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 xml:space="preserve">地址： </w:t>
            </w:r>
          </w:p>
        </w:tc>
        <w:tc>
          <w:tcPr>
            <w:tcW w:w="4202" w:type="dxa"/>
            <w:noWrap w:val="0"/>
            <w:vAlign w:val="center"/>
          </w:tcPr>
          <w:p w14:paraId="5AC09288">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地址：</w:t>
            </w:r>
          </w:p>
        </w:tc>
      </w:tr>
      <w:tr w14:paraId="202CC5A2">
        <w:tblPrEx>
          <w:tblCellMar>
            <w:top w:w="0" w:type="dxa"/>
            <w:left w:w="108" w:type="dxa"/>
            <w:bottom w:w="0" w:type="dxa"/>
            <w:right w:w="108" w:type="dxa"/>
          </w:tblCellMar>
        </w:tblPrEx>
        <w:trPr>
          <w:trHeight w:val="567" w:hRule="exact"/>
          <w:jc w:val="center"/>
        </w:trPr>
        <w:tc>
          <w:tcPr>
            <w:tcW w:w="4201" w:type="dxa"/>
            <w:noWrap w:val="0"/>
            <w:vAlign w:val="center"/>
          </w:tcPr>
          <w:p w14:paraId="630708F4">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邮编：</w:t>
            </w:r>
          </w:p>
        </w:tc>
        <w:tc>
          <w:tcPr>
            <w:tcW w:w="4202" w:type="dxa"/>
            <w:noWrap w:val="0"/>
            <w:vAlign w:val="center"/>
          </w:tcPr>
          <w:p w14:paraId="6A777F05">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邮编：</w:t>
            </w:r>
          </w:p>
        </w:tc>
      </w:tr>
      <w:tr w14:paraId="349C7013">
        <w:tblPrEx>
          <w:tblCellMar>
            <w:top w:w="0" w:type="dxa"/>
            <w:left w:w="108" w:type="dxa"/>
            <w:bottom w:w="0" w:type="dxa"/>
            <w:right w:w="108" w:type="dxa"/>
          </w:tblCellMar>
        </w:tblPrEx>
        <w:trPr>
          <w:trHeight w:val="567" w:hRule="exact"/>
          <w:jc w:val="center"/>
        </w:trPr>
        <w:tc>
          <w:tcPr>
            <w:tcW w:w="4201" w:type="dxa"/>
            <w:noWrap w:val="0"/>
            <w:vAlign w:val="center"/>
          </w:tcPr>
          <w:p w14:paraId="26B6D9EC">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 xml:space="preserve">法定代表人： </w:t>
            </w:r>
          </w:p>
        </w:tc>
        <w:tc>
          <w:tcPr>
            <w:tcW w:w="4202" w:type="dxa"/>
            <w:noWrap w:val="0"/>
            <w:vAlign w:val="center"/>
          </w:tcPr>
          <w:p w14:paraId="30739D25">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法定代表人：</w:t>
            </w:r>
          </w:p>
        </w:tc>
      </w:tr>
      <w:tr w14:paraId="570A6737">
        <w:tblPrEx>
          <w:tblCellMar>
            <w:top w:w="0" w:type="dxa"/>
            <w:left w:w="108" w:type="dxa"/>
            <w:bottom w:w="0" w:type="dxa"/>
            <w:right w:w="108" w:type="dxa"/>
          </w:tblCellMar>
        </w:tblPrEx>
        <w:trPr>
          <w:trHeight w:val="567" w:hRule="exact"/>
          <w:jc w:val="center"/>
        </w:trPr>
        <w:tc>
          <w:tcPr>
            <w:tcW w:w="4201" w:type="dxa"/>
            <w:noWrap w:val="0"/>
            <w:vAlign w:val="center"/>
          </w:tcPr>
          <w:p w14:paraId="321ACE04">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被授权代表：</w:t>
            </w:r>
          </w:p>
        </w:tc>
        <w:tc>
          <w:tcPr>
            <w:tcW w:w="4202" w:type="dxa"/>
            <w:noWrap w:val="0"/>
            <w:vAlign w:val="center"/>
          </w:tcPr>
          <w:p w14:paraId="03508A82">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被授权代表：</w:t>
            </w:r>
          </w:p>
        </w:tc>
      </w:tr>
      <w:tr w14:paraId="048C65FD">
        <w:tblPrEx>
          <w:tblCellMar>
            <w:top w:w="0" w:type="dxa"/>
            <w:left w:w="108" w:type="dxa"/>
            <w:bottom w:w="0" w:type="dxa"/>
            <w:right w:w="108" w:type="dxa"/>
          </w:tblCellMar>
        </w:tblPrEx>
        <w:trPr>
          <w:trHeight w:val="567" w:hRule="exact"/>
          <w:jc w:val="center"/>
        </w:trPr>
        <w:tc>
          <w:tcPr>
            <w:tcW w:w="4201" w:type="dxa"/>
            <w:noWrap w:val="0"/>
            <w:vAlign w:val="center"/>
          </w:tcPr>
          <w:p w14:paraId="5207908F">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电话：</w:t>
            </w:r>
          </w:p>
        </w:tc>
        <w:tc>
          <w:tcPr>
            <w:tcW w:w="4202" w:type="dxa"/>
            <w:noWrap w:val="0"/>
            <w:vAlign w:val="center"/>
          </w:tcPr>
          <w:p w14:paraId="2E19190E">
            <w:pPr>
              <w:ind w:left="720" w:hanging="720" w:hangingChars="300"/>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电话：</w:t>
            </w:r>
          </w:p>
        </w:tc>
      </w:tr>
      <w:tr w14:paraId="5A2F8DD8">
        <w:tblPrEx>
          <w:tblCellMar>
            <w:top w:w="0" w:type="dxa"/>
            <w:left w:w="108" w:type="dxa"/>
            <w:bottom w:w="0" w:type="dxa"/>
            <w:right w:w="108" w:type="dxa"/>
          </w:tblCellMar>
        </w:tblPrEx>
        <w:trPr>
          <w:trHeight w:val="567" w:hRule="exact"/>
          <w:jc w:val="center"/>
        </w:trPr>
        <w:tc>
          <w:tcPr>
            <w:tcW w:w="4201" w:type="dxa"/>
            <w:noWrap w:val="0"/>
            <w:vAlign w:val="center"/>
          </w:tcPr>
          <w:p w14:paraId="1DCB3844">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传真：</w:t>
            </w:r>
          </w:p>
        </w:tc>
        <w:tc>
          <w:tcPr>
            <w:tcW w:w="4202" w:type="dxa"/>
            <w:noWrap w:val="0"/>
            <w:vAlign w:val="center"/>
          </w:tcPr>
          <w:p w14:paraId="13C350A7">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传真：</w:t>
            </w:r>
          </w:p>
        </w:tc>
      </w:tr>
      <w:tr w14:paraId="2A21CC6D">
        <w:tblPrEx>
          <w:tblCellMar>
            <w:top w:w="0" w:type="dxa"/>
            <w:left w:w="108" w:type="dxa"/>
            <w:bottom w:w="0" w:type="dxa"/>
            <w:right w:w="108" w:type="dxa"/>
          </w:tblCellMar>
        </w:tblPrEx>
        <w:trPr>
          <w:trHeight w:val="567" w:hRule="exact"/>
          <w:jc w:val="center"/>
        </w:trPr>
        <w:tc>
          <w:tcPr>
            <w:tcW w:w="4201" w:type="dxa"/>
            <w:noWrap w:val="0"/>
            <w:vAlign w:val="center"/>
          </w:tcPr>
          <w:p w14:paraId="7D12FB32">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开户银行：</w:t>
            </w:r>
          </w:p>
        </w:tc>
        <w:tc>
          <w:tcPr>
            <w:tcW w:w="4202" w:type="dxa"/>
            <w:noWrap w:val="0"/>
            <w:vAlign w:val="center"/>
          </w:tcPr>
          <w:p w14:paraId="6A871E94">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开户银行：</w:t>
            </w:r>
          </w:p>
        </w:tc>
      </w:tr>
      <w:tr w14:paraId="30D950F7">
        <w:tblPrEx>
          <w:tblCellMar>
            <w:top w:w="0" w:type="dxa"/>
            <w:left w:w="108" w:type="dxa"/>
            <w:bottom w:w="0" w:type="dxa"/>
            <w:right w:w="108" w:type="dxa"/>
          </w:tblCellMar>
        </w:tblPrEx>
        <w:trPr>
          <w:trHeight w:val="567" w:hRule="exact"/>
          <w:jc w:val="center"/>
        </w:trPr>
        <w:tc>
          <w:tcPr>
            <w:tcW w:w="4201" w:type="dxa"/>
            <w:noWrap w:val="0"/>
            <w:vAlign w:val="center"/>
          </w:tcPr>
          <w:p w14:paraId="7FA29318">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日期：</w:t>
            </w:r>
          </w:p>
        </w:tc>
        <w:tc>
          <w:tcPr>
            <w:tcW w:w="4202" w:type="dxa"/>
            <w:noWrap w:val="0"/>
            <w:vAlign w:val="center"/>
          </w:tcPr>
          <w:p w14:paraId="49379D4F">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日期：</w:t>
            </w:r>
          </w:p>
        </w:tc>
      </w:tr>
    </w:tbl>
    <w:p w14:paraId="6A7905B7"/>
    <w:sectPr>
      <w:headerReference r:id="rId3" w:type="default"/>
      <w:footerReference r:id="rId4" w:type="default"/>
      <w:pgSz w:w="11909" w:h="16841"/>
      <w:pgMar w:top="1417" w:right="1417" w:bottom="1417" w:left="1417" w:header="850" w:footer="10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7202C6DF-3ED4-4765-AC4A-187686775D8A}"/>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embedRegular r:id="rId2" w:fontKey="{BC5338FF-BAAB-4704-8E59-F7212C9598DD}"/>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878FE8">
    <w:pPr>
      <w:spacing w:line="14" w:lineRule="auto"/>
      <w:rPr>
        <w:rFonts w:ascii="Arial"/>
        <w:sz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7C11F6">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29BB6BC2"/>
    <w:rsid w:val="00032C77"/>
    <w:rsid w:val="00042B50"/>
    <w:rsid w:val="0005444A"/>
    <w:rsid w:val="00055484"/>
    <w:rsid w:val="00196F8D"/>
    <w:rsid w:val="002134F5"/>
    <w:rsid w:val="00240D10"/>
    <w:rsid w:val="002A2C9E"/>
    <w:rsid w:val="00301B8C"/>
    <w:rsid w:val="00333158"/>
    <w:rsid w:val="00366B06"/>
    <w:rsid w:val="005C205E"/>
    <w:rsid w:val="00680F55"/>
    <w:rsid w:val="006B2966"/>
    <w:rsid w:val="006E04B8"/>
    <w:rsid w:val="007377F8"/>
    <w:rsid w:val="007646EA"/>
    <w:rsid w:val="008B1E38"/>
    <w:rsid w:val="009015B2"/>
    <w:rsid w:val="009F1E94"/>
    <w:rsid w:val="00A4582A"/>
    <w:rsid w:val="00AD6F4F"/>
    <w:rsid w:val="00B35765"/>
    <w:rsid w:val="00C65FC8"/>
    <w:rsid w:val="00CC3A78"/>
    <w:rsid w:val="00CE21B5"/>
    <w:rsid w:val="00CF6641"/>
    <w:rsid w:val="00E8712A"/>
    <w:rsid w:val="00EF3803"/>
    <w:rsid w:val="00F47186"/>
    <w:rsid w:val="00FA5ACA"/>
    <w:rsid w:val="00FC1B97"/>
    <w:rsid w:val="02680F16"/>
    <w:rsid w:val="06044D8E"/>
    <w:rsid w:val="071938B9"/>
    <w:rsid w:val="09146580"/>
    <w:rsid w:val="0AE92854"/>
    <w:rsid w:val="0CF24C32"/>
    <w:rsid w:val="0DA008CC"/>
    <w:rsid w:val="0EBB3568"/>
    <w:rsid w:val="0EC60B07"/>
    <w:rsid w:val="10332904"/>
    <w:rsid w:val="10CF4970"/>
    <w:rsid w:val="10F63A27"/>
    <w:rsid w:val="14561BE7"/>
    <w:rsid w:val="172B4FA4"/>
    <w:rsid w:val="192A37C4"/>
    <w:rsid w:val="198577DD"/>
    <w:rsid w:val="19966094"/>
    <w:rsid w:val="1BBA11A7"/>
    <w:rsid w:val="1CA80820"/>
    <w:rsid w:val="1D6E70FD"/>
    <w:rsid w:val="21665943"/>
    <w:rsid w:val="244871F4"/>
    <w:rsid w:val="25295AB7"/>
    <w:rsid w:val="274E2D73"/>
    <w:rsid w:val="27EF733B"/>
    <w:rsid w:val="292902AA"/>
    <w:rsid w:val="293840E8"/>
    <w:rsid w:val="29BB6BC2"/>
    <w:rsid w:val="2F1025C8"/>
    <w:rsid w:val="30104537"/>
    <w:rsid w:val="313868D1"/>
    <w:rsid w:val="325B49C3"/>
    <w:rsid w:val="326A7D77"/>
    <w:rsid w:val="33EF3E56"/>
    <w:rsid w:val="39094D4C"/>
    <w:rsid w:val="39DC5D59"/>
    <w:rsid w:val="3CCE5611"/>
    <w:rsid w:val="3CE71A85"/>
    <w:rsid w:val="412A6A1E"/>
    <w:rsid w:val="414032D5"/>
    <w:rsid w:val="49B513A8"/>
    <w:rsid w:val="4EC118A7"/>
    <w:rsid w:val="4F1C52C5"/>
    <w:rsid w:val="4F7D74A2"/>
    <w:rsid w:val="4FDA2485"/>
    <w:rsid w:val="54F63A8A"/>
    <w:rsid w:val="5C7E1FD1"/>
    <w:rsid w:val="5D3B49BA"/>
    <w:rsid w:val="60E414E6"/>
    <w:rsid w:val="61E5759F"/>
    <w:rsid w:val="62381ED1"/>
    <w:rsid w:val="696F3399"/>
    <w:rsid w:val="734E36BE"/>
    <w:rsid w:val="741C09D0"/>
    <w:rsid w:val="74343D24"/>
    <w:rsid w:val="764F97C9"/>
    <w:rsid w:val="78C53AE4"/>
    <w:rsid w:val="7C75227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autoRedefine/>
    <w:qFormat/>
    <w:uiPriority w:val="0"/>
    <w:pPr>
      <w:ind w:firstLine="420"/>
    </w:pPr>
    <w:rPr>
      <w:szCs w:val="21"/>
    </w:rPr>
  </w:style>
  <w:style w:type="paragraph" w:styleId="3">
    <w:name w:val="annotation text"/>
    <w:basedOn w:val="1"/>
    <w:autoRedefine/>
    <w:qFormat/>
    <w:uiPriority w:val="0"/>
    <w:pPr>
      <w:jc w:val="left"/>
    </w:pPr>
  </w:style>
  <w:style w:type="paragraph" w:styleId="4">
    <w:name w:val="Body Text"/>
    <w:basedOn w:val="1"/>
    <w:next w:val="1"/>
    <w:autoRedefine/>
    <w:qFormat/>
    <w:uiPriority w:val="99"/>
    <w:pPr>
      <w:jc w:val="left"/>
    </w:pPr>
    <w:rPr>
      <w:kern w:val="0"/>
    </w:rPr>
  </w:style>
  <w:style w:type="paragraph" w:styleId="5">
    <w:name w:val="Plain Text"/>
    <w:basedOn w:val="1"/>
    <w:autoRedefine/>
    <w:qFormat/>
    <w:uiPriority w:val="0"/>
    <w:rPr>
      <w:rFonts w:ascii="宋体" w:hAnsi="Courier New"/>
      <w:kern w:val="0"/>
      <w:sz w:val="20"/>
    </w:rPr>
  </w:style>
  <w:style w:type="paragraph" w:styleId="6">
    <w:name w:val="Balloon Text"/>
    <w:basedOn w:val="1"/>
    <w:link w:val="17"/>
    <w:autoRedefine/>
    <w:qFormat/>
    <w:uiPriority w:val="0"/>
    <w:rPr>
      <w:sz w:val="18"/>
      <w:szCs w:val="18"/>
    </w:rPr>
  </w:style>
  <w:style w:type="paragraph" w:styleId="7">
    <w:name w:val="footer"/>
    <w:basedOn w:val="1"/>
    <w:autoRedefine/>
    <w:qFormat/>
    <w:uiPriority w:val="0"/>
    <w:pPr>
      <w:tabs>
        <w:tab w:val="center" w:pos="4140"/>
        <w:tab w:val="right" w:pos="8300"/>
      </w:tabs>
      <w:snapToGrid w:val="0"/>
      <w:jc w:val="left"/>
    </w:pPr>
    <w:rPr>
      <w:sz w:val="18"/>
      <w:szCs w:val="18"/>
    </w:rPr>
  </w:style>
  <w:style w:type="paragraph" w:styleId="8">
    <w:name w:val="header"/>
    <w:basedOn w:val="1"/>
    <w:link w:val="16"/>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10">
    <w:name w:val="Normal (Web)"/>
    <w:basedOn w:val="1"/>
    <w:autoRedefine/>
    <w:qFormat/>
    <w:uiPriority w:val="99"/>
    <w:pPr>
      <w:widowControl/>
      <w:spacing w:before="100" w:beforeAutospacing="1" w:after="100" w:afterAutospacing="1"/>
      <w:jc w:val="left"/>
    </w:pPr>
    <w:rPr>
      <w:rFonts w:ascii="宋体" w:cs="宋体"/>
      <w:kern w:val="0"/>
      <w:sz w:val="24"/>
      <w:szCs w:val="24"/>
    </w:rPr>
  </w:style>
  <w:style w:type="paragraph" w:styleId="11">
    <w:name w:val="Body Text First Indent"/>
    <w:basedOn w:val="4"/>
    <w:autoRedefine/>
    <w:qFormat/>
    <w:uiPriority w:val="0"/>
    <w:pPr>
      <w:spacing w:line="360" w:lineRule="auto"/>
      <w:ind w:firstLine="420"/>
    </w:pPr>
    <w:rPr>
      <w:rFonts w:ascii="宋体" w:hAnsi="宋体"/>
      <w:sz w:val="24"/>
    </w:rPr>
  </w:style>
  <w:style w:type="table" w:styleId="13">
    <w:name w:val="Table Grid"/>
    <w:basedOn w:val="12"/>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annotation reference"/>
    <w:basedOn w:val="14"/>
    <w:autoRedefine/>
    <w:qFormat/>
    <w:uiPriority w:val="0"/>
    <w:rPr>
      <w:sz w:val="21"/>
      <w:szCs w:val="21"/>
    </w:rPr>
  </w:style>
  <w:style w:type="character" w:customStyle="1" w:styleId="16">
    <w:name w:val="页眉 Char"/>
    <w:basedOn w:val="14"/>
    <w:link w:val="8"/>
    <w:autoRedefine/>
    <w:qFormat/>
    <w:uiPriority w:val="0"/>
    <w:rPr>
      <w:kern w:val="2"/>
      <w:sz w:val="18"/>
      <w:szCs w:val="18"/>
    </w:rPr>
  </w:style>
  <w:style w:type="character" w:customStyle="1" w:styleId="17">
    <w:name w:val="批注框文本 Char"/>
    <w:basedOn w:val="14"/>
    <w:link w:val="6"/>
    <w:autoRedefine/>
    <w:qFormat/>
    <w:uiPriority w:val="0"/>
    <w:rPr>
      <w:kern w:val="2"/>
      <w:sz w:val="18"/>
      <w:szCs w:val="18"/>
    </w:rPr>
  </w:style>
  <w:style w:type="paragraph" w:customStyle="1" w:styleId="18">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9">
    <w:name w:val="正文空2格  1."/>
    <w:basedOn w:val="1"/>
    <w:autoRedefine/>
    <w:qFormat/>
    <w:uiPriority w:val="0"/>
    <w:pPr>
      <w:adjustRightInd w:val="0"/>
      <w:spacing w:line="360" w:lineRule="auto"/>
      <w:ind w:firstLine="480" w:firstLineChars="200"/>
    </w:pPr>
    <w:rPr>
      <w:rFonts w:hint="eastAsia" w:ascii="宋体" w:eastAsia="仿宋" w:cs="宋体"/>
      <w:kern w:val="0"/>
      <w:sz w:val="28"/>
    </w:rPr>
  </w:style>
  <w:style w:type="paragraph" w:customStyle="1" w:styleId="20">
    <w:name w:val="Default1"/>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Company>
  <Pages>5</Pages>
  <Words>1903</Words>
  <Characters>1924</Characters>
  <Lines>12</Lines>
  <Paragraphs>3</Paragraphs>
  <TotalTime>0</TotalTime>
  <ScaleCrop>false</ScaleCrop>
  <LinksUpToDate>false</LinksUpToDate>
  <CharactersWithSpaces>2023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2025-03-26T08:38:00Z</dcterms:created>
  <dc:creator>独舞的蒲公英</dc:creator>
  <cp:lastModifiedBy>陕西华采招标有限公司</cp:lastModifiedBy>
  <cp:lastPrinted>2022-09-28T14:56:00Z</cp:lastPrinted>
  <dcterms:modified xsi:type="dcterms:W3CDTF">2025-05-19T07:39:37Z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E79E879024B94D3FB100E7468F0D228F</vt:lpwstr>
  </property>
  <property fmtid="{D5CDD505-2E9C-101B-9397-08002B2CF9AE}" pid="4" name="KSOTemplateDocerSaveRecord">
    <vt:lpwstr>eyJoZGlkIjoiYjZjMDgwYWJjZmNiM2YzZmU4MTk1ZjZmYmY1NWU1OTEiLCJ1c2VySWQiOiI5MzY1NjA0ODAifQ==</vt:lpwstr>
  </property>
</Properties>
</file>