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版本号：SXZY-2025-ZC-111420250522001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西安高新区价格认定管理及价格政策咨询</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SXZY-2025-ZC-1114</w:t>
      </w:r>
      <w:r>
        <w:br/>
      </w:r>
      <w:r>
        <w:br/>
      </w:r>
      <w:r>
        <w:br/>
      </w:r>
    </w:p>
    <w:p>
      <w:pPr>
        <w:pStyle w:val="null3"/>
        <w:jc w:val="center"/>
        <w:outlineLvl w:val="2"/>
      </w:pPr>
      <w:r>
        <w:rPr>
          <w:rFonts w:ascii="仿宋_GB2312" w:hAnsi="仿宋_GB2312" w:cs="仿宋_GB2312" w:eastAsia="仿宋_GB2312"/>
          <w:sz w:val="28"/>
          <w:b/>
        </w:rPr>
        <w:t>西安高新技术产业开发区发展改革局</w:t>
      </w:r>
    </w:p>
    <w:p>
      <w:pPr>
        <w:pStyle w:val="null3"/>
        <w:jc w:val="center"/>
        <w:outlineLvl w:val="2"/>
      </w:pPr>
      <w:r>
        <w:rPr>
          <w:rFonts w:ascii="仿宋_GB2312" w:hAnsi="仿宋_GB2312" w:cs="仿宋_GB2312" w:eastAsia="仿宋_GB2312"/>
          <w:sz w:val="28"/>
          <w:b/>
        </w:rPr>
        <w:t>陕西中仪项目管理有限公司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陕西中仪项目管理有限公司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西安高新技术产业开发区发展改革局</w:t>
      </w:r>
      <w:r>
        <w:rPr>
          <w:rFonts w:ascii="仿宋_GB2312" w:hAnsi="仿宋_GB2312" w:cs="仿宋_GB2312" w:eastAsia="仿宋_GB2312"/>
        </w:rPr>
        <w:t>委托，拟对</w:t>
      </w:r>
      <w:r>
        <w:rPr>
          <w:rFonts w:ascii="仿宋_GB2312" w:hAnsi="仿宋_GB2312" w:cs="仿宋_GB2312" w:eastAsia="仿宋_GB2312"/>
        </w:rPr>
        <w:t>西安高新区价格认定管理及价格政策咨询</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SXZY-2025-ZC-1114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西安高新区价格认定管理及价格政策咨询</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确保高新区托管范围内的市民热线以及智能型集约化门户站管理平台有关商品价格和服务价格等政策咨询、涉案物品价格认证、教育收费管理工作等各项工作顺利有序开展，解决群众消费中的政策咨询问题，维护市场的价格稳定。委托相关机构协助处理价格政策咨询、协助处理价格认定、协助规范教育收费管理等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采购包1（西安高新区价格认定管理及价格政策咨询）：属于专门面向小微企业采购。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主要负责人）委托授权书\身份证明：法定代表人（主要负责人）委托代理人参加投标时，应提供法定代表人（主要负责人）身份证明书及法定代表人（主要负责人）委托授权书；法定代表人（主要负责人）亲自参加投标时，应提供法定代表人（主要负责人）身份证明书。供应商需在项目电子化交易系统中按要求上传相应证明文件并进行电子签章。</w:t>
      </w:r>
    </w:p>
    <w:p>
      <w:pPr>
        <w:pStyle w:val="null3"/>
      </w:pPr>
      <w:r>
        <w:rPr>
          <w:rFonts w:ascii="仿宋_GB2312" w:hAnsi="仿宋_GB2312" w:cs="仿宋_GB2312" w:eastAsia="仿宋_GB2312"/>
        </w:rPr>
        <w:t>2、信用记录查询结果：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p>
      <w:pPr>
        <w:pStyle w:val="null3"/>
      </w:pPr>
      <w:r>
        <w:rPr>
          <w:rFonts w:ascii="仿宋_GB2312" w:hAnsi="仿宋_GB2312" w:cs="仿宋_GB2312" w:eastAsia="仿宋_GB2312"/>
        </w:rPr>
        <w:t>3、非联合体磋商声明：提交非联合体形式参加本项目磋商的声明函。供应商需在项目电子化交易系统中按要求上传相应证明文件并进行电子签章。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西安高新技术产业开发区发展改革局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陕西省西安市长安区丝路创智谷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710117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西安高新技术产业开发区发展改革局经办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81155262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陕西省西安市曲江新区曲江池西路369号34幢10101室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范工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85500589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计价格[2002]1980号）和《关于招标代理服务收费有关问题的通知》（发改办价格[2003]857号）的有关规定执行。成交单位在领取成交通知书前，须向采购代理机构一次性支付代理服务费。 户名：陕西中仪项目管理有限公司 开户行：中国银行股份有限公司西安雁展路支行 账号：102496214855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西安高新技术产业开发区发展改革局</w:t>
      </w:r>
      <w:r>
        <w:rPr>
          <w:rFonts w:ascii="仿宋_GB2312" w:hAnsi="仿宋_GB2312" w:cs="仿宋_GB2312" w:eastAsia="仿宋_GB2312"/>
        </w:rPr>
        <w:t>和</w:t>
      </w:r>
      <w:r>
        <w:rPr>
          <w:rFonts w:ascii="仿宋_GB2312" w:hAnsi="仿宋_GB2312" w:cs="仿宋_GB2312" w:eastAsia="仿宋_GB2312"/>
        </w:rPr>
        <w:t>陕西中仪项目管理有限公司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西安高新技术产业开发区发展改革局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西安高新技术产业开发区发展改革局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符合国家（行业）强制性标准要求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联系人：范工</w:t>
      </w:r>
    </w:p>
    <w:p>
      <w:pPr>
        <w:pStyle w:val="null3"/>
      </w:pPr>
      <w:r>
        <w:rPr>
          <w:rFonts w:ascii="仿宋_GB2312" w:hAnsi="仿宋_GB2312" w:cs="仿宋_GB2312" w:eastAsia="仿宋_GB2312"/>
        </w:rPr>
        <w:t>联系电话：029-85500589</w:t>
      </w:r>
    </w:p>
    <w:p>
      <w:pPr>
        <w:pStyle w:val="null3"/>
      </w:pPr>
      <w:r>
        <w:rPr>
          <w:rFonts w:ascii="仿宋_GB2312" w:hAnsi="仿宋_GB2312" w:cs="仿宋_GB2312" w:eastAsia="仿宋_GB2312"/>
        </w:rPr>
        <w:t>地址：陕西省西安市曲江新区曲江池西路369号34幢10101室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确保高新区托管范围内的市民热线以及智能型集约化门户站管理平台有关商品价格和服务价格等政策咨询、涉案物品价格认证、教育收费管理工作等各项工作顺利有序开展，解决群众消费中的政策咨询问题，维护市场的价格稳定。</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西安高新区价格认定管理及价格政策咨询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标的名称：西安高新区价格认定管理及价格政策咨询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rPr>
              <w:t>服务范围</w:t>
            </w:r>
          </w:p>
          <w:p>
            <w:pPr>
              <w:pStyle w:val="null3"/>
              <w:spacing w:after="195"/>
            </w:pPr>
            <w:r>
              <w:rPr>
                <w:rFonts w:ascii="仿宋_GB2312" w:hAnsi="仿宋_GB2312" w:cs="仿宋_GB2312" w:eastAsia="仿宋_GB2312"/>
              </w:rPr>
              <w:t>确保高新区托管范围内的市民热线以及智能型集约化门户站管理平台有关商品价格和服务价格等政策咨询、涉案物品价格认证、教育收费管理工作等各项工作顺利有序开展，解决群众消费中的政策咨询问题，维护市场的价格稳定。协助处理价格政策咨询、协助处理价格认定、协助规范教育收费管理等工作。</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b/>
              </w:rPr>
              <w:t>服务要求</w:t>
            </w:r>
          </w:p>
          <w:p>
            <w:pPr>
              <w:pStyle w:val="null3"/>
              <w:jc w:val="both"/>
            </w:pPr>
            <w:r>
              <w:rPr>
                <w:rFonts w:ascii="仿宋_GB2312" w:hAnsi="仿宋_GB2312" w:cs="仿宋_GB2312" w:eastAsia="仿宋_GB2312"/>
              </w:rPr>
              <w:t>确保高新区托管范围内的市民热线以及智能型集约化门户站管理平台有关商品价格和服务价格等政策咨询、涉案物品价格认证、教育收费管理工作等各项工作顺利有序开展，解决群众消费中的政策咨询问题，维护市场的价格稳定。协助处理价格政策咨询、协助处理价格认定、协助规范教育收费管理等工作。2025年6月-2026年6月，协助处理价格政策咨询。2025年6月-2026年6月，协助处理价格认定。2025年6月-2026年6月，协助规范教育收费管理。</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b/>
              </w:rPr>
              <w:t>服务标准</w:t>
            </w:r>
          </w:p>
          <w:p>
            <w:pPr>
              <w:pStyle w:val="null3"/>
            </w:pPr>
            <w:r>
              <w:rPr>
                <w:rFonts w:ascii="仿宋_GB2312" w:hAnsi="仿宋_GB2312" w:cs="仿宋_GB2312" w:eastAsia="仿宋_GB2312"/>
              </w:rPr>
              <w:t>符合国家（行业）验收质量合格标准要求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满足实施本项目人员配置要求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满足实施本项目设施设备要求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满足实施本项目其他要求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符合国家（行业）验收质量合格标准要求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签署合同</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乙方完成项目组建，人员全部到位并正常开展委托工作</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完成全部服务内容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详见合同相应条款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1、供应商所报的价格应考虑到可能发生的所有与完成本项目相关服务及履行合同义务有关的一切费用，包括后期验收和审计所产生的相关费用，任何有选择的报价将不予接受，按无效磋商处理。 2、本项目所属行业为：其他未列明行业。根据《工业和信息化部、国家统计局、国家发展和改革委员会、财政部关于印发中小企业划型标准规定的通知》《工信部联企业(2011)300 号)规定的划分标准,从业人员300人以下的为中小微型企业。其中，从业人员100人及以上的为中型企业；从业人员10人及以上的为小型企业；从业人员10人以下的为微型企业。 3、成交供应商在领取成交通知书前，需向采购代理机构提交加盖公章的纸质版响应文件三套，成交供应商应保持响应文件纸质版内容与系统上传内容完全一致，否则将承担一切法律责任。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有效的主体资格证明：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 2.社保资金缴纳证明：提交社保资金所属日期在递交投标文件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 3.提交税款所属日期在递交投标文件截止时间前一年内至少一个月的纳税证明或完税证明，纳税证明或完税证明上应有代收机构或税务机关的公章或业务专用章。供应商需在项目电子化交易系统中按要求上传相应证明文件并进行电子签章。 4.无重大违法记录声明：参加政府采购活动前3年内在经营活动中没有重大违法记录的书面声明。供应商需在项目电子化交易系统中按要求填写《响应函》完成承诺并进行电子签章。 5.履约能力承诺：提交具有履行合同所必需的设备和专业技术能力的承诺函。供应商需在项目电子化交易系统中按要求填写《响应函》完成承诺并进行电子签章。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具有赋码查验功能的财务报告（包含审计报告和审计报告中所涉及的财务报表和报表附注），②可提供截至投标文件提交截止日一年内银行出具的资信证明（附基本存款账户信息），③供应商注册时间截至投标文件提交截止日不足一年的，可提供成立后任意时段的资产负债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身份证明书及法定代表人（主要负责人）委托授权书；法定代表人（主要负责人）亲自参加投标时，应提供法定代表人（主要负责人）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信用记录查询结果</w:t>
            </w:r>
          </w:p>
        </w:tc>
        <w:tc>
          <w:tcPr>
            <w:tcW w:type="dxa" w:w="3322"/>
          </w:tcPr>
          <w:p>
            <w:pPr>
              <w:pStyle w:val="null3"/>
            </w:pPr>
            <w:r>
              <w:rPr>
                <w:rFonts w:ascii="仿宋_GB2312" w:hAnsi="仿宋_GB2312" w:cs="仿宋_GB2312" w:eastAsia="仿宋_GB2312"/>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非联合体磋商声明</w:t>
            </w:r>
          </w:p>
        </w:tc>
        <w:tc>
          <w:tcPr>
            <w:tcW w:type="dxa" w:w="3322"/>
          </w:tcPr>
          <w:p>
            <w:pPr>
              <w:pStyle w:val="null3"/>
            </w:pPr>
            <w:r>
              <w:rPr>
                <w:rFonts w:ascii="仿宋_GB2312" w:hAnsi="仿宋_GB2312" w:cs="仿宋_GB2312" w:eastAsia="仿宋_GB2312"/>
              </w:rPr>
              <w:t>提交非联合体形式参加本项目磋商的声明函。供应商需在项目电子化交易系统中按要求上传相应证明文件并进行电子签章。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供应商响应有效期自提交响应文件截止之日起不少于90天。供应商需在项目电子化交易系统中按要求填写《响应函》完成承诺并进行电子签章。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响应有效性</w:t>
            </w:r>
          </w:p>
        </w:tc>
        <w:tc>
          <w:tcPr>
            <w:tcW w:type="dxa" w:w="3322"/>
          </w:tcPr>
          <w:p>
            <w:pPr>
              <w:pStyle w:val="null3"/>
            </w:pPr>
            <w:r>
              <w:rPr>
                <w:rFonts w:ascii="仿宋_GB2312" w:hAnsi="仿宋_GB2312" w:cs="仿宋_GB2312" w:eastAsia="仿宋_GB2312"/>
              </w:rPr>
              <w:t>磋商响应文件内容应全面响应磋商文件要求，且无未实质性响应及无效标的情形。</w:t>
            </w:r>
          </w:p>
        </w:tc>
        <w:tc>
          <w:tcPr>
            <w:tcW w:type="dxa" w:w="1661"/>
          </w:tcPr>
          <w:p>
            <w:pPr>
              <w:pStyle w:val="null3"/>
            </w:pPr>
            <w:r>
              <w:rPr>
                <w:rFonts w:ascii="仿宋_GB2312" w:hAnsi="仿宋_GB2312" w:cs="仿宋_GB2312" w:eastAsia="仿宋_GB2312"/>
              </w:rPr>
              <w:t>商务响应偏离表 供应商承诺书 合同条款响应偏离表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费用明细表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供应商需在项目电子化交易系统中按要求填写《报价表》、《标的清单》并进行电子签章。</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供应商需在项目电子化交易系统中按要求编制磋商响应文件并进行电子签章。</w:t>
            </w:r>
          </w:p>
        </w:tc>
        <w:tc>
          <w:tcPr>
            <w:tcW w:type="dxa" w:w="1661"/>
          </w:tcPr>
          <w:p>
            <w:pPr>
              <w:pStyle w:val="null3"/>
            </w:pPr>
            <w:r>
              <w:rPr>
                <w:rFonts w:ascii="仿宋_GB2312" w:hAnsi="仿宋_GB2312" w:cs="仿宋_GB2312" w:eastAsia="仿宋_GB2312"/>
              </w:rPr>
              <w:t>商务响应偏离表 费用明细表 中小企业声明函 资格证明材料 报价表 合同条款响应偏离表 响应文件封面 其他资料 残疾人福利性单位声明函 标的清单 供应商承诺书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供应商针对项目的理解阐述，包括但不限于项目背景及项目意义等。 具有针对性、熟悉相关政策、对服务内容、 项目意义理解深入，得10分； 针对性不强、对相关政策了解不够深入、对服务内容、项目意义理解不够深入，得8分； 针对性较差、对相关政策了解较少、对服务内容、项目意义理解较差，得6分； 无针对性、对相关政策了解缺失、对服务内容、项目意义理解偏差较大，得3分；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供应商针对本项目提供专业化服务方案。 服务方案充分结合本项目服务特点，思路清晰，计划详细、措施具体完善、可行性强，得10分； 服务方案结合本项目服务特点，有较详细的计划和措施、可行性较强，得8分； 服务方案结合本项目服务特点，有计划措施，但内容不详细，可行性较差，得6分； 服务方案未结合本项目特点，内容简单，针对性、可行性差，得3分；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供应商针对项目的重难点分析及对策建议。 结合项目情况及项目特征，能够进行全面且客观的重难点分析，有可行、详实的对策建议，得10分； 结合项目情况及项目特征，能够进行较为全面、客观的重难点分析、有较为可行的对策建议，得8分； 结合项目情况及项目特征，有重难点分析及对策建议，但内容不全面，对策建议客观性、可行性较差，得6分； 没有结合项目情况及项目特征进行重难点分析，内容针对性弱，对策建议可行性差，得3分； 未提供得 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拟派团队人员</w:t>
            </w:r>
          </w:p>
        </w:tc>
        <w:tc>
          <w:tcPr>
            <w:tcW w:type="dxa" w:w="2492"/>
          </w:tcPr>
          <w:p>
            <w:pPr>
              <w:pStyle w:val="null3"/>
            </w:pPr>
            <w:r>
              <w:rPr>
                <w:rFonts w:ascii="仿宋_GB2312" w:hAnsi="仿宋_GB2312" w:cs="仿宋_GB2312" w:eastAsia="仿宋_GB2312"/>
              </w:rPr>
              <w:t>团队人员数量充足、配备合理、职责明确，完全满足项目需求，得10分； 团队人员数量较为充足、配备较为合理、职责较为明确，满足项目需求，得8分； 团队人员数量较少、配备基本合理、职责基本明确，基本满足项目需求，得6分； 团队员数量少、配备不合理、职责不明确，得3分；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针对本项目服务内容，有完善的服务质量保障措施，满足本项目采购需求。 内容科学全面、可行性强，得10分； 内容较为科学全面、可行性较强，得8分； 内容基本全面、可行性一般，得6分； 内容存在重大缺陷、可行性差，得3分；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物价认定参考采价点</w:t>
            </w:r>
          </w:p>
        </w:tc>
        <w:tc>
          <w:tcPr>
            <w:tcW w:type="dxa" w:w="2492"/>
          </w:tcPr>
          <w:p>
            <w:pPr>
              <w:pStyle w:val="null3"/>
            </w:pPr>
            <w:r>
              <w:rPr>
                <w:rFonts w:ascii="仿宋_GB2312" w:hAnsi="仿宋_GB2312" w:cs="仿宋_GB2312" w:eastAsia="仿宋_GB2312"/>
              </w:rPr>
              <w:t>供应商具有符合行业定价标准的参考标准，具有物价认定参考采价点，提供相关证明材料（不限于采价点的营业执照等），每提供一个物价认定参考采价点计2分，满分10分。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结合本项目服务内容及特点，针对可能出现的突发情况有科学、完善的应急预案。 预案科学合理，防范意识高，风险把控能力强，完全满足采购需求，得10分； 预案有较好的科学性及合理性，防范意识较高，有较强的风险把控能力，能够满足采购需求，得8分； 预案科学性、合理性稍有欠缺，具备一定防范意识和风险把控能力，基本满足采购需求，得6分； 预案内容简单，合理性差，勉强或无法满足采购需求，得3分；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供应商提供针对本项目的保密措施。 保密措施全面具体，切实可行得10分； 保密措施较为全面和可行得8分； 保密措施基本可行得6分； 保密措施内容简单，可行性较差得3分；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供应商针对本项目提出合理化建议。具备一定的科学性、可行性、严谨性。 合理化建议措施具体详细可行的得5分； 合理化建议措施基本全面具体的得3分； 合理化建议措施针对性一般的得1分；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供应商2022年1月至今同类项目业绩；每提供1份计2.5分，最高得5分。 业绩证明（以合同或中标/成交通知书签订日期为准，须在磋商响应文件中附以上证明材料的扫描件加盖单位公章）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价格分采用低价优先法计算，即满足磋商文件要求且磋商报价最低的供应商的价格为磋商基准价，其价格分为满分。 其他供应商的价格分统一按照下列公式计算：磋商报价得分=磋商基准价/磋商报价*10。 价格分计算：四舍五入，保留两位小数。</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费用明细表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详见附件：费用明细表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详见附件：技术（服务）方案说明书</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详见附件：合同条款响应偏离表</w:t>
      </w:r>
    </w:p>
    <w:p>
      <w:pPr>
        <w:pStyle w:val="null3"/>
        <w:ind w:firstLine="960"/>
      </w:pPr>
      <w:r>
        <w:rPr>
          <w:rFonts w:ascii="仿宋_GB2312" w:hAnsi="仿宋_GB2312" w:cs="仿宋_GB2312" w:eastAsia="仿宋_GB2312"/>
        </w:rPr>
        <w:t>详见附件：其他资料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