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237F90">
      <w:pPr>
        <w:pStyle w:val="8"/>
        <w:shd w:val="clear" w:color="auto" w:fill="auto"/>
        <w:spacing w:line="360" w:lineRule="auto"/>
        <w:jc w:val="center"/>
        <w:outlineLvl w:val="0"/>
        <w:rPr>
          <w:rFonts w:hint="eastAsia" w:ascii="宋体" w:hAnsi="宋体" w:cs="宋体"/>
          <w:b/>
          <w:bCs/>
          <w:color w:val="auto"/>
          <w:sz w:val="44"/>
          <w:szCs w:val="44"/>
          <w:highlight w:val="none"/>
          <w:lang w:val="zh-CN"/>
        </w:rPr>
      </w:pPr>
      <w:r>
        <w:rPr>
          <w:rFonts w:hint="eastAsia" w:ascii="宋体" w:hAnsi="宋体" w:cs="宋体"/>
          <w:b/>
          <w:bCs/>
          <w:color w:val="auto"/>
          <w:sz w:val="44"/>
          <w:szCs w:val="44"/>
          <w:highlight w:val="none"/>
          <w:lang w:val="zh-CN"/>
        </w:rPr>
        <w:t>拟签订的合同条款文本</w:t>
      </w:r>
    </w:p>
    <w:p w14:paraId="1D528F41">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u w:val="single"/>
          <w:lang w:val="en-US" w:eastAsia="zh-CN"/>
        </w:rPr>
      </w:pPr>
      <w:bookmarkStart w:id="0" w:name="_Hlk107229277"/>
      <w:r>
        <w:rPr>
          <w:rFonts w:hint="eastAsia" w:ascii="仿宋_GB2312" w:hAnsi="仿宋_GB2312" w:eastAsia="仿宋_GB2312" w:cs="仿宋_GB2312"/>
          <w:bCs/>
          <w:sz w:val="24"/>
          <w:szCs w:val="24"/>
          <w:highlight w:val="none"/>
        </w:rPr>
        <w:t>甲方（</w:t>
      </w:r>
      <w:r>
        <w:rPr>
          <w:rFonts w:hint="eastAsia" w:ascii="仿宋_GB2312" w:hAnsi="仿宋_GB2312" w:eastAsia="仿宋_GB2312" w:cs="仿宋_GB2312"/>
          <w:bCs/>
          <w:sz w:val="24"/>
          <w:szCs w:val="24"/>
          <w:highlight w:val="none"/>
          <w:lang w:eastAsia="zh-CN"/>
        </w:rPr>
        <w:t>采</w:t>
      </w:r>
      <w:r>
        <w:rPr>
          <w:rFonts w:hint="eastAsia" w:ascii="仿宋_GB2312" w:hAnsi="仿宋_GB2312" w:eastAsia="仿宋_GB2312" w:cs="仿宋_GB2312"/>
          <w:bCs/>
          <w:sz w:val="24"/>
          <w:szCs w:val="24"/>
          <w:highlight w:val="none"/>
          <w:lang w:val="en-US" w:eastAsia="zh-CN"/>
        </w:rPr>
        <w:t xml:space="preserve">  </w:t>
      </w:r>
      <w:r>
        <w:rPr>
          <w:rFonts w:hint="eastAsia" w:ascii="仿宋_GB2312" w:hAnsi="仿宋_GB2312" w:eastAsia="仿宋_GB2312" w:cs="仿宋_GB2312"/>
          <w:bCs/>
          <w:sz w:val="24"/>
          <w:szCs w:val="24"/>
          <w:highlight w:val="none"/>
          <w:lang w:eastAsia="zh-CN"/>
        </w:rPr>
        <w:t>购</w:t>
      </w:r>
      <w:r>
        <w:rPr>
          <w:rFonts w:hint="eastAsia" w:ascii="仿宋_GB2312" w:hAnsi="仿宋_GB2312" w:eastAsia="仿宋_GB2312" w:cs="仿宋_GB2312"/>
          <w:bCs/>
          <w:sz w:val="24"/>
          <w:szCs w:val="24"/>
          <w:highlight w:val="none"/>
          <w:lang w:val="en-US" w:eastAsia="zh-CN"/>
        </w:rPr>
        <w:t xml:space="preserve">  </w:t>
      </w:r>
      <w:r>
        <w:rPr>
          <w:rFonts w:hint="eastAsia" w:ascii="仿宋_GB2312" w:hAnsi="仿宋_GB2312" w:eastAsia="仿宋_GB2312" w:cs="仿宋_GB2312"/>
          <w:bCs/>
          <w:sz w:val="24"/>
          <w:szCs w:val="24"/>
          <w:highlight w:val="none"/>
          <w:lang w:eastAsia="zh-CN"/>
        </w:rPr>
        <w:t>人</w:t>
      </w:r>
      <w:r>
        <w:rPr>
          <w:rFonts w:hint="eastAsia" w:ascii="仿宋_GB2312" w:hAnsi="仿宋_GB2312" w:eastAsia="仿宋_GB2312" w:cs="仿宋_GB2312"/>
          <w:bCs/>
          <w:sz w:val="24"/>
          <w:szCs w:val="24"/>
          <w:highlight w:val="none"/>
        </w:rPr>
        <w:t>）：</w:t>
      </w:r>
      <w:r>
        <w:rPr>
          <w:rFonts w:hint="eastAsia" w:ascii="仿宋_GB2312" w:hAnsi="仿宋_GB2312" w:eastAsia="仿宋_GB2312" w:cs="仿宋_GB2312"/>
          <w:bCs/>
          <w:sz w:val="24"/>
          <w:szCs w:val="24"/>
          <w:highlight w:val="none"/>
          <w:u w:val="single"/>
          <w:lang w:val="en-US" w:eastAsia="zh-CN"/>
        </w:rPr>
        <w:t xml:space="preserve">                </w:t>
      </w:r>
    </w:p>
    <w:p w14:paraId="18E081C9">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u w:val="single"/>
          <w:lang w:val="en-US" w:eastAsia="zh-CN"/>
        </w:rPr>
      </w:pPr>
      <w:r>
        <w:rPr>
          <w:rFonts w:hint="eastAsia" w:ascii="仿宋_GB2312" w:hAnsi="仿宋_GB2312" w:eastAsia="仿宋_GB2312" w:cs="仿宋_GB2312"/>
          <w:bCs/>
          <w:sz w:val="24"/>
          <w:szCs w:val="24"/>
          <w:highlight w:val="none"/>
        </w:rPr>
        <w:t>乙方（</w:t>
      </w:r>
      <w:r>
        <w:rPr>
          <w:rFonts w:hint="eastAsia" w:ascii="仿宋_GB2312" w:hAnsi="仿宋_GB2312" w:eastAsia="仿宋_GB2312" w:cs="仿宋_GB2312"/>
          <w:bCs/>
          <w:sz w:val="24"/>
          <w:szCs w:val="24"/>
          <w:highlight w:val="none"/>
          <w:lang w:eastAsia="zh-CN"/>
        </w:rPr>
        <w:t>成交供应商</w:t>
      </w:r>
      <w:r>
        <w:rPr>
          <w:rFonts w:hint="eastAsia" w:ascii="仿宋_GB2312" w:hAnsi="仿宋_GB2312" w:eastAsia="仿宋_GB2312" w:cs="仿宋_GB2312"/>
          <w:bCs/>
          <w:sz w:val="24"/>
          <w:szCs w:val="24"/>
          <w:highlight w:val="none"/>
        </w:rPr>
        <w:t xml:space="preserve">）： </w:t>
      </w:r>
      <w:r>
        <w:rPr>
          <w:rFonts w:hint="eastAsia" w:ascii="仿宋_GB2312" w:hAnsi="仿宋_GB2312" w:eastAsia="仿宋_GB2312" w:cs="仿宋_GB2312"/>
          <w:bCs/>
          <w:sz w:val="24"/>
          <w:szCs w:val="24"/>
          <w:highlight w:val="none"/>
          <w:u w:val="single"/>
          <w:lang w:val="en-US" w:eastAsia="zh-CN"/>
        </w:rPr>
        <w:t xml:space="preserve">               </w:t>
      </w:r>
    </w:p>
    <w:p w14:paraId="74DEBB24">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color w:val="auto"/>
          <w:sz w:val="24"/>
          <w:szCs w:val="24"/>
          <w:highlight w:val="none"/>
          <w:u w:val="single"/>
        </w:rPr>
        <w:t>西安高新区管委会互联网宽带联通500M光纤接入服务项目(项目编号：SXHC2025-058)</w:t>
      </w:r>
      <w:r>
        <w:rPr>
          <w:rFonts w:hint="eastAsia" w:ascii="仿宋_GB2312" w:hAnsi="仿宋_GB2312" w:eastAsia="仿宋_GB2312" w:cs="仿宋_GB2312"/>
          <w:bCs/>
          <w:color w:val="auto"/>
          <w:sz w:val="24"/>
          <w:szCs w:val="24"/>
          <w:highlight w:val="none"/>
        </w:rPr>
        <w:t>，由陕西华采招标有限公司组织</w:t>
      </w:r>
      <w:r>
        <w:rPr>
          <w:rFonts w:hint="eastAsia" w:ascii="仿宋_GB2312" w:hAnsi="仿宋_GB2312" w:eastAsia="仿宋_GB2312" w:cs="仿宋_GB2312"/>
          <w:bCs/>
          <w:color w:val="auto"/>
          <w:sz w:val="24"/>
          <w:szCs w:val="24"/>
          <w:highlight w:val="none"/>
          <w:lang w:val="en-US" w:eastAsia="zh-CN"/>
        </w:rPr>
        <w:t>采购</w:t>
      </w:r>
      <w:r>
        <w:rPr>
          <w:rFonts w:hint="eastAsia" w:ascii="仿宋_GB2312" w:hAnsi="仿宋_GB2312" w:eastAsia="仿宋_GB2312" w:cs="仿宋_GB2312"/>
          <w:bCs/>
          <w:color w:val="auto"/>
          <w:sz w:val="24"/>
          <w:szCs w:val="24"/>
          <w:highlight w:val="none"/>
        </w:rPr>
        <w:t>，</w:t>
      </w:r>
      <w:r>
        <w:rPr>
          <w:rFonts w:hint="eastAsia" w:ascii="仿宋_GB2312" w:hAnsi="仿宋_GB2312" w:eastAsia="仿宋_GB2312" w:cs="仿宋_GB2312"/>
          <w:bCs/>
          <w:color w:val="auto"/>
          <w:sz w:val="24"/>
          <w:szCs w:val="24"/>
          <w:highlight w:val="none"/>
          <w:u w:val="single"/>
        </w:rPr>
        <w:t xml:space="preserve">               </w:t>
      </w:r>
      <w:r>
        <w:rPr>
          <w:rFonts w:hint="eastAsia" w:ascii="仿宋_GB2312" w:hAnsi="仿宋_GB2312" w:eastAsia="仿宋_GB2312" w:cs="仿宋_GB2312"/>
          <w:bCs/>
          <w:color w:val="auto"/>
          <w:sz w:val="24"/>
          <w:szCs w:val="24"/>
          <w:highlight w:val="none"/>
        </w:rPr>
        <w:t>(以下简称“甲方”)确定</w:t>
      </w:r>
      <w:r>
        <w:rPr>
          <w:rFonts w:hint="eastAsia" w:ascii="仿宋_GB2312" w:hAnsi="仿宋_GB2312" w:eastAsia="仿宋_GB2312" w:cs="仿宋_GB2312"/>
          <w:bCs/>
          <w:color w:val="auto"/>
          <w:sz w:val="24"/>
          <w:szCs w:val="24"/>
          <w:highlight w:val="none"/>
          <w:u w:val="single"/>
        </w:rPr>
        <w:t xml:space="preserve">          </w:t>
      </w:r>
      <w:r>
        <w:rPr>
          <w:rFonts w:hint="eastAsia" w:ascii="仿宋_GB2312" w:hAnsi="仿宋_GB2312" w:eastAsia="仿宋_GB2312" w:cs="仿宋_GB2312"/>
          <w:bCs/>
          <w:color w:val="auto"/>
          <w:sz w:val="24"/>
          <w:szCs w:val="24"/>
          <w:highlight w:val="none"/>
        </w:rPr>
        <w:t>（以下简称“乙方</w:t>
      </w:r>
      <w:r>
        <w:rPr>
          <w:rFonts w:hint="eastAsia" w:ascii="仿宋_GB2312" w:hAnsi="仿宋_GB2312" w:eastAsia="仿宋_GB2312" w:cs="仿宋_GB2312"/>
          <w:bCs/>
          <w:sz w:val="24"/>
          <w:szCs w:val="24"/>
          <w:highlight w:val="none"/>
        </w:rPr>
        <w:t>”）为该项目的</w:t>
      </w:r>
      <w:r>
        <w:rPr>
          <w:rFonts w:hint="eastAsia" w:ascii="仿宋_GB2312" w:hAnsi="仿宋_GB2312" w:eastAsia="仿宋_GB2312" w:cs="仿宋_GB2312"/>
          <w:bCs/>
          <w:sz w:val="24"/>
          <w:szCs w:val="24"/>
          <w:highlight w:val="none"/>
          <w:lang w:val="en-US" w:eastAsia="zh-CN"/>
        </w:rPr>
        <w:t>成交供应商</w:t>
      </w:r>
      <w:r>
        <w:rPr>
          <w:rFonts w:hint="eastAsia" w:ascii="仿宋_GB2312" w:hAnsi="仿宋_GB2312" w:eastAsia="仿宋_GB2312" w:cs="仿宋_GB2312"/>
          <w:bCs/>
          <w:sz w:val="24"/>
          <w:szCs w:val="24"/>
          <w:highlight w:val="none"/>
        </w:rPr>
        <w:t>。</w:t>
      </w:r>
    </w:p>
    <w:p w14:paraId="4C116B32">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依据《中华人民共和国</w:t>
      </w:r>
      <w:r>
        <w:rPr>
          <w:rFonts w:hint="eastAsia" w:ascii="仿宋_GB2312" w:hAnsi="仿宋_GB2312" w:eastAsia="仿宋_GB2312" w:cs="仿宋_GB2312"/>
          <w:bCs/>
          <w:sz w:val="24"/>
          <w:szCs w:val="24"/>
          <w:highlight w:val="none"/>
          <w:lang w:eastAsia="zh-CN"/>
        </w:rPr>
        <w:t>民法典</w:t>
      </w:r>
      <w:r>
        <w:rPr>
          <w:rFonts w:hint="eastAsia" w:ascii="仿宋_GB2312" w:hAnsi="仿宋_GB2312" w:eastAsia="仿宋_GB2312" w:cs="仿宋_GB2312"/>
          <w:bCs/>
          <w:sz w:val="24"/>
          <w:szCs w:val="24"/>
          <w:highlight w:val="none"/>
        </w:rPr>
        <w:t>》和《</w:t>
      </w:r>
      <w:r>
        <w:rPr>
          <w:rFonts w:hint="eastAsia" w:ascii="仿宋_GB2312" w:hAnsi="仿宋_GB2312" w:eastAsia="仿宋_GB2312" w:cs="仿宋_GB2312"/>
          <w:bCs/>
          <w:sz w:val="24"/>
          <w:szCs w:val="24"/>
        </w:rPr>
        <w:t>中华人民共和国政府采购法</w:t>
      </w:r>
      <w:r>
        <w:rPr>
          <w:rFonts w:hint="eastAsia" w:ascii="仿宋_GB2312" w:hAnsi="仿宋_GB2312" w:eastAsia="仿宋_GB2312" w:cs="仿宋_GB2312"/>
          <w:bCs/>
          <w:sz w:val="24"/>
          <w:szCs w:val="24"/>
          <w:highlight w:val="none"/>
        </w:rPr>
        <w:t>》之规定，经双方在平等、自愿、互利的基础上，签订本合同，共同信守。</w:t>
      </w:r>
    </w:p>
    <w:p w14:paraId="1C6EB8ED">
      <w:pPr>
        <w:autoSpaceDE w:val="0"/>
        <w:autoSpaceDN w:val="0"/>
        <w:adjustRightInd w:val="0"/>
        <w:spacing w:line="360" w:lineRule="auto"/>
        <w:ind w:firstLine="482" w:firstLineChars="200"/>
        <w:outlineLvl w:val="1"/>
        <w:rPr>
          <w:rFonts w:hint="eastAsia" w:ascii="仿宋_GB2312" w:hAnsi="仿宋_GB2312" w:eastAsia="仿宋_GB2312" w:cs="仿宋_GB2312"/>
          <w:b/>
          <w:sz w:val="24"/>
          <w:szCs w:val="24"/>
        </w:rPr>
      </w:pPr>
      <w:bookmarkStart w:id="1" w:name="_Toc11985"/>
      <w:r>
        <w:rPr>
          <w:rFonts w:hint="eastAsia" w:ascii="仿宋_GB2312" w:hAnsi="仿宋_GB2312" w:eastAsia="仿宋_GB2312" w:cs="仿宋_GB2312"/>
          <w:b/>
          <w:sz w:val="24"/>
          <w:szCs w:val="24"/>
        </w:rPr>
        <w:t>一、合同价款</w:t>
      </w:r>
      <w:bookmarkEnd w:id="1"/>
    </w:p>
    <w:p w14:paraId="796CC1B6">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（一）合同价款为人民币（大写）</w:t>
      </w:r>
      <w:r>
        <w:rPr>
          <w:rFonts w:hint="eastAsia" w:ascii="仿宋_GB2312" w:hAnsi="仿宋_GB2312" w:eastAsia="仿宋_GB2312" w:cs="仿宋_GB2312"/>
          <w:bCs/>
          <w:sz w:val="24"/>
          <w:szCs w:val="24"/>
          <w:u w:val="single"/>
        </w:rPr>
        <w:t xml:space="preserve">        </w:t>
      </w:r>
      <w:r>
        <w:rPr>
          <w:rFonts w:hint="eastAsia" w:ascii="仿宋_GB2312" w:hAnsi="仿宋_GB2312" w:eastAsia="仿宋_GB2312" w:cs="仿宋_GB2312"/>
          <w:bCs/>
          <w:sz w:val="24"/>
          <w:szCs w:val="24"/>
        </w:rPr>
        <w:t>（</w:t>
      </w:r>
      <w:r>
        <w:rPr>
          <w:rFonts w:hint="eastAsia" w:ascii="仿宋_GB2312" w:hAnsi="仿宋_GB2312" w:eastAsia="仿宋_GB2312" w:cs="仿宋_GB2312"/>
          <w:bCs/>
          <w:sz w:val="24"/>
          <w:szCs w:val="24"/>
          <w:lang w:val="en-US" w:eastAsia="zh-CN"/>
        </w:rPr>
        <w:t>¥</w:t>
      </w:r>
      <w:r>
        <w:rPr>
          <w:rFonts w:hint="eastAsia" w:ascii="仿宋_GB2312" w:hAnsi="仿宋_GB2312" w:eastAsia="仿宋_GB2312" w:cs="仿宋_GB2312"/>
          <w:bCs/>
          <w:sz w:val="24"/>
          <w:szCs w:val="24"/>
          <w:u w:val="single"/>
        </w:rPr>
        <w:t xml:space="preserve">     </w:t>
      </w:r>
      <w:r>
        <w:rPr>
          <w:rFonts w:hint="eastAsia" w:ascii="仿宋_GB2312" w:hAnsi="仿宋_GB2312" w:eastAsia="仿宋_GB2312" w:cs="仿宋_GB2312"/>
          <w:bCs/>
          <w:sz w:val="24"/>
          <w:szCs w:val="24"/>
        </w:rPr>
        <w:t>）。</w:t>
      </w:r>
    </w:p>
    <w:p w14:paraId="147E77CB">
      <w:pPr>
        <w:autoSpaceDE w:val="0"/>
        <w:autoSpaceDN w:val="0"/>
        <w:adjustRightIn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（二）合同价款</w:t>
      </w:r>
      <w:r>
        <w:rPr>
          <w:rFonts w:hint="eastAsia" w:ascii="仿宋_GB2312" w:hAnsi="仿宋_GB2312" w:eastAsia="仿宋_GB2312" w:cs="仿宋_GB2312"/>
          <w:sz w:val="24"/>
          <w:szCs w:val="24"/>
          <w:highlight w:val="none"/>
        </w:rPr>
        <w:t>是</w:t>
      </w:r>
      <w:r>
        <w:rPr>
          <w:rFonts w:hint="eastAsia" w:ascii="仿宋_GB2312" w:hAnsi="仿宋_GB2312" w:eastAsia="仿宋_GB2312" w:cs="仿宋_GB2312"/>
          <w:sz w:val="24"/>
          <w:szCs w:val="24"/>
          <w:highlight w:val="none"/>
          <w:lang w:val="zh-CN"/>
        </w:rPr>
        <w:t>乙方响应本次采购要求中全部工作内容的价格体现,</w:t>
      </w:r>
      <w:r>
        <w:rPr>
          <w:rFonts w:hint="eastAsia" w:ascii="仿宋_GB2312" w:hAnsi="仿宋_GB2312" w:eastAsia="仿宋_GB2312" w:cs="仿宋_GB2312"/>
          <w:sz w:val="24"/>
          <w:szCs w:val="24"/>
          <w:highlight w:val="none"/>
          <w:lang w:val="zh-CN" w:eastAsia="zh-CN"/>
        </w:rPr>
        <w:t>包括完成采购内容所需的直接费、间接费、利润、税金及其他相关的一切费用</w:t>
      </w:r>
      <w:r>
        <w:rPr>
          <w:rFonts w:hint="eastAsia" w:ascii="仿宋_GB2312" w:hAnsi="仿宋_GB2312" w:eastAsia="仿宋_GB2312" w:cs="仿宋_GB2312"/>
          <w:sz w:val="24"/>
          <w:szCs w:val="24"/>
          <w:highlight w:val="none"/>
          <w:lang w:val="zh-CN"/>
        </w:rPr>
        <w:t>。</w:t>
      </w:r>
    </w:p>
    <w:p w14:paraId="16EA8BCC">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（三）合同价款一次性包死，不受市场价格变化因素的影响。</w:t>
      </w:r>
    </w:p>
    <w:p w14:paraId="009ED3AC">
      <w:pPr>
        <w:autoSpaceDE w:val="0"/>
        <w:autoSpaceDN w:val="0"/>
        <w:adjustRightInd w:val="0"/>
        <w:snapToGrid w:val="0"/>
        <w:spacing w:line="360" w:lineRule="auto"/>
        <w:ind w:firstLine="482" w:firstLineChars="200"/>
        <w:rPr>
          <w:rFonts w:hint="eastAsia" w:ascii="仿宋_GB2312" w:hAnsi="仿宋_GB2312" w:eastAsia="仿宋_GB2312" w:cs="仿宋_GB2312"/>
          <w:b/>
          <w:sz w:val="24"/>
          <w:szCs w:val="24"/>
          <w:u w:val="single"/>
          <w:lang w:val="en-US" w:eastAsia="zh-CN"/>
        </w:rPr>
      </w:pPr>
      <w:r>
        <w:rPr>
          <w:rFonts w:hint="eastAsia" w:ascii="仿宋_GB2312" w:hAnsi="仿宋_GB2312" w:eastAsia="仿宋_GB2312" w:cs="仿宋_GB2312"/>
          <w:b/>
          <w:sz w:val="24"/>
          <w:szCs w:val="24"/>
        </w:rPr>
        <w:t>二、委托工作内容</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u w:val="single"/>
          <w:lang w:val="en-US" w:eastAsia="zh-CN"/>
        </w:rPr>
        <w:t xml:space="preserve">                   </w:t>
      </w:r>
    </w:p>
    <w:p w14:paraId="3F95BC2B">
      <w:pPr>
        <w:autoSpaceDE w:val="0"/>
        <w:autoSpaceDN w:val="0"/>
        <w:adjustRightInd w:val="0"/>
        <w:spacing w:line="360" w:lineRule="auto"/>
        <w:ind w:firstLine="482" w:firstLineChars="20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三、款项结算</w:t>
      </w:r>
    </w:p>
    <w:p w14:paraId="1DEFFB42">
      <w:pPr>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（一）付款方式：合同签订后 ，完成合同约定的所有工作，并经采购人验收合格，达到付款条件</w:t>
      </w:r>
      <w:r>
        <w:rPr>
          <w:rFonts w:hint="eastAsia" w:ascii="仿宋_GB2312" w:hAnsi="仿宋_GB2312" w:eastAsia="仿宋_GB2312" w:cs="仿宋_GB2312"/>
          <w:bCs/>
          <w:sz w:val="24"/>
          <w:szCs w:val="24"/>
          <w:highlight w:val="none"/>
          <w:lang w:val="en-US" w:eastAsia="zh-CN"/>
        </w:rPr>
        <w:t>15日内</w:t>
      </w:r>
      <w:r>
        <w:rPr>
          <w:rFonts w:hint="eastAsia" w:ascii="仿宋_GB2312" w:hAnsi="仿宋_GB2312" w:eastAsia="仿宋_GB2312" w:cs="仿宋_GB2312"/>
          <w:bCs/>
          <w:sz w:val="24"/>
          <w:szCs w:val="24"/>
          <w:highlight w:val="none"/>
          <w:lang w:eastAsia="zh-CN"/>
        </w:rPr>
        <w:t>，每季度</w:t>
      </w:r>
      <w:r>
        <w:rPr>
          <w:rFonts w:hint="eastAsia" w:ascii="仿宋_GB2312" w:hAnsi="仿宋_GB2312" w:eastAsia="仿宋_GB2312" w:cs="仿宋_GB2312"/>
          <w:bCs/>
          <w:sz w:val="24"/>
          <w:szCs w:val="24"/>
          <w:highlight w:val="none"/>
        </w:rPr>
        <w:t xml:space="preserve">支付合同总金额的 </w:t>
      </w:r>
      <w:r>
        <w:rPr>
          <w:rFonts w:hint="eastAsia" w:ascii="仿宋_GB2312" w:hAnsi="仿宋_GB2312" w:eastAsia="仿宋_GB2312" w:cs="仿宋_GB2312"/>
          <w:bCs/>
          <w:sz w:val="24"/>
          <w:szCs w:val="24"/>
          <w:highlight w:val="none"/>
          <w:lang w:val="en-US" w:eastAsia="zh-CN"/>
        </w:rPr>
        <w:t>25</w:t>
      </w:r>
      <w:r>
        <w:rPr>
          <w:rFonts w:hint="eastAsia" w:ascii="仿宋_GB2312" w:hAnsi="仿宋_GB2312" w:eastAsia="仿宋_GB2312" w:cs="仿宋_GB2312"/>
          <w:bCs/>
          <w:sz w:val="24"/>
          <w:szCs w:val="24"/>
          <w:highlight w:val="none"/>
        </w:rPr>
        <w:t>.00%</w:t>
      </w:r>
      <w:r>
        <w:rPr>
          <w:rFonts w:hint="eastAsia" w:ascii="仿宋_GB2312" w:hAnsi="仿宋_GB2312" w:eastAsia="仿宋_GB2312" w:cs="仿宋_GB2312"/>
          <w:bCs/>
          <w:sz w:val="24"/>
          <w:szCs w:val="24"/>
          <w:highlight w:val="none"/>
          <w:lang w:eastAsia="zh-CN"/>
        </w:rPr>
        <w:t>，分四次支付合同</w:t>
      </w:r>
      <w:r>
        <w:rPr>
          <w:rFonts w:hint="eastAsia" w:ascii="仿宋_GB2312" w:hAnsi="仿宋_GB2312" w:eastAsia="仿宋_GB2312" w:cs="仿宋_GB2312"/>
          <w:bCs/>
          <w:sz w:val="24"/>
          <w:szCs w:val="24"/>
          <w:highlight w:val="none"/>
          <w:lang w:val="en-US" w:eastAsia="zh-CN"/>
        </w:rPr>
        <w:t>价</w:t>
      </w:r>
      <w:r>
        <w:rPr>
          <w:rFonts w:hint="eastAsia" w:ascii="仿宋_GB2312" w:hAnsi="仿宋_GB2312" w:eastAsia="仿宋_GB2312" w:cs="仿宋_GB2312"/>
          <w:bCs/>
          <w:sz w:val="24"/>
          <w:szCs w:val="24"/>
          <w:highlight w:val="none"/>
          <w:lang w:eastAsia="zh-CN"/>
        </w:rPr>
        <w:t>款</w:t>
      </w:r>
      <w:r>
        <w:rPr>
          <w:rFonts w:hint="eastAsia" w:ascii="仿宋_GB2312" w:hAnsi="仿宋_GB2312" w:eastAsia="仿宋_GB2312" w:cs="仿宋_GB2312"/>
          <w:bCs/>
          <w:sz w:val="24"/>
          <w:szCs w:val="24"/>
          <w:highlight w:val="none"/>
        </w:rPr>
        <w:t>。</w:t>
      </w:r>
    </w:p>
    <w:p w14:paraId="66E807AC">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（二）结算方式：银行转账。</w:t>
      </w:r>
    </w:p>
    <w:p w14:paraId="67C9531B">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（三）结算单位：由甲方负责结算，乙方在每次接受付款前开具等额发票给</w:t>
      </w:r>
      <w:r>
        <w:rPr>
          <w:rFonts w:hint="eastAsia" w:ascii="仿宋_GB2312" w:hAnsi="仿宋_GB2312" w:eastAsia="仿宋_GB2312" w:cs="仿宋_GB2312"/>
          <w:bCs/>
          <w:sz w:val="24"/>
          <w:szCs w:val="24"/>
          <w:lang w:val="en-US" w:eastAsia="zh-CN"/>
        </w:rPr>
        <w:t>甲方</w:t>
      </w:r>
      <w:r>
        <w:rPr>
          <w:rFonts w:hint="eastAsia" w:ascii="仿宋_GB2312" w:hAnsi="仿宋_GB2312" w:eastAsia="仿宋_GB2312" w:cs="仿宋_GB2312"/>
          <w:bCs/>
          <w:sz w:val="24"/>
          <w:szCs w:val="24"/>
        </w:rPr>
        <w:t>。</w:t>
      </w:r>
    </w:p>
    <w:p w14:paraId="01556164">
      <w:pPr>
        <w:autoSpaceDE w:val="0"/>
        <w:autoSpaceDN w:val="0"/>
        <w:adjustRightInd w:val="0"/>
        <w:spacing w:line="360" w:lineRule="auto"/>
        <w:ind w:firstLine="645"/>
        <w:outlineLvl w:val="1"/>
        <w:rPr>
          <w:rFonts w:hint="eastAsia" w:ascii="仿宋_GB2312" w:hAnsi="仿宋_GB2312" w:eastAsia="仿宋_GB2312" w:cs="仿宋_GB2312"/>
          <w:b/>
          <w:sz w:val="24"/>
          <w:szCs w:val="24"/>
        </w:rPr>
      </w:pPr>
      <w:bookmarkStart w:id="2" w:name="_Toc32064"/>
      <w:r>
        <w:rPr>
          <w:rFonts w:hint="eastAsia" w:ascii="仿宋_GB2312" w:hAnsi="仿宋_GB2312" w:eastAsia="仿宋_GB2312" w:cs="仿宋_GB2312"/>
          <w:b/>
          <w:sz w:val="24"/>
          <w:szCs w:val="24"/>
        </w:rPr>
        <w:t>四、服务地点及</w:t>
      </w:r>
      <w:bookmarkEnd w:id="2"/>
      <w:r>
        <w:rPr>
          <w:rFonts w:hint="eastAsia" w:ascii="仿宋_GB2312" w:hAnsi="仿宋_GB2312" w:eastAsia="仿宋_GB2312" w:cs="仿宋_GB2312"/>
          <w:b/>
          <w:sz w:val="24"/>
          <w:szCs w:val="24"/>
        </w:rPr>
        <w:t>服务期限</w:t>
      </w:r>
    </w:p>
    <w:p w14:paraId="46B68AB8">
      <w:pPr>
        <w:autoSpaceDE w:val="0"/>
        <w:autoSpaceDN w:val="0"/>
        <w:adjustRightIn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rPr>
        <w:t>（一）服务地点：</w:t>
      </w:r>
      <w:r>
        <w:rPr>
          <w:rFonts w:hint="eastAsia" w:ascii="仿宋_GB2312" w:hAnsi="仿宋_GB2312" w:eastAsia="仿宋_GB2312" w:cs="仿宋_GB2312"/>
          <w:bCs/>
          <w:color w:val="auto"/>
          <w:sz w:val="24"/>
          <w:szCs w:val="24"/>
          <w:highlight w:val="none"/>
        </w:rPr>
        <w:t>西安高新区，具体以采购人指定地点为准。</w:t>
      </w:r>
    </w:p>
    <w:p w14:paraId="5A95F8F6">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color w:val="auto"/>
          <w:sz w:val="24"/>
          <w:szCs w:val="24"/>
        </w:rPr>
        <w:t>（</w:t>
      </w:r>
      <w:r>
        <w:rPr>
          <w:rFonts w:hint="eastAsia" w:ascii="仿宋_GB2312" w:hAnsi="仿宋_GB2312" w:eastAsia="仿宋_GB2312" w:cs="仿宋_GB2312"/>
          <w:bCs/>
          <w:color w:val="auto"/>
          <w:sz w:val="24"/>
          <w:szCs w:val="24"/>
          <w:lang w:val="en-US" w:eastAsia="zh-CN"/>
        </w:rPr>
        <w:t>二</w:t>
      </w:r>
      <w:r>
        <w:rPr>
          <w:rFonts w:hint="eastAsia" w:ascii="仿宋_GB2312" w:hAnsi="仿宋_GB2312" w:eastAsia="仿宋_GB2312" w:cs="仿宋_GB2312"/>
          <w:bCs/>
          <w:color w:val="auto"/>
          <w:sz w:val="24"/>
          <w:szCs w:val="24"/>
        </w:rPr>
        <w:t>）服务期</w:t>
      </w:r>
      <w:r>
        <w:rPr>
          <w:rFonts w:hint="eastAsia" w:ascii="仿宋_GB2312" w:hAnsi="仿宋_GB2312" w:eastAsia="仿宋_GB2312" w:cs="仿宋_GB2312"/>
          <w:bCs/>
          <w:color w:val="auto"/>
          <w:sz w:val="24"/>
          <w:szCs w:val="24"/>
          <w:lang w:val="en-US" w:eastAsia="zh-CN"/>
        </w:rPr>
        <w:t>限</w:t>
      </w:r>
      <w:r>
        <w:rPr>
          <w:rFonts w:hint="eastAsia" w:ascii="仿宋_GB2312" w:hAnsi="仿宋_GB2312" w:eastAsia="仿宋_GB2312" w:cs="仿宋_GB2312"/>
          <w:bCs/>
          <w:color w:val="auto"/>
          <w:sz w:val="24"/>
          <w:szCs w:val="24"/>
        </w:rPr>
        <w:t>：三年，合同一年一签。供应商所提供的服务质量经采购人考核后 ，在采购内容不变、采购预算有保障、服务价格不变或降低的情况下，采购人可根据《政府购买服务管理办法》(财政部令第102号)文件的规定嫉签下年合同</w:t>
      </w:r>
      <w:r>
        <w:rPr>
          <w:rFonts w:hint="eastAsia" w:ascii="仿宋_GB2312" w:hAnsi="仿宋_GB2312" w:eastAsia="仿宋_GB2312" w:cs="仿宋_GB2312"/>
          <w:bCs/>
          <w:sz w:val="24"/>
          <w:szCs w:val="24"/>
        </w:rPr>
        <w:t xml:space="preserve">。 </w:t>
      </w:r>
    </w:p>
    <w:p w14:paraId="11833EF4">
      <w:pPr>
        <w:autoSpaceDE w:val="0"/>
        <w:autoSpaceDN w:val="0"/>
        <w:adjustRightInd w:val="0"/>
        <w:spacing w:line="360" w:lineRule="auto"/>
        <w:ind w:firstLine="482" w:firstLineChars="200"/>
        <w:outlineLvl w:val="1"/>
        <w:rPr>
          <w:rFonts w:hint="eastAsia" w:ascii="仿宋_GB2312" w:hAnsi="仿宋_GB2312" w:eastAsia="仿宋_GB2312" w:cs="仿宋_GB2312"/>
          <w:b/>
          <w:sz w:val="24"/>
          <w:szCs w:val="24"/>
        </w:rPr>
      </w:pPr>
      <w:bookmarkStart w:id="3" w:name="_Toc6938"/>
      <w:r>
        <w:rPr>
          <w:rFonts w:hint="eastAsia" w:ascii="仿宋_GB2312" w:hAnsi="仿宋_GB2312" w:eastAsia="仿宋_GB2312" w:cs="仿宋_GB2312"/>
          <w:b/>
          <w:sz w:val="24"/>
          <w:szCs w:val="24"/>
        </w:rPr>
        <w:t>五、双方的权利和义务</w:t>
      </w:r>
      <w:bookmarkEnd w:id="3"/>
    </w:p>
    <w:p w14:paraId="77FDEFAD">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（一）甲方的权利与义务</w:t>
      </w:r>
    </w:p>
    <w:p w14:paraId="0D88D3B6">
      <w:pPr>
        <w:autoSpaceDE w:val="0"/>
        <w:autoSpaceDN w:val="0"/>
        <w:adjustRightIn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rPr>
        <w:t>1、甲方负</w:t>
      </w:r>
      <w:r>
        <w:rPr>
          <w:rFonts w:hint="eastAsia" w:ascii="仿宋_GB2312" w:hAnsi="仿宋_GB2312" w:eastAsia="仿宋_GB2312" w:cs="仿宋_GB2312"/>
          <w:bCs/>
          <w:sz w:val="24"/>
          <w:szCs w:val="24"/>
          <w:highlight w:val="none"/>
        </w:rPr>
        <w:t>责配合本次项目服务工作；</w:t>
      </w:r>
    </w:p>
    <w:p w14:paraId="422C87A5">
      <w:pPr>
        <w:autoSpaceDE w:val="0"/>
        <w:autoSpaceDN w:val="0"/>
        <w:adjustRightIn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2、甲方应按本合同的约定向乙方支付合同价款；</w:t>
      </w:r>
    </w:p>
    <w:p w14:paraId="0996664D">
      <w:pPr>
        <w:snapToGri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3、甲方根据需要对乙方提供的</w:t>
      </w:r>
      <w:r>
        <w:rPr>
          <w:rFonts w:hint="eastAsia" w:ascii="仿宋_GB2312" w:hAnsi="仿宋_GB2312" w:eastAsia="仿宋_GB2312" w:cs="仿宋_GB2312"/>
          <w:bCs/>
          <w:sz w:val="24"/>
          <w:szCs w:val="24"/>
          <w:highlight w:val="none"/>
          <w:lang w:eastAsia="zh-CN"/>
        </w:rPr>
        <w:t>服务</w:t>
      </w:r>
      <w:r>
        <w:rPr>
          <w:rFonts w:hint="eastAsia" w:ascii="仿宋_GB2312" w:hAnsi="仿宋_GB2312" w:eastAsia="仿宋_GB2312" w:cs="仿宋_GB2312"/>
          <w:bCs/>
          <w:sz w:val="24"/>
          <w:szCs w:val="24"/>
          <w:highlight w:val="none"/>
        </w:rPr>
        <w:t>方案进行审核，提供建议及意见，确定最终实施的服务方案，以便乙方遵照执行；</w:t>
      </w:r>
    </w:p>
    <w:p w14:paraId="3E50CAAF">
      <w:pPr>
        <w:autoSpaceDE w:val="0"/>
        <w:autoSpaceDN w:val="0"/>
        <w:adjustRightIn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4、甲方有权对乙方的工作进行监督和考核。</w:t>
      </w:r>
    </w:p>
    <w:p w14:paraId="525EF64F">
      <w:pPr>
        <w:autoSpaceDE w:val="0"/>
        <w:autoSpaceDN w:val="0"/>
        <w:adjustRightIn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（二）乙方的权利与义务</w:t>
      </w:r>
    </w:p>
    <w:p w14:paraId="0CAA929F">
      <w:pPr>
        <w:autoSpaceDE w:val="0"/>
        <w:autoSpaceDN w:val="0"/>
        <w:adjustRightIn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1、乙方的工作人员必须严格遵守甲方的规章制度，以良好的形象和积极的工作态度，按甲方要求开展工作；</w:t>
      </w:r>
    </w:p>
    <w:p w14:paraId="38A9D254">
      <w:pPr>
        <w:autoSpaceDE w:val="0"/>
        <w:autoSpaceDN w:val="0"/>
        <w:adjustRightIn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2、乙方应服从甲方统筹管理并按流程开展工作；</w:t>
      </w:r>
    </w:p>
    <w:p w14:paraId="33AE18BA">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highlight w:val="none"/>
        </w:rPr>
        <w:t>3、乙方保证安排的相关人员需按照指定时间到达指定地点进行服务，乙方在</w:t>
      </w:r>
      <w:r>
        <w:rPr>
          <w:rFonts w:hint="eastAsia" w:ascii="仿宋_GB2312" w:hAnsi="仿宋_GB2312" w:eastAsia="仿宋_GB2312" w:cs="仿宋_GB2312"/>
          <w:bCs/>
          <w:sz w:val="24"/>
          <w:szCs w:val="24"/>
          <w:highlight w:val="none"/>
          <w:lang w:eastAsia="zh-CN"/>
        </w:rPr>
        <w:t>工作时间</w:t>
      </w:r>
      <w:r>
        <w:rPr>
          <w:rFonts w:hint="eastAsia" w:ascii="仿宋_GB2312" w:hAnsi="仿宋_GB2312" w:eastAsia="仿宋_GB2312" w:cs="仿宋_GB2312"/>
          <w:bCs/>
          <w:sz w:val="24"/>
          <w:szCs w:val="24"/>
          <w:highlight w:val="none"/>
        </w:rPr>
        <w:t>内不得</w:t>
      </w:r>
      <w:r>
        <w:rPr>
          <w:rFonts w:hint="eastAsia" w:ascii="仿宋_GB2312" w:hAnsi="仿宋_GB2312" w:eastAsia="仿宋_GB2312" w:cs="仿宋_GB2312"/>
          <w:bCs/>
          <w:sz w:val="24"/>
          <w:szCs w:val="24"/>
        </w:rPr>
        <w:t>迟到早退，如有特殊情况，必须事先通知并征得甲方同意；</w:t>
      </w:r>
    </w:p>
    <w:p w14:paraId="44C36A96">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4、乙方提交的方案等应得到甲方确认再予以实施；</w:t>
      </w:r>
    </w:p>
    <w:p w14:paraId="7A02FE83">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5、乙方在服务期间发布的任何涉及有关甲方的相关信息，需经甲方确认无误后方可发布；</w:t>
      </w:r>
    </w:p>
    <w:p w14:paraId="2DF6B7D4">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6、乙方负责解决所需</w:t>
      </w:r>
      <w:r>
        <w:rPr>
          <w:rFonts w:hint="eastAsia" w:ascii="仿宋_GB2312" w:hAnsi="仿宋_GB2312" w:eastAsia="仿宋_GB2312" w:cs="仿宋_GB2312"/>
          <w:bCs/>
          <w:sz w:val="24"/>
          <w:szCs w:val="24"/>
          <w:highlight w:val="none"/>
        </w:rPr>
        <w:t>要的工作条件及相应的工作配合，如场地的使用、水电提供、乙方工作人员出入</w:t>
      </w:r>
      <w:r>
        <w:rPr>
          <w:rFonts w:hint="eastAsia" w:ascii="仿宋_GB2312" w:hAnsi="仿宋_GB2312" w:eastAsia="仿宋_GB2312" w:cs="仿宋_GB2312"/>
          <w:bCs/>
          <w:sz w:val="24"/>
          <w:szCs w:val="24"/>
          <w:highlight w:val="none"/>
          <w:lang w:eastAsia="zh-CN"/>
        </w:rPr>
        <w:t>等相关</w:t>
      </w:r>
      <w:r>
        <w:rPr>
          <w:rFonts w:hint="eastAsia" w:ascii="仿宋_GB2312" w:hAnsi="仿宋_GB2312" w:eastAsia="仿宋_GB2312" w:cs="仿宋_GB2312"/>
          <w:bCs/>
          <w:sz w:val="24"/>
          <w:szCs w:val="24"/>
          <w:highlight w:val="none"/>
        </w:rPr>
        <w:t>事宜，甲方</w:t>
      </w:r>
      <w:r>
        <w:rPr>
          <w:rFonts w:hint="eastAsia" w:ascii="仿宋_GB2312" w:hAnsi="仿宋_GB2312" w:eastAsia="仿宋_GB2312" w:cs="仿宋_GB2312"/>
          <w:bCs/>
          <w:sz w:val="24"/>
          <w:szCs w:val="24"/>
        </w:rPr>
        <w:t>有义务提供必要的便利条件。</w:t>
      </w:r>
    </w:p>
    <w:p w14:paraId="6D13B16D">
      <w:pPr>
        <w:autoSpaceDE w:val="0"/>
        <w:autoSpaceDN w:val="0"/>
        <w:adjustRightInd w:val="0"/>
        <w:spacing w:line="360" w:lineRule="auto"/>
        <w:ind w:firstLine="480" w:firstLineChars="200"/>
        <w:outlineLvl w:val="1"/>
        <w:rPr>
          <w:rFonts w:hint="default"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7、开发完成后，乙方为甲方提供为期一年的免费运维服务。</w:t>
      </w:r>
    </w:p>
    <w:p w14:paraId="46E3A462">
      <w:pPr>
        <w:autoSpaceDE w:val="0"/>
        <w:autoSpaceDN w:val="0"/>
        <w:adjustRightInd w:val="0"/>
        <w:spacing w:line="360" w:lineRule="auto"/>
        <w:ind w:firstLine="482" w:firstLineChars="200"/>
        <w:outlineLvl w:val="1"/>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六、服务质量保证</w:t>
      </w:r>
    </w:p>
    <w:p w14:paraId="2FFBD7F1">
      <w:pPr>
        <w:autoSpaceDE w:val="0"/>
        <w:autoSpaceDN w:val="0"/>
        <w:adjustRightInd w:val="0"/>
        <w:spacing w:line="360" w:lineRule="auto"/>
        <w:ind w:firstLine="480" w:firstLineChars="200"/>
        <w:rPr>
          <w:rFonts w:hint="eastAsia" w:ascii="仿宋_GB2312" w:hAnsi="仿宋_GB2312" w:eastAsia="仿宋_GB2312" w:cs="仿宋_GB2312"/>
          <w:bCs/>
          <w:sz w:val="24"/>
          <w:szCs w:val="24"/>
          <w:highlight w:val="none"/>
          <w:lang w:eastAsia="zh-CN"/>
        </w:rPr>
      </w:pPr>
      <w:r>
        <w:rPr>
          <w:rFonts w:hint="eastAsia" w:ascii="仿宋_GB2312" w:hAnsi="仿宋_GB2312" w:eastAsia="仿宋_GB2312" w:cs="仿宋_GB2312"/>
          <w:bCs/>
          <w:sz w:val="24"/>
          <w:szCs w:val="24"/>
          <w:highlight w:val="none"/>
        </w:rPr>
        <w:t>（一）乙方需建立高效的管理团队，项目团队组成合理</w:t>
      </w:r>
      <w:r>
        <w:rPr>
          <w:rFonts w:hint="eastAsia" w:ascii="仿宋_GB2312" w:hAnsi="仿宋_GB2312" w:eastAsia="仿宋_GB2312" w:cs="仿宋_GB2312"/>
          <w:bCs/>
          <w:sz w:val="24"/>
          <w:szCs w:val="24"/>
          <w:highlight w:val="none"/>
          <w:lang w:eastAsia="zh-CN"/>
        </w:rPr>
        <w:t>。</w:t>
      </w:r>
    </w:p>
    <w:p w14:paraId="05082511">
      <w:pPr>
        <w:autoSpaceDE w:val="0"/>
        <w:autoSpaceDN w:val="0"/>
        <w:adjustRightIn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lang w:eastAsia="zh-CN"/>
        </w:rPr>
        <w:t>（二）</w:t>
      </w:r>
      <w:r>
        <w:rPr>
          <w:rFonts w:hint="eastAsia" w:ascii="仿宋_GB2312" w:hAnsi="仿宋_GB2312" w:eastAsia="仿宋_GB2312" w:cs="仿宋_GB2312"/>
          <w:bCs/>
          <w:sz w:val="24"/>
          <w:szCs w:val="24"/>
          <w:highlight w:val="none"/>
        </w:rPr>
        <w:t>乙方需派一名项目</w:t>
      </w:r>
      <w:r>
        <w:rPr>
          <w:rFonts w:hint="eastAsia" w:ascii="仿宋_GB2312" w:hAnsi="仿宋_GB2312" w:eastAsia="仿宋_GB2312" w:cs="仿宋_GB2312"/>
          <w:bCs/>
          <w:sz w:val="24"/>
          <w:szCs w:val="24"/>
          <w:highlight w:val="none"/>
          <w:lang w:eastAsia="zh-CN"/>
        </w:rPr>
        <w:t>负责人</w:t>
      </w:r>
      <w:r>
        <w:rPr>
          <w:rFonts w:hint="eastAsia" w:ascii="仿宋_GB2312" w:hAnsi="仿宋_GB2312" w:eastAsia="仿宋_GB2312" w:cs="仿宋_GB2312"/>
          <w:bCs/>
          <w:sz w:val="24"/>
          <w:szCs w:val="24"/>
          <w:highlight w:val="none"/>
        </w:rPr>
        <w:t>，直接与甲方沟通，项目经理接收甲方提出的问题与要求，并及时反馈给工作组，解决在项目实施过程中遇到的问题。</w:t>
      </w:r>
    </w:p>
    <w:p w14:paraId="0BD0C35F">
      <w:pPr>
        <w:autoSpaceDE w:val="0"/>
        <w:autoSpaceDN w:val="0"/>
        <w:adjustRightIn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（三）项目在实施过程中会出现不可预料的需求变更，乙方需积极配合甲方的需求变更，并按照变更后的需求继续实施。</w:t>
      </w:r>
    </w:p>
    <w:p w14:paraId="5EEDED3F">
      <w:pPr>
        <w:autoSpaceDE w:val="0"/>
        <w:autoSpaceDN w:val="0"/>
        <w:adjustRightIn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（四）乙方需设有详细的技术资料档案和服务档案以便于更好地提供服务，</w:t>
      </w:r>
      <w:r>
        <w:rPr>
          <w:rFonts w:hint="eastAsia" w:ascii="仿宋_GB2312" w:hAnsi="仿宋_GB2312" w:eastAsia="仿宋_GB2312" w:cs="仿宋_GB2312"/>
          <w:bCs/>
          <w:sz w:val="24"/>
          <w:szCs w:val="24"/>
          <w:highlight w:val="none"/>
          <w:lang w:eastAsia="zh-CN"/>
        </w:rPr>
        <w:t>项目结束后乙方须向甲方</w:t>
      </w:r>
      <w:r>
        <w:rPr>
          <w:rFonts w:hint="eastAsia" w:ascii="仿宋_GB2312" w:hAnsi="仿宋_GB2312" w:eastAsia="仿宋_GB2312" w:cs="仿宋_GB2312"/>
          <w:bCs/>
          <w:sz w:val="24"/>
          <w:szCs w:val="24"/>
          <w:highlight w:val="none"/>
        </w:rPr>
        <w:t>提交所有实施方案流程及说明文档。</w:t>
      </w:r>
    </w:p>
    <w:p w14:paraId="3C369B2A">
      <w:pPr>
        <w:spacing w:line="360" w:lineRule="auto"/>
        <w:ind w:firstLine="482" w:firstLineChars="200"/>
        <w:outlineLvl w:val="1"/>
        <w:rPr>
          <w:rFonts w:hint="eastAsia" w:ascii="仿宋_GB2312" w:hAnsi="仿宋_GB2312" w:eastAsia="仿宋_GB2312" w:cs="仿宋_GB2312"/>
          <w:b/>
          <w:sz w:val="24"/>
          <w:szCs w:val="24"/>
        </w:rPr>
      </w:pPr>
      <w:bookmarkStart w:id="4" w:name="_Toc25596"/>
      <w:r>
        <w:rPr>
          <w:rFonts w:hint="eastAsia" w:ascii="仿宋_GB2312" w:hAnsi="仿宋_GB2312" w:eastAsia="仿宋_GB2312" w:cs="仿宋_GB2312"/>
          <w:b/>
          <w:sz w:val="24"/>
          <w:szCs w:val="24"/>
        </w:rPr>
        <w:t>七、知识产权</w:t>
      </w:r>
      <w:bookmarkEnd w:id="4"/>
    </w:p>
    <w:p w14:paraId="0EF18A6B">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（一）本项目知识产权归甲方所有。</w:t>
      </w:r>
    </w:p>
    <w:p w14:paraId="52E3421D">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（二）乙方无论出于任何目的如在其他地方使用该成果，必须经甲方同意方可使用。否则，贵甲方有权要求终止涉及到该中标知识产权的任何使用活动并保留追究卖方相应的法律责任的权利。 </w:t>
      </w:r>
    </w:p>
    <w:p w14:paraId="5E8D7266">
      <w:pPr>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（三）乙方为执行本合同而提供的技术资料使用权归甲方所有。</w:t>
      </w:r>
    </w:p>
    <w:p w14:paraId="71A9757C">
      <w:pPr>
        <w:spacing w:line="360" w:lineRule="auto"/>
        <w:ind w:firstLine="482" w:firstLineChars="200"/>
        <w:outlineLvl w:val="1"/>
        <w:rPr>
          <w:rFonts w:hint="eastAsia" w:ascii="仿宋_GB2312" w:hAnsi="仿宋_GB2312" w:eastAsia="仿宋_GB2312" w:cs="仿宋_GB2312"/>
          <w:b/>
          <w:sz w:val="24"/>
          <w:szCs w:val="24"/>
        </w:rPr>
      </w:pPr>
      <w:bookmarkStart w:id="5" w:name="_Toc29783"/>
      <w:r>
        <w:rPr>
          <w:rFonts w:hint="eastAsia" w:ascii="仿宋_GB2312" w:hAnsi="仿宋_GB2312" w:eastAsia="仿宋_GB2312" w:cs="仿宋_GB2312"/>
          <w:b/>
          <w:sz w:val="24"/>
          <w:szCs w:val="24"/>
        </w:rPr>
        <w:t>八、保密规定</w:t>
      </w:r>
      <w:bookmarkEnd w:id="5"/>
    </w:p>
    <w:p w14:paraId="5E034FD2">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7240DA08">
      <w:pPr>
        <w:snapToGrid w:val="0"/>
        <w:spacing w:line="360" w:lineRule="auto"/>
        <w:ind w:firstLine="482" w:firstLineChars="200"/>
        <w:outlineLvl w:val="1"/>
        <w:rPr>
          <w:rFonts w:hint="eastAsia" w:ascii="仿宋_GB2312" w:hAnsi="仿宋_GB2312" w:eastAsia="仿宋_GB2312" w:cs="仿宋_GB2312"/>
          <w:b/>
          <w:sz w:val="24"/>
          <w:szCs w:val="24"/>
        </w:rPr>
      </w:pPr>
      <w:bookmarkStart w:id="6" w:name="_Toc29009"/>
      <w:r>
        <w:rPr>
          <w:rFonts w:hint="eastAsia" w:ascii="仿宋_GB2312" w:hAnsi="仿宋_GB2312" w:eastAsia="仿宋_GB2312" w:cs="仿宋_GB2312"/>
          <w:b/>
          <w:sz w:val="24"/>
          <w:szCs w:val="24"/>
        </w:rPr>
        <w:t>九、其他事项</w:t>
      </w:r>
      <w:bookmarkEnd w:id="6"/>
    </w:p>
    <w:p w14:paraId="4C75704D">
      <w:pPr>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（一）乙方不得转让、分包给其它单位或个人。</w:t>
      </w:r>
    </w:p>
    <w:p w14:paraId="436393CB">
      <w:pPr>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（二）乙方的</w:t>
      </w:r>
      <w:r>
        <w:rPr>
          <w:rFonts w:hint="eastAsia" w:ascii="仿宋_GB2312" w:hAnsi="仿宋_GB2312" w:eastAsia="仿宋_GB2312" w:cs="仿宋_GB2312"/>
          <w:sz w:val="24"/>
          <w:szCs w:val="24"/>
          <w:lang w:eastAsia="zh-CN"/>
        </w:rPr>
        <w:t>响应</w:t>
      </w:r>
      <w:r>
        <w:rPr>
          <w:rFonts w:hint="eastAsia" w:ascii="仿宋_GB2312" w:hAnsi="仿宋_GB2312" w:eastAsia="仿宋_GB2312" w:cs="仿宋_GB2312"/>
          <w:sz w:val="24"/>
          <w:szCs w:val="24"/>
        </w:rPr>
        <w:t>文件和承诺等内容将列入合同。</w:t>
      </w:r>
    </w:p>
    <w:p w14:paraId="4BC7EFCE">
      <w:pPr>
        <w:snapToGrid w:val="0"/>
        <w:spacing w:line="360" w:lineRule="auto"/>
        <w:ind w:firstLine="482" w:firstLineChars="200"/>
        <w:outlineLvl w:val="1"/>
        <w:rPr>
          <w:rFonts w:hint="eastAsia" w:ascii="仿宋_GB2312" w:hAnsi="仿宋_GB2312" w:eastAsia="仿宋_GB2312" w:cs="仿宋_GB2312"/>
          <w:b/>
          <w:sz w:val="24"/>
          <w:szCs w:val="24"/>
        </w:rPr>
      </w:pPr>
      <w:bookmarkStart w:id="7" w:name="_Toc22962"/>
      <w:r>
        <w:rPr>
          <w:rFonts w:hint="eastAsia" w:ascii="仿宋_GB2312" w:hAnsi="仿宋_GB2312" w:eastAsia="仿宋_GB2312" w:cs="仿宋_GB2312"/>
          <w:b/>
          <w:sz w:val="24"/>
          <w:szCs w:val="24"/>
        </w:rPr>
        <w:t>十、验收</w:t>
      </w:r>
      <w:bookmarkEnd w:id="7"/>
    </w:p>
    <w:p w14:paraId="19A459B2">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（一）本项目验收费用，由乙方自行承担。</w:t>
      </w:r>
    </w:p>
    <w:p w14:paraId="79C2E7B9">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（二）服务期满后，由乙方向甲方递交验收通知书，经甲方确认后，组织乙方进行系统验收（必要时</w:t>
      </w:r>
      <w:r>
        <w:rPr>
          <w:rFonts w:hint="eastAsia" w:ascii="仿宋_GB2312" w:hAnsi="仿宋_GB2312" w:eastAsia="仿宋_GB2312" w:cs="仿宋_GB2312"/>
          <w:bCs/>
          <w:sz w:val="24"/>
          <w:szCs w:val="24"/>
          <w:highlight w:val="none"/>
          <w:lang w:eastAsia="zh-CN"/>
        </w:rPr>
        <w:t>甲方</w:t>
      </w:r>
      <w:r>
        <w:rPr>
          <w:rFonts w:hint="eastAsia" w:ascii="仿宋_GB2312" w:hAnsi="仿宋_GB2312" w:eastAsia="仿宋_GB2312" w:cs="仿宋_GB2312"/>
          <w:bCs/>
          <w:sz w:val="24"/>
          <w:szCs w:val="24"/>
          <w:highlight w:val="none"/>
        </w:rPr>
        <w:t>可委托具有相关资质的第三方检测机构/技术专家对本次服务进行系统验收，需要国家法定检验部门进行检验或验收的由乙方负责联系）。验收合格后，填写项目验收单作为对本次服务的最终认可。</w:t>
      </w:r>
    </w:p>
    <w:p w14:paraId="46F5E748">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（三）验收依据：</w:t>
      </w:r>
    </w:p>
    <w:p w14:paraId="0EEC2E16">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1、本合同及附加文本；</w:t>
      </w:r>
    </w:p>
    <w:p w14:paraId="1001DDDB">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2、</w:t>
      </w:r>
      <w:bookmarkStart w:id="10" w:name="_GoBack"/>
      <w:bookmarkEnd w:id="10"/>
      <w:r>
        <w:rPr>
          <w:rFonts w:hint="eastAsia" w:ascii="仿宋_GB2312" w:hAnsi="仿宋_GB2312" w:eastAsia="仿宋_GB2312" w:cs="仿宋_GB2312"/>
          <w:bCs/>
          <w:sz w:val="24"/>
          <w:szCs w:val="24"/>
          <w:highlight w:val="none"/>
          <w:lang w:eastAsia="zh-CN"/>
        </w:rPr>
        <w:t>单一来源采购文件</w:t>
      </w:r>
      <w:r>
        <w:rPr>
          <w:rFonts w:hint="eastAsia" w:ascii="仿宋_GB2312" w:hAnsi="仿宋_GB2312" w:eastAsia="仿宋_GB2312" w:cs="仿宋_GB2312"/>
          <w:bCs/>
          <w:sz w:val="24"/>
          <w:szCs w:val="24"/>
          <w:highlight w:val="none"/>
        </w:rPr>
        <w:t>、</w:t>
      </w:r>
      <w:r>
        <w:rPr>
          <w:rFonts w:hint="eastAsia" w:ascii="仿宋_GB2312" w:hAnsi="仿宋_GB2312" w:eastAsia="仿宋_GB2312" w:cs="仿宋_GB2312"/>
          <w:bCs/>
          <w:sz w:val="24"/>
          <w:szCs w:val="24"/>
          <w:highlight w:val="none"/>
          <w:lang w:val="en-US" w:eastAsia="zh-CN"/>
        </w:rPr>
        <w:t>成交供应商</w:t>
      </w:r>
      <w:r>
        <w:rPr>
          <w:rFonts w:hint="eastAsia" w:ascii="仿宋_GB2312" w:hAnsi="仿宋_GB2312" w:eastAsia="仿宋_GB2312" w:cs="仿宋_GB2312"/>
          <w:bCs/>
          <w:sz w:val="24"/>
          <w:szCs w:val="24"/>
          <w:highlight w:val="none"/>
        </w:rPr>
        <w:t>的</w:t>
      </w:r>
      <w:r>
        <w:rPr>
          <w:rFonts w:hint="eastAsia" w:ascii="仿宋_GB2312" w:hAnsi="仿宋_GB2312" w:eastAsia="仿宋_GB2312" w:cs="仿宋_GB2312"/>
          <w:bCs/>
          <w:sz w:val="24"/>
          <w:szCs w:val="24"/>
          <w:highlight w:val="none"/>
          <w:lang w:val="en-US" w:eastAsia="zh-CN"/>
        </w:rPr>
        <w:t>响应</w:t>
      </w:r>
      <w:r>
        <w:rPr>
          <w:rFonts w:hint="eastAsia" w:ascii="仿宋_GB2312" w:hAnsi="仿宋_GB2312" w:eastAsia="仿宋_GB2312" w:cs="仿宋_GB2312"/>
          <w:bCs/>
          <w:sz w:val="24"/>
          <w:szCs w:val="24"/>
          <w:highlight w:val="none"/>
        </w:rPr>
        <w:t>文件及澄清（承诺）函；</w:t>
      </w:r>
    </w:p>
    <w:p w14:paraId="53020197">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3、国家相应的标准、规范。</w:t>
      </w:r>
    </w:p>
    <w:p w14:paraId="5E263F94">
      <w:pPr>
        <w:autoSpaceDE w:val="0"/>
        <w:autoSpaceDN w:val="0"/>
        <w:adjustRightInd w:val="0"/>
        <w:spacing w:line="360" w:lineRule="auto"/>
        <w:ind w:firstLine="482" w:firstLineChars="200"/>
        <w:outlineLvl w:val="1"/>
        <w:rPr>
          <w:rFonts w:hint="eastAsia" w:ascii="仿宋_GB2312" w:hAnsi="仿宋_GB2312" w:eastAsia="仿宋_GB2312" w:cs="仿宋_GB2312"/>
          <w:b/>
          <w:sz w:val="24"/>
          <w:szCs w:val="24"/>
        </w:rPr>
      </w:pPr>
      <w:bookmarkStart w:id="8" w:name="_Toc1622"/>
      <w:r>
        <w:rPr>
          <w:rFonts w:hint="eastAsia" w:ascii="仿宋_GB2312" w:hAnsi="仿宋_GB2312" w:eastAsia="仿宋_GB2312" w:cs="仿宋_GB2312"/>
          <w:b/>
          <w:sz w:val="24"/>
          <w:szCs w:val="24"/>
        </w:rPr>
        <w:t>十一、违约责任</w:t>
      </w:r>
      <w:bookmarkEnd w:id="8"/>
    </w:p>
    <w:p w14:paraId="151A5BEC">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（一）按《中华人民共和国</w:t>
      </w:r>
      <w:r>
        <w:rPr>
          <w:rFonts w:hint="eastAsia" w:ascii="仿宋_GB2312" w:hAnsi="仿宋_GB2312" w:eastAsia="仿宋_GB2312" w:cs="仿宋_GB2312"/>
          <w:bCs/>
          <w:sz w:val="24"/>
          <w:szCs w:val="24"/>
          <w:lang w:eastAsia="zh-CN"/>
        </w:rPr>
        <w:t>民法典</w:t>
      </w:r>
      <w:r>
        <w:rPr>
          <w:rFonts w:hint="eastAsia" w:ascii="仿宋_GB2312" w:hAnsi="仿宋_GB2312" w:eastAsia="仿宋_GB2312" w:cs="仿宋_GB2312"/>
          <w:bCs/>
          <w:sz w:val="24"/>
          <w:szCs w:val="24"/>
        </w:rPr>
        <w:t>》中的相关条款执行。</w:t>
      </w:r>
    </w:p>
    <w:p w14:paraId="02F63506">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（二）未按合同要求提供服务或服务质量不能满足本次招标要求，甲方会同监督机构、采购代理机构有权终止合同和对乙方违约行为进行追究，同时按政府采购法的有关规定进行相应的处罚。</w:t>
      </w:r>
    </w:p>
    <w:p w14:paraId="0E4E8681">
      <w:pPr>
        <w:autoSpaceDE w:val="0"/>
        <w:autoSpaceDN w:val="0"/>
        <w:adjustRightInd w:val="0"/>
        <w:spacing w:line="360" w:lineRule="auto"/>
        <w:ind w:firstLine="482" w:firstLineChars="200"/>
        <w:outlineLvl w:val="1"/>
        <w:rPr>
          <w:rFonts w:hint="eastAsia" w:ascii="仿宋_GB2312" w:hAnsi="仿宋_GB2312" w:eastAsia="仿宋_GB2312" w:cs="仿宋_GB2312"/>
          <w:b/>
          <w:sz w:val="24"/>
          <w:szCs w:val="24"/>
        </w:rPr>
      </w:pPr>
      <w:bookmarkStart w:id="9" w:name="_Toc1025"/>
      <w:r>
        <w:rPr>
          <w:rFonts w:hint="eastAsia" w:ascii="仿宋_GB2312" w:hAnsi="仿宋_GB2312" w:eastAsia="仿宋_GB2312" w:cs="仿宋_GB2312"/>
          <w:b/>
          <w:sz w:val="24"/>
          <w:szCs w:val="24"/>
        </w:rPr>
        <w:t>十二、合同争议解决的方式</w:t>
      </w:r>
      <w:bookmarkEnd w:id="9"/>
    </w:p>
    <w:p w14:paraId="23C80A86">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（一）本合同须经甲、乙双方的法定代表人（授权代表）在合同书上签字并加盖本单位公章后正式生效。</w:t>
      </w:r>
    </w:p>
    <w:p w14:paraId="0B8EC684">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（二）合同生效后，甲、乙双方须严格执行本合同条款的规定，全面履行合同，违者按《中华人民共和国</w:t>
      </w:r>
      <w:r>
        <w:rPr>
          <w:rFonts w:hint="eastAsia" w:ascii="仿宋_GB2312" w:hAnsi="仿宋_GB2312" w:eastAsia="仿宋_GB2312" w:cs="仿宋_GB2312"/>
          <w:bCs/>
          <w:sz w:val="24"/>
          <w:szCs w:val="24"/>
          <w:lang w:eastAsia="zh-CN"/>
        </w:rPr>
        <w:t>民法典</w:t>
      </w:r>
      <w:r>
        <w:rPr>
          <w:rFonts w:hint="eastAsia" w:ascii="仿宋_GB2312" w:hAnsi="仿宋_GB2312" w:eastAsia="仿宋_GB2312" w:cs="仿宋_GB2312"/>
          <w:bCs/>
          <w:sz w:val="24"/>
          <w:szCs w:val="24"/>
        </w:rPr>
        <w:t>》的有关规定承担相应责任。</w:t>
      </w:r>
    </w:p>
    <w:p w14:paraId="0D9C61F6">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（三）本合同一式</w:t>
      </w:r>
      <w:r>
        <w:rPr>
          <w:rFonts w:hint="eastAsia" w:ascii="仿宋_GB2312" w:hAnsi="仿宋_GB2312" w:eastAsia="仿宋_GB2312" w:cs="仿宋_GB2312"/>
          <w:bCs/>
          <w:sz w:val="24"/>
          <w:szCs w:val="24"/>
          <w:u w:val="single"/>
        </w:rPr>
        <w:t xml:space="preserve">   </w:t>
      </w:r>
      <w:r>
        <w:rPr>
          <w:rFonts w:hint="eastAsia" w:ascii="仿宋_GB2312" w:hAnsi="仿宋_GB2312" w:eastAsia="仿宋_GB2312" w:cs="仿宋_GB2312"/>
          <w:bCs/>
          <w:sz w:val="24"/>
          <w:szCs w:val="24"/>
        </w:rPr>
        <w:t>份，甲乙双方各执</w:t>
      </w:r>
      <w:r>
        <w:rPr>
          <w:rFonts w:hint="eastAsia" w:ascii="仿宋_GB2312" w:hAnsi="仿宋_GB2312" w:eastAsia="仿宋_GB2312" w:cs="仿宋_GB2312"/>
          <w:bCs/>
          <w:sz w:val="24"/>
          <w:szCs w:val="24"/>
          <w:u w:val="single"/>
        </w:rPr>
        <w:t xml:space="preserve">    </w:t>
      </w:r>
      <w:r>
        <w:rPr>
          <w:rFonts w:hint="eastAsia" w:ascii="仿宋_GB2312" w:hAnsi="仿宋_GB2312" w:eastAsia="仿宋_GB2312" w:cs="仿宋_GB2312"/>
          <w:bCs/>
          <w:sz w:val="24"/>
          <w:szCs w:val="24"/>
        </w:rPr>
        <w:t>份。</w:t>
      </w:r>
    </w:p>
    <w:p w14:paraId="73734A06">
      <w:pPr>
        <w:autoSpaceDE w:val="0"/>
        <w:autoSpaceDN w:val="0"/>
        <w:adjustRightIn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bCs/>
          <w:sz w:val="24"/>
          <w:szCs w:val="24"/>
        </w:rPr>
        <w:t>（四）本合同如有未尽事宜，甲、乙双方协商解决。</w:t>
      </w:r>
    </w:p>
    <w:p w14:paraId="521B3975">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rPr>
      </w:pPr>
    </w:p>
    <w:p w14:paraId="03B67D01">
      <w:pPr>
        <w:pStyle w:val="7"/>
        <w:rPr>
          <w:rFonts w:hint="eastAsia" w:ascii="仿宋_GB2312" w:hAnsi="仿宋_GB2312" w:eastAsia="仿宋_GB2312" w:cs="仿宋_GB2312"/>
          <w:sz w:val="24"/>
          <w:szCs w:val="24"/>
        </w:rPr>
      </w:pPr>
    </w:p>
    <w:tbl>
      <w:tblPr>
        <w:tblStyle w:val="9"/>
        <w:tblW w:w="840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1"/>
        <w:gridCol w:w="4202"/>
      </w:tblGrid>
      <w:tr w14:paraId="74DB2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201" w:type="dxa"/>
            <w:vAlign w:val="center"/>
          </w:tcPr>
          <w:p w14:paraId="6317D1CE">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甲  方</w:t>
            </w:r>
          </w:p>
        </w:tc>
        <w:tc>
          <w:tcPr>
            <w:tcW w:w="4202" w:type="dxa"/>
            <w:vAlign w:val="center"/>
          </w:tcPr>
          <w:p w14:paraId="4875204E">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乙  方</w:t>
            </w:r>
          </w:p>
        </w:tc>
      </w:tr>
      <w:tr w14:paraId="26084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201" w:type="dxa"/>
            <w:vAlign w:val="center"/>
          </w:tcPr>
          <w:p w14:paraId="4E4A3489">
            <w:pPr>
              <w:autoSpaceDE w:val="0"/>
              <w:autoSpaceDN w:val="0"/>
              <w:adjustRightInd w:val="0"/>
              <w:ind w:firstLine="700" w:firstLineChars="35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（盖章）</w:t>
            </w:r>
          </w:p>
        </w:tc>
        <w:tc>
          <w:tcPr>
            <w:tcW w:w="4202" w:type="dxa"/>
            <w:vAlign w:val="center"/>
          </w:tcPr>
          <w:p w14:paraId="3A2DA32B">
            <w:pPr>
              <w:autoSpaceDE w:val="0"/>
              <w:autoSpaceDN w:val="0"/>
              <w:adjustRightInd w:val="0"/>
              <w:ind w:firstLine="800" w:firstLineChars="40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（盖章）</w:t>
            </w:r>
          </w:p>
        </w:tc>
      </w:tr>
      <w:tr w14:paraId="66689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201" w:type="dxa"/>
            <w:vAlign w:val="center"/>
          </w:tcPr>
          <w:p w14:paraId="08516206">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 xml:space="preserve">地址： </w:t>
            </w:r>
          </w:p>
        </w:tc>
        <w:tc>
          <w:tcPr>
            <w:tcW w:w="4202" w:type="dxa"/>
            <w:vAlign w:val="center"/>
          </w:tcPr>
          <w:p w14:paraId="0F1EE348">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地址：</w:t>
            </w:r>
          </w:p>
        </w:tc>
      </w:tr>
      <w:tr w14:paraId="11FE6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201" w:type="dxa"/>
            <w:vAlign w:val="center"/>
          </w:tcPr>
          <w:p w14:paraId="5D9C5918">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 xml:space="preserve">法定代表人 </w:t>
            </w:r>
          </w:p>
        </w:tc>
        <w:tc>
          <w:tcPr>
            <w:tcW w:w="4202" w:type="dxa"/>
            <w:vAlign w:val="center"/>
          </w:tcPr>
          <w:p w14:paraId="6EE333EB">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法定代表人</w:t>
            </w:r>
          </w:p>
        </w:tc>
      </w:tr>
      <w:tr w14:paraId="613CB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201" w:type="dxa"/>
            <w:vAlign w:val="center"/>
          </w:tcPr>
          <w:p w14:paraId="3737E352">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lang w:eastAsia="zh-CN"/>
              </w:rPr>
              <w:t>或</w:t>
            </w:r>
            <w:r>
              <w:rPr>
                <w:rFonts w:hint="eastAsia" w:ascii="仿宋_GB2312" w:hAnsi="仿宋_GB2312" w:eastAsia="仿宋_GB2312" w:cs="仿宋_GB2312"/>
                <w:spacing w:val="-20"/>
                <w:kern w:val="0"/>
                <w:sz w:val="24"/>
                <w:szCs w:val="24"/>
              </w:rPr>
              <w:t>授权代表：</w:t>
            </w:r>
          </w:p>
        </w:tc>
        <w:tc>
          <w:tcPr>
            <w:tcW w:w="4202" w:type="dxa"/>
            <w:vAlign w:val="center"/>
          </w:tcPr>
          <w:p w14:paraId="49516A9C">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lang w:eastAsia="zh-CN"/>
              </w:rPr>
              <w:t>或</w:t>
            </w:r>
            <w:r>
              <w:rPr>
                <w:rFonts w:hint="eastAsia" w:ascii="仿宋_GB2312" w:hAnsi="仿宋_GB2312" w:eastAsia="仿宋_GB2312" w:cs="仿宋_GB2312"/>
                <w:spacing w:val="-20"/>
                <w:kern w:val="0"/>
                <w:sz w:val="24"/>
                <w:szCs w:val="24"/>
              </w:rPr>
              <w:t>授权代表：</w:t>
            </w:r>
          </w:p>
        </w:tc>
      </w:tr>
      <w:tr w14:paraId="1BB95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201" w:type="dxa"/>
            <w:vAlign w:val="center"/>
          </w:tcPr>
          <w:p w14:paraId="3BF94E09">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电话：</w:t>
            </w:r>
          </w:p>
        </w:tc>
        <w:tc>
          <w:tcPr>
            <w:tcW w:w="4202" w:type="dxa"/>
            <w:vAlign w:val="center"/>
          </w:tcPr>
          <w:p w14:paraId="5A17D009">
            <w:pPr>
              <w:autoSpaceDE w:val="0"/>
              <w:autoSpaceDN w:val="0"/>
              <w:adjustRightInd w:val="0"/>
              <w:ind w:left="840" w:hanging="600" w:hangingChars="30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电话：</w:t>
            </w:r>
          </w:p>
        </w:tc>
      </w:tr>
      <w:tr w14:paraId="14E1D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201" w:type="dxa"/>
            <w:vAlign w:val="center"/>
          </w:tcPr>
          <w:p w14:paraId="2C7C6156">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传真：</w:t>
            </w:r>
          </w:p>
        </w:tc>
        <w:tc>
          <w:tcPr>
            <w:tcW w:w="4202" w:type="dxa"/>
            <w:vAlign w:val="center"/>
          </w:tcPr>
          <w:p w14:paraId="15AD4B76">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传真：</w:t>
            </w:r>
          </w:p>
        </w:tc>
      </w:tr>
      <w:tr w14:paraId="00A16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201" w:type="dxa"/>
            <w:vAlign w:val="center"/>
          </w:tcPr>
          <w:p w14:paraId="4E38A196">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开户银行：</w:t>
            </w:r>
          </w:p>
        </w:tc>
        <w:tc>
          <w:tcPr>
            <w:tcW w:w="4202" w:type="dxa"/>
            <w:vAlign w:val="center"/>
          </w:tcPr>
          <w:p w14:paraId="26ED4175">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开户银行：</w:t>
            </w:r>
          </w:p>
        </w:tc>
      </w:tr>
      <w:tr w14:paraId="1B491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201" w:type="dxa"/>
            <w:vAlign w:val="center"/>
          </w:tcPr>
          <w:p w14:paraId="38517961">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日期：</w:t>
            </w:r>
          </w:p>
        </w:tc>
        <w:tc>
          <w:tcPr>
            <w:tcW w:w="4202" w:type="dxa"/>
            <w:vAlign w:val="center"/>
          </w:tcPr>
          <w:p w14:paraId="39AC59A9">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日期：</w:t>
            </w:r>
          </w:p>
        </w:tc>
      </w:tr>
      <w:bookmarkEnd w:id="0"/>
    </w:tbl>
    <w:p w14:paraId="449B2A69">
      <w:pPr>
        <w:pStyle w:val="14"/>
      </w:pPr>
    </w:p>
    <w:p w14:paraId="2141F321">
      <w:pPr>
        <w:pStyle w:val="14"/>
        <w:rPr>
          <w:rFonts w:hint="eastAsia"/>
          <w:lang w:val="en-US"/>
        </w:rPr>
      </w:pPr>
    </w:p>
    <w:p w14:paraId="45FA6ED2"/>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34048"/>
    <w:rsid w:val="050471D5"/>
    <w:rsid w:val="053C7039"/>
    <w:rsid w:val="05711A44"/>
    <w:rsid w:val="07055153"/>
    <w:rsid w:val="07F933E3"/>
    <w:rsid w:val="09CF2980"/>
    <w:rsid w:val="09D0533B"/>
    <w:rsid w:val="0B6F77E5"/>
    <w:rsid w:val="0BE77DA2"/>
    <w:rsid w:val="0EBD6707"/>
    <w:rsid w:val="117A2513"/>
    <w:rsid w:val="13FE0526"/>
    <w:rsid w:val="16B34D21"/>
    <w:rsid w:val="181C3FA3"/>
    <w:rsid w:val="18EF18DD"/>
    <w:rsid w:val="19235D7C"/>
    <w:rsid w:val="1D0F27B4"/>
    <w:rsid w:val="1F5A6197"/>
    <w:rsid w:val="23C949D6"/>
    <w:rsid w:val="26396924"/>
    <w:rsid w:val="26E13E53"/>
    <w:rsid w:val="27D868FE"/>
    <w:rsid w:val="283D6944"/>
    <w:rsid w:val="297558AC"/>
    <w:rsid w:val="2CB4781B"/>
    <w:rsid w:val="2D901664"/>
    <w:rsid w:val="32441A19"/>
    <w:rsid w:val="333A6108"/>
    <w:rsid w:val="34391CBC"/>
    <w:rsid w:val="34880D18"/>
    <w:rsid w:val="34E06B1D"/>
    <w:rsid w:val="34FD51B3"/>
    <w:rsid w:val="37B13F46"/>
    <w:rsid w:val="385935CD"/>
    <w:rsid w:val="3A6F7E2D"/>
    <w:rsid w:val="3ABB227F"/>
    <w:rsid w:val="3C31041F"/>
    <w:rsid w:val="3D1928D1"/>
    <w:rsid w:val="3F41226C"/>
    <w:rsid w:val="41271A71"/>
    <w:rsid w:val="41B01609"/>
    <w:rsid w:val="427D3EB0"/>
    <w:rsid w:val="4A3C512E"/>
    <w:rsid w:val="4BE156B5"/>
    <w:rsid w:val="4EE80B08"/>
    <w:rsid w:val="50742555"/>
    <w:rsid w:val="530774AF"/>
    <w:rsid w:val="55A52421"/>
    <w:rsid w:val="579A3366"/>
    <w:rsid w:val="59502521"/>
    <w:rsid w:val="5B0842C5"/>
    <w:rsid w:val="5C036210"/>
    <w:rsid w:val="5CD53D97"/>
    <w:rsid w:val="5EAE573F"/>
    <w:rsid w:val="5F171848"/>
    <w:rsid w:val="615B30D9"/>
    <w:rsid w:val="615C33BC"/>
    <w:rsid w:val="636D3049"/>
    <w:rsid w:val="693A7F09"/>
    <w:rsid w:val="6A894E1B"/>
    <w:rsid w:val="6AF272E7"/>
    <w:rsid w:val="6B861DFC"/>
    <w:rsid w:val="6C136138"/>
    <w:rsid w:val="6C414997"/>
    <w:rsid w:val="6C5C1EDC"/>
    <w:rsid w:val="6E5824A9"/>
    <w:rsid w:val="70DA5D7D"/>
    <w:rsid w:val="72E3010A"/>
    <w:rsid w:val="738B22F5"/>
    <w:rsid w:val="75153B55"/>
    <w:rsid w:val="7540409A"/>
    <w:rsid w:val="75FC26D7"/>
    <w:rsid w:val="78A417BB"/>
    <w:rsid w:val="7B7D3A13"/>
    <w:rsid w:val="7CCE6984"/>
    <w:rsid w:val="7D393C95"/>
    <w:rsid w:val="7D6D78F8"/>
    <w:rsid w:val="7DF2584A"/>
    <w:rsid w:val="7E7D6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link w:val="12"/>
    <w:autoRedefine/>
    <w:qFormat/>
    <w:uiPriority w:val="0"/>
    <w:pPr>
      <w:keepNext/>
      <w:adjustRightInd w:val="0"/>
      <w:snapToGrid w:val="0"/>
      <w:spacing w:line="700" w:lineRule="exact"/>
      <w:jc w:val="center"/>
      <w:outlineLvl w:val="0"/>
    </w:pPr>
    <w:rPr>
      <w:rFonts w:ascii="黑体" w:hAnsi="黑体" w:cs="Times New Roman"/>
      <w:b/>
      <w:sz w:val="36"/>
      <w:szCs w:val="24"/>
    </w:rPr>
  </w:style>
  <w:style w:type="paragraph" w:styleId="3">
    <w:name w:val="heading 2"/>
    <w:basedOn w:val="1"/>
    <w:next w:val="1"/>
    <w:link w:val="11"/>
    <w:semiHidden/>
    <w:unhideWhenUsed/>
    <w:qFormat/>
    <w:uiPriority w:val="0"/>
    <w:pPr>
      <w:keepNext/>
      <w:adjustRightInd w:val="0"/>
      <w:snapToGrid w:val="0"/>
      <w:spacing w:line="360" w:lineRule="auto"/>
      <w:outlineLvl w:val="1"/>
    </w:pPr>
    <w:rPr>
      <w:rFonts w:ascii="黑体" w:hAnsi="黑体" w:cs="Times New Roman"/>
      <w:b/>
      <w:sz w:val="32"/>
      <w:szCs w:val="24"/>
    </w:rPr>
  </w:style>
  <w:style w:type="paragraph" w:styleId="4">
    <w:name w:val="heading 3"/>
    <w:basedOn w:val="1"/>
    <w:next w:val="1"/>
    <w:link w:val="13"/>
    <w:semiHidden/>
    <w:unhideWhenUsed/>
    <w:qFormat/>
    <w:uiPriority w:val="0"/>
    <w:pPr>
      <w:keepNext/>
      <w:keepLines/>
      <w:adjustRightInd w:val="0"/>
      <w:snapToGrid w:val="0"/>
      <w:spacing w:beforeLines="0" w:beforeAutospacing="0" w:afterLines="0" w:afterAutospacing="0" w:line="360" w:lineRule="auto"/>
      <w:outlineLvl w:val="2"/>
    </w:pPr>
    <w:rPr>
      <w:rFonts w:ascii="Calibri" w:hAnsi="Calibri" w:cs="Times New Roman"/>
      <w:b/>
      <w:sz w:val="30"/>
      <w:szCs w:val="24"/>
    </w:rPr>
  </w:style>
  <w:style w:type="paragraph" w:styleId="5">
    <w:name w:val="heading 4"/>
    <w:basedOn w:val="1"/>
    <w:next w:val="1"/>
    <w:semiHidden/>
    <w:unhideWhenUsed/>
    <w:qFormat/>
    <w:uiPriority w:val="0"/>
    <w:pPr>
      <w:keepNext/>
      <w:keepLines/>
      <w:adjustRightInd w:val="0"/>
      <w:snapToGrid w:val="0"/>
      <w:spacing w:beforeLines="0" w:beforeAutospacing="0" w:afterLines="0" w:afterAutospacing="0" w:line="300" w:lineRule="auto"/>
      <w:outlineLvl w:val="3"/>
    </w:pPr>
    <w:rPr>
      <w:rFonts w:ascii="Arial" w:hAnsi="Arial" w:cs="Times New Roman"/>
      <w:b/>
      <w:sz w:val="30"/>
      <w:szCs w:val="24"/>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ind w:firstLine="420" w:firstLineChars="200"/>
    </w:pPr>
  </w:style>
  <w:style w:type="paragraph" w:styleId="7">
    <w:name w:val="Body Text"/>
    <w:basedOn w:val="1"/>
    <w:autoRedefine/>
    <w:qFormat/>
    <w:uiPriority w:val="0"/>
    <w:pPr>
      <w:spacing w:after="120" w:afterLines="0" w:afterAutospacing="0"/>
    </w:pPr>
  </w:style>
  <w:style w:type="paragraph" w:styleId="8">
    <w:name w:val="footer"/>
    <w:basedOn w:val="1"/>
    <w:qFormat/>
    <w:uiPriority w:val="99"/>
    <w:pPr>
      <w:tabs>
        <w:tab w:val="center" w:pos="4153"/>
        <w:tab w:val="right" w:pos="8306"/>
      </w:tabs>
      <w:snapToGrid w:val="0"/>
      <w:jc w:val="left"/>
    </w:pPr>
    <w:rPr>
      <w:sz w:val="18"/>
      <w:szCs w:val="18"/>
    </w:rPr>
  </w:style>
  <w:style w:type="character" w:customStyle="1" w:styleId="11">
    <w:name w:val="标题 2 Char"/>
    <w:link w:val="3"/>
    <w:autoRedefine/>
    <w:qFormat/>
    <w:uiPriority w:val="0"/>
    <w:rPr>
      <w:rFonts w:ascii="Arial" w:hAnsi="Arial" w:eastAsia="仿宋_GB2312" w:cs="Times New Roman"/>
      <w:b/>
      <w:snapToGrid w:val="0"/>
      <w:color w:val="000000"/>
      <w:kern w:val="0"/>
      <w:sz w:val="36"/>
      <w:szCs w:val="24"/>
      <w:lang w:eastAsia="en-US"/>
    </w:rPr>
  </w:style>
  <w:style w:type="character" w:customStyle="1" w:styleId="12">
    <w:name w:val="标题 1 Char"/>
    <w:link w:val="2"/>
    <w:autoRedefine/>
    <w:qFormat/>
    <w:uiPriority w:val="0"/>
    <w:rPr>
      <w:rFonts w:ascii="宋体" w:hAnsi="宋体" w:eastAsia="仿宋_GB2312" w:cs="Times New Roman"/>
      <w:b/>
      <w:bCs/>
      <w:snapToGrid w:val="0"/>
      <w:color w:val="000000"/>
      <w:spacing w:val="-4"/>
      <w:kern w:val="44"/>
      <w:sz w:val="44"/>
      <w:szCs w:val="24"/>
      <w:lang w:val="en-US" w:eastAsia="en-US" w:bidi="ar-SA"/>
    </w:rPr>
  </w:style>
  <w:style w:type="character" w:customStyle="1" w:styleId="13">
    <w:name w:val="标题 3 Char"/>
    <w:link w:val="4"/>
    <w:qFormat/>
    <w:uiPriority w:val="0"/>
    <w:rPr>
      <w:rFonts w:ascii="Calibri" w:hAnsi="Calibri" w:eastAsia="仿宋_GB2312" w:cs="Times New Roman"/>
      <w:b/>
      <w:bCs/>
      <w:sz w:val="32"/>
      <w:szCs w:val="24"/>
    </w:rPr>
  </w:style>
  <w:style w:type="paragraph" w:customStyle="1" w:styleId="14">
    <w:name w:val="null3"/>
    <w:hidden/>
    <w:qFormat/>
    <w:uiPriority w:val="0"/>
    <w:rPr>
      <w:rFonts w:hint="eastAsia" w:ascii="Calibri" w:hAnsi="Calibri" w:eastAsia="宋体" w:cs="黑体"/>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2081</Words>
  <Characters>2104</Characters>
  <Lines>0</Lines>
  <Paragraphs>0</Paragraphs>
  <TotalTime>0</TotalTime>
  <ScaleCrop>false</ScaleCrop>
  <LinksUpToDate>false</LinksUpToDate>
  <CharactersWithSpaces>2215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2023-03-24T03:57:00Z</dcterms:created>
  <dc:creator>DELL</dc:creator>
  <cp:lastModifiedBy>华采</cp:lastModifiedBy>
  <dcterms:modified xsi:type="dcterms:W3CDTF">2025-05-26T12:02:00Z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2565929D983A4C9D93BB486716BBE886_12</vt:lpwstr>
  </property>
  <property fmtid="{D5CDD505-2E9C-101B-9397-08002B2CF9AE}" pid="4" name="KSOTemplateDocerSaveRecord">
    <vt:lpwstr>eyJoZGlkIjoiZjJhNzdmOTM5YmVkNWYxMDI1ZDJkZDk5YzNhZTc2YzAiLCJ1c2VySWQiOiIyNzA3NjExMTQifQ==</vt:lpwstr>
  </property>
</Properties>
</file>