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版本号：LZBC2025-899（XDZ2025-111-J-37）20250530001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西安高新区2025年地质灾害评估及地裂缝勘察项目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LZBC2025-899（XDZ2025-111-J-37）</w:t>
      </w:r>
      <w:r>
        <w:br/>
      </w:r>
      <w:r>
        <w:br/>
      </w:r>
      <w:r>
        <w:br/>
      </w:r>
    </w:p>
    <w:p>
      <w:pPr>
        <w:pStyle w:val="null3"/>
        <w:jc w:val="center"/>
        <w:outlineLvl w:val="2"/>
      </w:pPr>
      <w:r>
        <w:rPr>
          <w:rFonts w:ascii="仿宋_GB2312" w:hAnsi="仿宋_GB2312" w:cs="仿宋_GB2312" w:eastAsia="仿宋_GB2312"/>
          <w:sz w:val="28"/>
          <w:b/>
        </w:rPr>
        <w:t>西安高新技术产业开发区土地储备中心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西安高新技术产业开发区土地储备中心</w:t>
      </w:r>
      <w:r>
        <w:rPr>
          <w:rFonts w:ascii="仿宋_GB2312" w:hAnsi="仿宋_GB2312" w:cs="仿宋_GB2312" w:eastAsia="仿宋_GB2312"/>
        </w:rPr>
        <w:t>委托，拟对</w:t>
      </w:r>
      <w:r>
        <w:rPr>
          <w:rFonts w:ascii="仿宋_GB2312" w:hAnsi="仿宋_GB2312" w:cs="仿宋_GB2312" w:eastAsia="仿宋_GB2312"/>
        </w:rPr>
        <w:t>西安高新区2025年地质灾害评估及地裂缝勘察项目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LZBC2025-899（XDZ2025-111-J-37）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西安高新区2025年地质灾害评估及地裂缝勘察项目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本项目拟对西安高新技术产业开发区土地储备中心西安高新区2025年地质灾害评估及地裂缝勘察项目招标项目进行采购，详见采购文件。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或提供《基本资格条件承诺函》</w:t>
      </w:r>
    </w:p>
    <w:p>
      <w:pPr>
        <w:pStyle w:val="null3"/>
      </w:pPr>
      <w:r>
        <w:rPr>
          <w:rFonts w:ascii="仿宋_GB2312" w:hAnsi="仿宋_GB2312" w:cs="仿宋_GB2312" w:eastAsia="仿宋_GB2312"/>
        </w:rPr>
        <w:t>3、财务状况报告：2023年或2024年经审计的财务报告或在投标截止时间前六个月内其基本开户银行出具的资信证明或财政部门认可的政府采购专业担保机构出具的投标担保函（以上三种形式的资料提供任何一种即可）。供应商需在项目电子化交易系统中按要求上传相应证明文件并进行电子签章或提供《基本资格条件承诺函》</w:t>
      </w:r>
    </w:p>
    <w:p>
      <w:pPr>
        <w:pStyle w:val="null3"/>
      </w:pPr>
      <w:r>
        <w:rPr>
          <w:rFonts w:ascii="仿宋_GB2312" w:hAnsi="仿宋_GB2312" w:cs="仿宋_GB2312" w:eastAsia="仿宋_GB2312"/>
        </w:rPr>
        <w:t>4、企业资质：具有地质灾害评估和治理工程勘查设计甲级资质证书。供应商需在项目电子化交易系统中按要求上传相应证明文件并进行电子签章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 商因违法经营受到刑事处罚或者责 令停产停业、吊销许可证或者执照 、较大数额罚款等行政处罚。：采购活动前3年内没有重大违法记录的书面声明。供应商需在项目电子化交易系统中按要求上传相应证明文件并进行电子签章 或提供《基本资格条件承诺函》</w:t>
      </w:r>
    </w:p>
    <w:p>
      <w:pPr>
        <w:pStyle w:val="null3"/>
      </w:pPr>
      <w:r>
        <w:rPr>
          <w:rFonts w:ascii="仿宋_GB2312" w:hAnsi="仿宋_GB2312" w:cs="仿宋_GB2312" w:eastAsia="仿宋_GB2312"/>
        </w:rPr>
        <w:t>6、履行合同所必需的设备和专业技术能力书面声明函：提供具有履行本合同所必需的设备和专业技术能力的承诺。供应商需在项目电子化交易系统中按要求上传相应证明文件并进行电子签章或提供《基本资格条件承诺函》</w:t>
      </w:r>
    </w:p>
    <w:p>
      <w:pPr>
        <w:pStyle w:val="null3"/>
      </w:pPr>
      <w:r>
        <w:rPr>
          <w:rFonts w:ascii="仿宋_GB2312" w:hAnsi="仿宋_GB2312" w:cs="仿宋_GB2312" w:eastAsia="仿宋_GB2312"/>
        </w:rPr>
        <w:t>7、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或提供《基本资格条件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 、其他组织或自然人：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或提供《基本资格条件承诺函》</w:t>
      </w:r>
    </w:p>
    <w:p>
      <w:pPr>
        <w:pStyle w:val="null3"/>
      </w:pPr>
      <w:r>
        <w:rPr>
          <w:rFonts w:ascii="仿宋_GB2312" w:hAnsi="仿宋_GB2312" w:cs="仿宋_GB2312" w:eastAsia="仿宋_GB2312"/>
        </w:rPr>
        <w:t>3、财务状况报告：2023年或2024年经审计的财务报告或在投标截止时间前六个月内其基本开户银行出具的资信证明或财政部门认可的政府采购专业担保机构出具的投标担保函（以上三种形式的资料提供任何一种即可）。供应商需在项目电子化交易系统中按要求上传相应证明文件并进行电子签章或提供《基本资格条件承诺函》</w:t>
      </w:r>
    </w:p>
    <w:p>
      <w:pPr>
        <w:pStyle w:val="null3"/>
      </w:pPr>
      <w:r>
        <w:rPr>
          <w:rFonts w:ascii="仿宋_GB2312" w:hAnsi="仿宋_GB2312" w:cs="仿宋_GB2312" w:eastAsia="仿宋_GB2312"/>
        </w:rPr>
        <w:t>4、企业资质：具有地质灾害评估和治理工程勘查设计甲级资质证书。供应商需在项目电子化交易系统中按要求上传相应证明文件并进行电子签章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 商因违法经营受到刑事处罚或者责 令停产停业、吊销许可证或者执照 、较大数额罚款等行政处罚。：采购活动前3年内没有重大违法记录的书面声明。供应商需在项目电子化交易系统中按要求上传相应证明文件并进行电子签章 或提供《基本资格条件承诺函》</w:t>
      </w:r>
    </w:p>
    <w:p>
      <w:pPr>
        <w:pStyle w:val="null3"/>
      </w:pPr>
      <w:r>
        <w:rPr>
          <w:rFonts w:ascii="仿宋_GB2312" w:hAnsi="仿宋_GB2312" w:cs="仿宋_GB2312" w:eastAsia="仿宋_GB2312"/>
        </w:rPr>
        <w:t>6、履行合同所必需的设备和专业技术能力书面声明函：提供具有履行本合同所必需的设备和专业技术能力的承诺。供应商需在项目电子化交易系统中按要求上传相应证明文件并进行电子签章或提供《基本资格条件承诺函》</w:t>
      </w:r>
    </w:p>
    <w:p>
      <w:pPr>
        <w:pStyle w:val="null3"/>
      </w:pPr>
      <w:r>
        <w:rPr>
          <w:rFonts w:ascii="仿宋_GB2312" w:hAnsi="仿宋_GB2312" w:cs="仿宋_GB2312" w:eastAsia="仿宋_GB2312"/>
        </w:rPr>
        <w:t>7、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或提供《基本资格条件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 、其他组织或自然人：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或提供《基本资格条件承诺函》</w:t>
      </w:r>
    </w:p>
    <w:p>
      <w:pPr>
        <w:pStyle w:val="null3"/>
      </w:pPr>
      <w:r>
        <w:rPr>
          <w:rFonts w:ascii="仿宋_GB2312" w:hAnsi="仿宋_GB2312" w:cs="仿宋_GB2312" w:eastAsia="仿宋_GB2312"/>
        </w:rPr>
        <w:t>3、财务状况报告：2023年或2024年经审计的财务报告或在投标截止时间前六个月内其基本开户银行出具的资信证明或财政部门认可的政府采购专业担保机构出具的投标担保函（以上三种形式的资料提供任何一种即可）。供应商需在项目电子化交易系统中按要求上传相应证明文件并进行电子签章或提供《基本资格条件承诺函》</w:t>
      </w:r>
    </w:p>
    <w:p>
      <w:pPr>
        <w:pStyle w:val="null3"/>
      </w:pPr>
      <w:r>
        <w:rPr>
          <w:rFonts w:ascii="仿宋_GB2312" w:hAnsi="仿宋_GB2312" w:cs="仿宋_GB2312" w:eastAsia="仿宋_GB2312"/>
        </w:rPr>
        <w:t>4、企业资质：具有地质灾害评估和治理工程勘查设计甲级资质证书，且具有工程勘察综合类甲级资质证书或工程勘察专业类岩土工程勘察甲级资质证书。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 商因违法经营受到刑事处罚或者责 令停产停业、吊销许可证或者执照 、较大数额罚款等行政处罚。：采购活动前3年内没有重大违法记录的书面声明。供应商需在项目电子化交易系统中按要求上传相应证明文件并进行电子签章 或提供《基本资格条件承诺函》</w:t>
      </w:r>
    </w:p>
    <w:p>
      <w:pPr>
        <w:pStyle w:val="null3"/>
      </w:pPr>
      <w:r>
        <w:rPr>
          <w:rFonts w:ascii="仿宋_GB2312" w:hAnsi="仿宋_GB2312" w:cs="仿宋_GB2312" w:eastAsia="仿宋_GB2312"/>
        </w:rPr>
        <w:t>6、履行合同所必需的设备和专业技术能力书面声明函：提供具有履行本合同所必需的设备和专业技术能力的承诺。供应商需在项目电子化交易系统中按要求上传相应证明文件并进行电子签章或提供《基本资格条件承诺函》</w:t>
      </w:r>
    </w:p>
    <w:p>
      <w:pPr>
        <w:pStyle w:val="null3"/>
      </w:pPr>
      <w:r>
        <w:rPr>
          <w:rFonts w:ascii="仿宋_GB2312" w:hAnsi="仿宋_GB2312" w:cs="仿宋_GB2312" w:eastAsia="仿宋_GB2312"/>
        </w:rPr>
        <w:t>7、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或提供《基本资格条件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西安高新区成章路丝路创智谷5号楼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029-88333753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胥盛崴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采购包1：3,690,000.00元</w:t>
            </w:r>
          </w:p>
          <w:p>
            <w:pPr>
              <w:pStyle w:val="null3"/>
            </w:pPr>
            <w:r>
              <w:rPr>
                <w:rFonts w:ascii="仿宋_GB2312" w:hAnsi="仿宋_GB2312" w:cs="仿宋_GB2312" w:eastAsia="仿宋_GB2312"/>
              </w:rPr>
              <w:t>采购包2：3,690,000.00元</w:t>
            </w:r>
          </w:p>
          <w:p>
            <w:pPr>
              <w:pStyle w:val="null3"/>
            </w:pPr>
            <w:r>
              <w:rPr>
                <w:rFonts w:ascii="仿宋_GB2312" w:hAnsi="仿宋_GB2312" w:cs="仿宋_GB2312" w:eastAsia="仿宋_GB2312"/>
              </w:rPr>
              <w:t>采购包3：4,080,000.00元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 格[2002]1980号文件、国家发改委办公厅颁发的《关于采购代理服务收费有关问题的通知》 ( 发改办价格【2003】857号）文件等下浮15%收取，由成交（中标）单位在领取成交（中标）通知书前向受托人支付采购代理服务费用。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西安高新技术产业开发区土地储备中心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西安高新技术产业开发区土地储备中心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本项目拟对西安高新技术产业开发区土地储备中心西安高新区2025年地质灾害评估及地裂缝勘察项目招标项目进行采购，详见采购文件。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3,690,000.00</w:t>
      </w:r>
    </w:p>
    <w:p>
      <w:pPr>
        <w:pStyle w:val="null3"/>
      </w:pPr>
      <w:r>
        <w:rPr>
          <w:rFonts w:ascii="仿宋_GB2312" w:hAnsi="仿宋_GB2312" w:cs="仿宋_GB2312" w:eastAsia="仿宋_GB2312"/>
        </w:rPr>
        <w:t>采购包最高限价（元）: 3,690,000.00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高新区纬二十路以北区域地质危险性灾害评估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3,690,000.00</w:t>
      </w:r>
    </w:p>
    <w:p>
      <w:pPr>
        <w:pStyle w:val="null3"/>
      </w:pPr>
      <w:r>
        <w:rPr>
          <w:rFonts w:ascii="仿宋_GB2312" w:hAnsi="仿宋_GB2312" w:cs="仿宋_GB2312" w:eastAsia="仿宋_GB2312"/>
        </w:rPr>
        <w:t>采购包最高限价（元）: 3,690,000.00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高新区纬二十路以南区域地质危险性灾害评估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4,080,000.00</w:t>
      </w:r>
    </w:p>
    <w:p>
      <w:pPr>
        <w:pStyle w:val="null3"/>
      </w:pPr>
      <w:r>
        <w:rPr>
          <w:rFonts w:ascii="仿宋_GB2312" w:hAnsi="仿宋_GB2312" w:cs="仿宋_GB2312" w:eastAsia="仿宋_GB2312"/>
        </w:rPr>
        <w:t>采购包最高限价（元）: 4,080,000.00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高新区辖区范围内地裂缝勘察服务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标的名称：高新区纬二十路以北区域地质危险性灾害评估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rPr>
              <w:t>一、服务内容</w:t>
            </w:r>
          </w:p>
          <w:p>
            <w:pPr>
              <w:pStyle w:val="null3"/>
              <w:ind w:firstLine="400"/>
              <w:jc w:val="left"/>
            </w:pPr>
            <w:r>
              <w:rPr>
                <w:rFonts w:ascii="仿宋_GB2312" w:hAnsi="仿宋_GB2312" w:cs="仿宋_GB2312" w:eastAsia="仿宋_GB2312"/>
              </w:rPr>
              <w:t>调查评估区域及周边地质环境条件和地质灾害发育现状，预测工程的建设与运营引发或加剧地质灾害的可能性及本身所遭受的地质灾害，并提出防治措施。具体工作内容如下：</w:t>
            </w:r>
          </w:p>
          <w:p>
            <w:pPr>
              <w:pStyle w:val="null3"/>
              <w:ind w:firstLine="400"/>
              <w:jc w:val="left"/>
            </w:pPr>
            <w:r>
              <w:rPr>
                <w:rFonts w:ascii="仿宋_GB2312" w:hAnsi="仿宋_GB2312" w:cs="仿宋_GB2312" w:eastAsia="仿宋_GB2312"/>
              </w:rPr>
              <w:t>（一）调查工程场地及周边地质环境条件，对其复杂程度作出评价，分析致灾地质作用的类型和分别，划分影响致灾地质作用的主导因素，并对地质环境条件复杂性作出判定，结合工程特点合理确定评估等级和评估区域范围。</w:t>
            </w:r>
          </w:p>
          <w:p>
            <w:pPr>
              <w:pStyle w:val="null3"/>
              <w:ind w:firstLine="400"/>
              <w:jc w:val="left"/>
            </w:pPr>
            <w:r>
              <w:rPr>
                <w:rFonts w:ascii="仿宋_GB2312" w:hAnsi="仿宋_GB2312" w:cs="仿宋_GB2312" w:eastAsia="仿宋_GB2312"/>
              </w:rPr>
              <w:t>（二）对工程场地及其周边进行综合地质灾害调查，查明评估区的地质灾害类型、分布范围、规模、特征及稳定状态，通过对地质灾害的状况及危险性起决定作用的影响因素进行调查分析，判定其危害及成因，对已有地质灾害的危险性做出评价。</w:t>
            </w:r>
          </w:p>
          <w:p>
            <w:pPr>
              <w:pStyle w:val="null3"/>
              <w:ind w:firstLine="400"/>
              <w:jc w:val="left"/>
            </w:pPr>
            <w:r>
              <w:rPr>
                <w:rFonts w:ascii="仿宋_GB2312" w:hAnsi="仿宋_GB2312" w:cs="仿宋_GB2312" w:eastAsia="仿宋_GB2312"/>
              </w:rPr>
              <w:t>（三）根据工程建设项目类型，预测工程建设过程和建成后对地质环境的改变及影响，评估是否会引发或加剧地质灾害以及地质灾害对工程可能造成的危害，并对地质灾害的类型、范围、危害及危险性作出评估。</w:t>
            </w:r>
          </w:p>
          <w:p>
            <w:pPr>
              <w:pStyle w:val="null3"/>
              <w:ind w:firstLine="400"/>
              <w:jc w:val="left"/>
            </w:pPr>
            <w:r>
              <w:rPr>
                <w:rFonts w:ascii="仿宋_GB2312" w:hAnsi="仿宋_GB2312" w:cs="仿宋_GB2312" w:eastAsia="仿宋_GB2312"/>
              </w:rPr>
              <w:t>（四）综合环境地质条件、地质灾害现状和潜在的地质灾害产生因素，对地质灾害危险性进行综合分析，按危险性大小划分区段；对工程建设用地适宜性进行评估；</w:t>
            </w:r>
          </w:p>
          <w:p>
            <w:pPr>
              <w:pStyle w:val="null3"/>
              <w:ind w:firstLine="400"/>
              <w:jc w:val="left"/>
            </w:pPr>
            <w:r>
              <w:rPr>
                <w:rFonts w:ascii="仿宋_GB2312" w:hAnsi="仿宋_GB2312" w:cs="仿宋_GB2312" w:eastAsia="仿宋_GB2312"/>
              </w:rPr>
              <w:t>（五）针对评估区的地质环境条件，结合灾害发育特征和危害程度提出适宜的防治措施或建议。</w:t>
            </w:r>
          </w:p>
          <w:p>
            <w:pPr>
              <w:pStyle w:val="null3"/>
              <w:ind w:firstLine="400"/>
              <w:jc w:val="left"/>
            </w:pPr>
            <w:r>
              <w:rPr>
                <w:rFonts w:ascii="仿宋_GB2312" w:hAnsi="仿宋_GB2312" w:cs="仿宋_GB2312" w:eastAsia="仿宋_GB2312"/>
              </w:rPr>
              <w:t>（六）地质灾害危险性评估报告成果要经过地质灾害防治专家组评审通过取得专家组评审意见，并在自然资源行政主管部门备案登记。</w:t>
            </w:r>
          </w:p>
          <w:p>
            <w:pPr>
              <w:pStyle w:val="null3"/>
              <w:ind w:firstLine="400"/>
              <w:jc w:val="left"/>
            </w:pPr>
            <w:r>
              <w:rPr>
                <w:rFonts w:ascii="仿宋_GB2312" w:hAnsi="仿宋_GB2312" w:cs="仿宋_GB2312" w:eastAsia="仿宋_GB2312"/>
              </w:rPr>
              <w:t>二</w:t>
            </w:r>
            <w:r>
              <w:rPr>
                <w:rFonts w:ascii="仿宋_GB2312" w:hAnsi="仿宋_GB2312" w:cs="仿宋_GB2312" w:eastAsia="仿宋_GB2312"/>
              </w:rPr>
              <w:t>、项目预算</w:t>
            </w:r>
          </w:p>
          <w:p>
            <w:pPr>
              <w:pStyle w:val="null3"/>
              <w:ind w:firstLine="400"/>
              <w:jc w:val="left"/>
            </w:pPr>
            <w:r>
              <w:rPr>
                <w:rFonts w:ascii="仿宋_GB2312" w:hAnsi="仿宋_GB2312" w:cs="仿宋_GB2312" w:eastAsia="仿宋_GB2312"/>
              </w:rPr>
              <w:t>（一）全费用综合单价采购预算：地质灾害评估</w:t>
            </w:r>
            <w:r>
              <w:rPr>
                <w:rFonts w:ascii="仿宋_GB2312" w:hAnsi="仿宋_GB2312" w:cs="仿宋_GB2312" w:eastAsia="仿宋_GB2312"/>
              </w:rPr>
              <w:t>6.</w:t>
            </w:r>
            <w:r>
              <w:rPr>
                <w:rFonts w:ascii="仿宋_GB2312" w:hAnsi="仿宋_GB2312" w:cs="仿宋_GB2312" w:eastAsia="仿宋_GB2312"/>
              </w:rPr>
              <w:t>15</w:t>
            </w:r>
            <w:r>
              <w:rPr>
                <w:rFonts w:ascii="仿宋_GB2312" w:hAnsi="仿宋_GB2312" w:cs="仿宋_GB2312" w:eastAsia="仿宋_GB2312"/>
              </w:rPr>
              <w:t>万元</w:t>
            </w:r>
            <w:r>
              <w:rPr>
                <w:rFonts w:ascii="仿宋_GB2312" w:hAnsi="仿宋_GB2312" w:cs="仿宋_GB2312" w:eastAsia="仿宋_GB2312"/>
              </w:rPr>
              <w:t>/</w:t>
            </w:r>
            <w:r>
              <w:rPr>
                <w:rFonts w:ascii="仿宋_GB2312" w:hAnsi="仿宋_GB2312" w:cs="仿宋_GB2312" w:eastAsia="仿宋_GB2312"/>
              </w:rPr>
              <w:t>地块。</w:t>
            </w:r>
          </w:p>
          <w:p>
            <w:pPr>
              <w:pStyle w:val="null3"/>
              <w:ind w:firstLine="400"/>
              <w:jc w:val="left"/>
            </w:pPr>
            <w:r>
              <w:rPr>
                <w:rFonts w:ascii="仿宋_GB2312" w:hAnsi="仿宋_GB2312" w:cs="仿宋_GB2312" w:eastAsia="仿宋_GB2312"/>
              </w:rPr>
              <w:t>（二）地质灾害评估项目合同执行价为1、2采购包中标供应商中标全费用综合单价的平均价。</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）甲方不保证各标段最低工程量，最终费用据实结算。</w:t>
            </w:r>
          </w:p>
          <w:p>
            <w:pPr>
              <w:pStyle w:val="null3"/>
              <w:ind w:firstLine="400"/>
              <w:jc w:val="left"/>
            </w:pP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服务期</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）服务期</w:t>
            </w:r>
            <w:r>
              <w:rPr>
                <w:rFonts w:ascii="仿宋_GB2312" w:hAnsi="仿宋_GB2312" w:cs="仿宋_GB2312" w:eastAsia="仿宋_GB2312"/>
              </w:rPr>
              <w:t>：自合同签订后一年。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合同终止情形：结算金额超出项目预算或合同履行期限截止。</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标的名称：高新区纬二十路以南区域地质危险性灾害评估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rPr>
              <w:t>一、服务内容</w:t>
            </w:r>
          </w:p>
          <w:p>
            <w:pPr>
              <w:pStyle w:val="null3"/>
              <w:ind w:firstLine="400"/>
              <w:jc w:val="left"/>
            </w:pPr>
            <w:r>
              <w:rPr>
                <w:rFonts w:ascii="仿宋_GB2312" w:hAnsi="仿宋_GB2312" w:cs="仿宋_GB2312" w:eastAsia="仿宋_GB2312"/>
              </w:rPr>
              <w:t>调查评估区域及周边地质环境条件和地质灾害发育现状，预测工程的建设与运营引发或加剧地质灾害的可能性及本身所遭受的地质灾害，并提出防治措施。具体工作内容如下：</w:t>
            </w:r>
          </w:p>
          <w:p>
            <w:pPr>
              <w:pStyle w:val="null3"/>
              <w:ind w:firstLine="400"/>
              <w:jc w:val="left"/>
            </w:pPr>
            <w:r>
              <w:rPr>
                <w:rFonts w:ascii="仿宋_GB2312" w:hAnsi="仿宋_GB2312" w:cs="仿宋_GB2312" w:eastAsia="仿宋_GB2312"/>
              </w:rPr>
              <w:t>（一）调查工程场地及周边地质环境条件，对其复杂程度作出评价，分析致灾地质作用的类型和分别，划分影响致灾地质作用的主导因素，并对地质环境条件复杂性作出判定，结合工程特点合理确定评估等级和评估区域范围。</w:t>
            </w:r>
          </w:p>
          <w:p>
            <w:pPr>
              <w:pStyle w:val="null3"/>
              <w:ind w:firstLine="400"/>
              <w:jc w:val="left"/>
            </w:pPr>
            <w:r>
              <w:rPr>
                <w:rFonts w:ascii="仿宋_GB2312" w:hAnsi="仿宋_GB2312" w:cs="仿宋_GB2312" w:eastAsia="仿宋_GB2312"/>
              </w:rPr>
              <w:t>（二）对工程场地及其周边进行综合地质灾害调查，查明评估区的地质灾害类型、分布范围、规模、特征及稳定状态，通过对地质灾害的状况及危险性起决定作用的影响因素进行调查分析，判定其危害及成因，对已有地质灾害的危险性做出评价。</w:t>
            </w:r>
          </w:p>
          <w:p>
            <w:pPr>
              <w:pStyle w:val="null3"/>
              <w:ind w:firstLine="400"/>
              <w:jc w:val="left"/>
            </w:pPr>
            <w:r>
              <w:rPr>
                <w:rFonts w:ascii="仿宋_GB2312" w:hAnsi="仿宋_GB2312" w:cs="仿宋_GB2312" w:eastAsia="仿宋_GB2312"/>
              </w:rPr>
              <w:t>（三）根据工程建设项目类型，预测工程建设过程和建成后对地质环境的改变及影响，评估是否会引发或加剧地质灾害以及地质灾害对工程可能造成的危害，并对地质灾害的类型、范围、危害及危险性作出评估。</w:t>
            </w:r>
          </w:p>
          <w:p>
            <w:pPr>
              <w:pStyle w:val="null3"/>
              <w:ind w:firstLine="400"/>
              <w:jc w:val="left"/>
            </w:pPr>
            <w:r>
              <w:rPr>
                <w:rFonts w:ascii="仿宋_GB2312" w:hAnsi="仿宋_GB2312" w:cs="仿宋_GB2312" w:eastAsia="仿宋_GB2312"/>
              </w:rPr>
              <w:t>（四）综合环境地质条件、地质灾害现状和潜在的地质灾害产生因素，对地质灾害危险性进行综合分析，按危险性大小划分区段；对工程建设用地适宜性进行评估；</w:t>
            </w:r>
          </w:p>
          <w:p>
            <w:pPr>
              <w:pStyle w:val="null3"/>
              <w:ind w:firstLine="400"/>
              <w:jc w:val="left"/>
            </w:pPr>
            <w:r>
              <w:rPr>
                <w:rFonts w:ascii="仿宋_GB2312" w:hAnsi="仿宋_GB2312" w:cs="仿宋_GB2312" w:eastAsia="仿宋_GB2312"/>
              </w:rPr>
              <w:t>（五）针对评估区的地质环境条件，结合灾害发育特征和危害程度提出适宜的防治措施或建议。</w:t>
            </w:r>
          </w:p>
          <w:p>
            <w:pPr>
              <w:pStyle w:val="null3"/>
              <w:ind w:firstLine="400"/>
              <w:jc w:val="left"/>
            </w:pPr>
            <w:r>
              <w:rPr>
                <w:rFonts w:ascii="仿宋_GB2312" w:hAnsi="仿宋_GB2312" w:cs="仿宋_GB2312" w:eastAsia="仿宋_GB2312"/>
              </w:rPr>
              <w:t>（六）地质灾害危险性评估报告成果要经过地质灾害防治专家组评审通过取得专家组评审意见，并在自然资源行政主管部门备案登记。</w:t>
            </w:r>
          </w:p>
          <w:p>
            <w:pPr>
              <w:pStyle w:val="null3"/>
              <w:ind w:firstLine="400"/>
              <w:jc w:val="left"/>
            </w:pPr>
            <w:r>
              <w:rPr>
                <w:rFonts w:ascii="仿宋_GB2312" w:hAnsi="仿宋_GB2312" w:cs="仿宋_GB2312" w:eastAsia="仿宋_GB2312"/>
              </w:rPr>
              <w:t>二</w:t>
            </w:r>
            <w:r>
              <w:rPr>
                <w:rFonts w:ascii="仿宋_GB2312" w:hAnsi="仿宋_GB2312" w:cs="仿宋_GB2312" w:eastAsia="仿宋_GB2312"/>
              </w:rPr>
              <w:t>、项目预算</w:t>
            </w:r>
          </w:p>
          <w:p>
            <w:pPr>
              <w:pStyle w:val="null3"/>
              <w:ind w:firstLine="400"/>
              <w:jc w:val="left"/>
            </w:pPr>
            <w:r>
              <w:rPr>
                <w:rFonts w:ascii="仿宋_GB2312" w:hAnsi="仿宋_GB2312" w:cs="仿宋_GB2312" w:eastAsia="仿宋_GB2312"/>
              </w:rPr>
              <w:t>（一）全费用综合单价采购预算：地质灾害评估</w:t>
            </w:r>
            <w:r>
              <w:rPr>
                <w:rFonts w:ascii="仿宋_GB2312" w:hAnsi="仿宋_GB2312" w:cs="仿宋_GB2312" w:eastAsia="仿宋_GB2312"/>
              </w:rPr>
              <w:t>6.</w:t>
            </w:r>
            <w:r>
              <w:rPr>
                <w:rFonts w:ascii="仿宋_GB2312" w:hAnsi="仿宋_GB2312" w:cs="仿宋_GB2312" w:eastAsia="仿宋_GB2312"/>
              </w:rPr>
              <w:t>15</w:t>
            </w:r>
            <w:r>
              <w:rPr>
                <w:rFonts w:ascii="仿宋_GB2312" w:hAnsi="仿宋_GB2312" w:cs="仿宋_GB2312" w:eastAsia="仿宋_GB2312"/>
              </w:rPr>
              <w:t>万元</w:t>
            </w:r>
            <w:r>
              <w:rPr>
                <w:rFonts w:ascii="仿宋_GB2312" w:hAnsi="仿宋_GB2312" w:cs="仿宋_GB2312" w:eastAsia="仿宋_GB2312"/>
              </w:rPr>
              <w:t>/</w:t>
            </w:r>
            <w:r>
              <w:rPr>
                <w:rFonts w:ascii="仿宋_GB2312" w:hAnsi="仿宋_GB2312" w:cs="仿宋_GB2312" w:eastAsia="仿宋_GB2312"/>
              </w:rPr>
              <w:t>地块。</w:t>
            </w:r>
          </w:p>
          <w:p>
            <w:pPr>
              <w:pStyle w:val="null3"/>
              <w:ind w:firstLine="400"/>
              <w:jc w:val="left"/>
            </w:pPr>
            <w:r>
              <w:rPr>
                <w:rFonts w:ascii="仿宋_GB2312" w:hAnsi="仿宋_GB2312" w:cs="仿宋_GB2312" w:eastAsia="仿宋_GB2312"/>
              </w:rPr>
              <w:t>（二）地质灾害评估项目合同执行价为</w:t>
            </w:r>
            <w:r>
              <w:rPr>
                <w:rFonts w:ascii="仿宋_GB2312" w:hAnsi="仿宋_GB2312" w:cs="仿宋_GB2312" w:eastAsia="仿宋_GB2312"/>
              </w:rPr>
              <w:t>1、2采购包</w:t>
            </w:r>
            <w:r>
              <w:rPr>
                <w:rFonts w:ascii="仿宋_GB2312" w:hAnsi="仿宋_GB2312" w:cs="仿宋_GB2312" w:eastAsia="仿宋_GB2312"/>
              </w:rPr>
              <w:t>中标供应商中标全费用综合单价的平均价。</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）甲方不保证各标段最低工程量，最终费用据实结算。</w:t>
            </w:r>
          </w:p>
          <w:p>
            <w:pPr>
              <w:pStyle w:val="null3"/>
              <w:ind w:firstLine="400"/>
              <w:jc w:val="left"/>
            </w:pP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服务期</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）服务期</w:t>
            </w:r>
            <w:r>
              <w:rPr>
                <w:rFonts w:ascii="仿宋_GB2312" w:hAnsi="仿宋_GB2312" w:cs="仿宋_GB2312" w:eastAsia="仿宋_GB2312"/>
              </w:rPr>
              <w:t>：自合同签订后一年。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合同终止情形：结算金额超出项目预算或合同履行期限截止。</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标的名称：高新区辖区范围内地裂缝勘察服务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w:t>
            </w:r>
            <w:r>
              <w:rPr>
                <w:rFonts w:ascii="仿宋_GB2312" w:hAnsi="仿宋_GB2312" w:cs="仿宋_GB2312" w:eastAsia="仿宋_GB2312"/>
              </w:rPr>
              <w:t>服务内容</w:t>
            </w:r>
          </w:p>
          <w:p>
            <w:pPr>
              <w:pStyle w:val="null3"/>
              <w:ind w:firstLine="400"/>
              <w:jc w:val="left"/>
            </w:pPr>
            <w:r>
              <w:rPr>
                <w:rFonts w:ascii="仿宋_GB2312" w:hAnsi="仿宋_GB2312" w:cs="仿宋_GB2312" w:eastAsia="仿宋_GB2312"/>
              </w:rPr>
              <w:t>严格按照国家及地方相关规范、规程工作，查明场地有无西安地裂缝或其它隐伏小断层通过，若有，应查明地裂缝等的准确位置和走向，并提供工程建设避让措施建议，编制地裂缝专项勘察报告。</w:t>
            </w:r>
          </w:p>
          <w:p>
            <w:pPr>
              <w:pStyle w:val="null3"/>
              <w:ind w:firstLine="400"/>
              <w:jc w:val="left"/>
            </w:pPr>
            <w:r>
              <w:rPr>
                <w:rFonts w:ascii="仿宋_GB2312" w:hAnsi="仿宋_GB2312" w:cs="仿宋_GB2312" w:eastAsia="仿宋_GB2312"/>
              </w:rPr>
              <w:t>（一）勘察方案</w:t>
            </w:r>
          </w:p>
          <w:p>
            <w:pPr>
              <w:pStyle w:val="null3"/>
              <w:ind w:firstLine="400"/>
              <w:jc w:val="left"/>
            </w:pPr>
            <w:r>
              <w:rPr>
                <w:rFonts w:ascii="仿宋_GB2312" w:hAnsi="仿宋_GB2312" w:cs="仿宋_GB2312" w:eastAsia="仿宋_GB2312"/>
              </w:rPr>
              <w:t>采用地面调查、收集资料、野外钻探、物探勘探等方法。依据国家、陕西省、西安市相关规定、规范、标准进行施工及报告编制。</w:t>
            </w:r>
          </w:p>
          <w:p>
            <w:pPr>
              <w:pStyle w:val="null3"/>
              <w:ind w:firstLine="400"/>
              <w:jc w:val="left"/>
            </w:pPr>
            <w:r>
              <w:rPr>
                <w:rFonts w:ascii="仿宋_GB2312" w:hAnsi="仿宋_GB2312" w:cs="仿宋_GB2312" w:eastAsia="仿宋_GB2312"/>
              </w:rPr>
              <w:t>（二）中标人对其出具的地裂缝专项勘察报告负责，如由于中标人原因导致报告有误，由此造成甲方的一切损失由乙方负责。</w:t>
            </w:r>
          </w:p>
          <w:p>
            <w:pPr>
              <w:pStyle w:val="null3"/>
              <w:jc w:val="left"/>
            </w:pPr>
            <w:r>
              <w:rPr>
                <w:rFonts w:ascii="仿宋_GB2312" w:hAnsi="仿宋_GB2312" w:cs="仿宋_GB2312" w:eastAsia="仿宋_GB2312"/>
              </w:rPr>
              <w:t>二、服务要求</w:t>
            </w:r>
          </w:p>
          <w:p>
            <w:pPr>
              <w:pStyle w:val="null3"/>
              <w:ind w:firstLine="400"/>
              <w:jc w:val="left"/>
            </w:pPr>
            <w:r>
              <w:rPr>
                <w:rFonts w:ascii="仿宋_GB2312" w:hAnsi="仿宋_GB2312" w:cs="仿宋_GB2312" w:eastAsia="仿宋_GB2312"/>
              </w:rPr>
              <w:t>（一）投标人应拥有足够的人力、财力、物力和相应的专业技术能力等资源保证按时按质按量完成委托业务。</w:t>
            </w:r>
          </w:p>
          <w:p>
            <w:pPr>
              <w:pStyle w:val="null3"/>
              <w:ind w:firstLine="400"/>
              <w:jc w:val="left"/>
            </w:pPr>
            <w:r>
              <w:rPr>
                <w:rFonts w:ascii="仿宋_GB2312" w:hAnsi="仿宋_GB2312" w:cs="仿宋_GB2312" w:eastAsia="仿宋_GB2312"/>
              </w:rPr>
              <w:t>（二）投标人应有健全的组织机构和内部管理制度，有完善的质量保证体系和管理制度，有良好的服务态度和声誉。</w:t>
            </w:r>
          </w:p>
          <w:p>
            <w:pPr>
              <w:pStyle w:val="null3"/>
              <w:ind w:firstLine="400"/>
              <w:jc w:val="left"/>
            </w:pPr>
            <w:r>
              <w:rPr>
                <w:rFonts w:ascii="仿宋_GB2312" w:hAnsi="仿宋_GB2312" w:cs="仿宋_GB2312" w:eastAsia="仿宋_GB2312"/>
              </w:rPr>
              <w:t>（三）为确保委托项目顺利完成，投标人应根据委托需求，列出主要人员的配备情况，如被确认中标，则投标人于投标文件中承诺配备的主要人员必须配备到位，若需更换人员应先征得采购人同意，且替换的主要人员不低于被替换的人员的资质等级及工作能力。</w:t>
            </w:r>
          </w:p>
          <w:p>
            <w:pPr>
              <w:pStyle w:val="null3"/>
              <w:ind w:firstLine="400"/>
              <w:jc w:val="left"/>
            </w:pPr>
            <w:r>
              <w:rPr>
                <w:rFonts w:ascii="仿宋_GB2312" w:hAnsi="仿宋_GB2312" w:cs="仿宋_GB2312" w:eastAsia="仿宋_GB2312"/>
              </w:rPr>
              <w:t>（四）中标人应根据国家和省、市有关法律法规及采购人的有关规定，科学、客观、公正地开展工作，根据委托要求按时按质提供成果报告，对报告的真实性、准确性负责，并负有保密责任。</w:t>
            </w:r>
          </w:p>
          <w:p>
            <w:pPr>
              <w:pStyle w:val="null3"/>
              <w:ind w:firstLine="400"/>
              <w:jc w:val="left"/>
            </w:pPr>
            <w:r>
              <w:rPr>
                <w:rFonts w:ascii="仿宋_GB2312" w:hAnsi="仿宋_GB2312" w:cs="仿宋_GB2312" w:eastAsia="仿宋_GB2312"/>
              </w:rPr>
              <w:t>（五）中标人应建立健全档案管理制度，完整、准确、真实地反映和记录项目情况，做好各类资料的归集、存档和保管工作。</w:t>
            </w:r>
          </w:p>
          <w:p>
            <w:pPr>
              <w:pStyle w:val="null3"/>
              <w:ind w:firstLine="400"/>
              <w:jc w:val="left"/>
            </w:pPr>
            <w:r>
              <w:rPr>
                <w:rFonts w:ascii="仿宋_GB2312" w:hAnsi="仿宋_GB2312" w:cs="仿宋_GB2312" w:eastAsia="仿宋_GB2312"/>
              </w:rPr>
              <w:t>（六）为保证项目的顺利进行，投标人应当确定主要业务联系人、投诉管理人及联系方式等情况。</w:t>
            </w:r>
          </w:p>
          <w:p>
            <w:pPr>
              <w:pStyle w:val="null3"/>
              <w:ind w:firstLine="400"/>
              <w:jc w:val="left"/>
            </w:pPr>
            <w:r>
              <w:rPr>
                <w:rFonts w:ascii="仿宋_GB2312" w:hAnsi="仿宋_GB2312" w:cs="仿宋_GB2312" w:eastAsia="仿宋_GB2312"/>
              </w:rPr>
              <w:t>（七）中标人应做好项目现场安全生产、治污减霾、安全文明施工、防控防疫工作，并承诺做到坚决杜绝拖欠农民工工资现象发生。</w:t>
            </w:r>
          </w:p>
          <w:p>
            <w:pPr>
              <w:pStyle w:val="null3"/>
              <w:ind w:firstLine="400"/>
              <w:jc w:val="left"/>
            </w:pPr>
            <w:r>
              <w:rPr>
                <w:rFonts w:ascii="仿宋_GB2312" w:hAnsi="仿宋_GB2312" w:cs="仿宋_GB2312" w:eastAsia="仿宋_GB2312"/>
              </w:rPr>
              <w:t>三</w:t>
            </w:r>
            <w:r>
              <w:rPr>
                <w:rFonts w:ascii="仿宋_GB2312" w:hAnsi="仿宋_GB2312" w:cs="仿宋_GB2312" w:eastAsia="仿宋_GB2312"/>
              </w:rPr>
              <w:t>、项目预算</w:t>
            </w:r>
          </w:p>
          <w:p>
            <w:pPr>
              <w:pStyle w:val="null3"/>
              <w:ind w:firstLine="400"/>
              <w:jc w:val="left"/>
            </w:pPr>
            <w:r>
              <w:rPr>
                <w:rFonts w:ascii="仿宋_GB2312" w:hAnsi="仿宋_GB2312" w:cs="仿宋_GB2312" w:eastAsia="仿宋_GB2312"/>
              </w:rPr>
              <w:t>（一）全费用综合单价采购预算：地裂缝勘察</w:t>
            </w:r>
            <w:r>
              <w:rPr>
                <w:rFonts w:ascii="仿宋_GB2312" w:hAnsi="仿宋_GB2312" w:cs="仿宋_GB2312" w:eastAsia="仿宋_GB2312"/>
              </w:rPr>
              <w:t>85.00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延米。</w:t>
            </w:r>
          </w:p>
          <w:p>
            <w:pPr>
              <w:pStyle w:val="null3"/>
              <w:ind w:firstLine="400"/>
              <w:jc w:val="left"/>
            </w:pPr>
            <w:r>
              <w:rPr>
                <w:rFonts w:ascii="仿宋_GB2312" w:hAnsi="仿宋_GB2312" w:cs="仿宋_GB2312" w:eastAsia="仿宋_GB2312"/>
              </w:rPr>
              <w:t>（二）地裂缝勘察项目合同执行价为中标人中标全费用综合单价。</w:t>
            </w:r>
          </w:p>
          <w:p>
            <w:pPr>
              <w:pStyle w:val="null3"/>
              <w:ind w:firstLine="400"/>
              <w:jc w:val="left"/>
            </w:pPr>
            <w:r>
              <w:rPr>
                <w:rFonts w:ascii="仿宋_GB2312" w:hAnsi="仿宋_GB2312" w:cs="仿宋_GB2312" w:eastAsia="仿宋_GB2312"/>
              </w:rPr>
              <w:t>（三）本标段约</w:t>
            </w:r>
            <w:r>
              <w:rPr>
                <w:rFonts w:ascii="仿宋_GB2312" w:hAnsi="仿宋_GB2312" w:cs="仿宋_GB2312" w:eastAsia="仿宋_GB2312"/>
              </w:rPr>
              <w:t>48000</w:t>
            </w:r>
            <w:r>
              <w:rPr>
                <w:rFonts w:ascii="仿宋_GB2312" w:hAnsi="仿宋_GB2312" w:cs="仿宋_GB2312" w:eastAsia="仿宋_GB2312"/>
              </w:rPr>
              <w:t>延米，甲方不保证最低工程量，最终费用据实结算。</w:t>
            </w:r>
          </w:p>
          <w:p>
            <w:pPr>
              <w:pStyle w:val="null3"/>
              <w:ind w:firstLine="400"/>
              <w:jc w:val="left"/>
            </w:pP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服务期</w:t>
            </w:r>
          </w:p>
          <w:p>
            <w:pPr>
              <w:pStyle w:val="null3"/>
              <w:ind w:firstLine="400"/>
              <w:jc w:val="left"/>
            </w:pPr>
            <w:r>
              <w:rPr>
                <w:rFonts w:ascii="仿宋_GB2312" w:hAnsi="仿宋_GB2312" w:cs="仿宋_GB2312" w:eastAsia="仿宋_GB2312"/>
              </w:rPr>
              <w:t>（一）</w:t>
            </w:r>
            <w:r>
              <w:rPr>
                <w:rFonts w:ascii="仿宋_GB2312" w:hAnsi="仿宋_GB2312" w:cs="仿宋_GB2312" w:eastAsia="仿宋_GB2312"/>
              </w:rPr>
              <w:t>服务期：</w:t>
            </w:r>
            <w:r>
              <w:rPr>
                <w:rFonts w:ascii="仿宋_GB2312" w:hAnsi="仿宋_GB2312" w:cs="仿宋_GB2312" w:eastAsia="仿宋_GB2312"/>
              </w:rPr>
              <w:t>自合同签订后一年。</w:t>
            </w:r>
          </w:p>
          <w:p>
            <w:pPr>
              <w:pStyle w:val="null3"/>
              <w:jc w:val="both"/>
            </w:pPr>
            <w:r>
              <w:rPr>
                <w:rFonts w:ascii="仿宋_GB2312" w:hAnsi="仿宋_GB2312" w:cs="仿宋_GB2312" w:eastAsia="仿宋_GB2312"/>
                <w:sz w:val="21"/>
              </w:rPr>
              <w:t xml:space="preserve">  （二）</w:t>
            </w:r>
            <w:r>
              <w:rPr>
                <w:rFonts w:ascii="仿宋_GB2312" w:hAnsi="仿宋_GB2312" w:cs="仿宋_GB2312" w:eastAsia="仿宋_GB2312"/>
                <w:sz w:val="21"/>
              </w:rPr>
              <w:t>合同终止情形：结算金额超出项目预算或合同履行期限截止。</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评估工作结束后，乙方按规定日期向甲方提交评估报告书和备案表，甲方收到资料</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评估工作结束后，乙方按规定日期向甲方提交评估报告书和备案表，甲方收到资料</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项目完成且向甲方提交报告后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其他未列明行业。划分标准：从业人员300人以下的为中小微型企业。其中，从业人员100人及以上的为中型企业;从业人员10人及以上的为小型企业;从业人员10人以下的为微型企业。 2.需要落实的政府采购政策：1）《国务院办公厅关于建立政府强制采购节能产品制度的通知》（国办 发〔2007〕51号）；2）《财政部 司法部关于政府采购支持监狱企业发展有关问题的通知》（财库〔2014〕68号）；3） 《三部门联合发布关于促进残疾人就业政府采购政策的通知》（财库〔2017〕141号）；4）《财政部 发展改革委生态环境 部 市场监管总局关于调整优化节能产品、环境标志产品政府采购执行机制的通知》（财库〔2019〕9号）；5）《关于运用 政府采购政策支持乡村产业振兴的通知》（财库〔2021〕19号）；6）《政府采购促进中小企业发展管理办法》（财库 〔2020〕46号）；7）陕西省财政厅关于印发《陕西省中小企业政府采购信用融资办法》（陕财办采〔2018〕23号）；8） 《关于进一步加大政府采购支持中小企业力度的通知》（财库〔2022〕19号）；9）《关于扩大政府采购支持绿色建材促进 建筑品质提升政策实施范围的通知》（财库〔2022〕35号）。 3、根据《西安高新区财政金融局关于开展政府采购供应商基本资格条件承诺制试点工作的通知（西高财函〔2024〕111号）》，简化对供应商资格条件等的形式审查，供应商只需以书面形式提供规定格式的《基本资格条件承诺函》(详见响应文件格式第六部分),即可替代以下材料：1.财务状况报告(表)或其基本开户银行出具的资信证明材料；2.依法缴纳税收的证明材料；3.缴纳社会保障金的证明材料；4.具有履行合同所必需的设备和专业技术能力的证明材料；5.参加政府采购活动前三年内，在经营活动中没有重大违法记录的证明材料；6.未被列入失信被执行人、重大税收违法案件当事人名单及政府采购严重违法失信行为记录名单的证明材料。简化后，供应商应对承诺内容的真实性、合法性、有效性负责。经调查核实为虚假承诺的，视同为“提供虚假材料谋取中标、成交”的违法行为，依照《中华人民共和国政府采购法》等法律法规追究相应责任。 4.采购包1及采购包2支付约定：评估工作结束后，乙方按规定日期向甲方提交评估报告书和备案表，甲方收到资料10个工作日内，应按规定一次性支付给乙方全部费用。采购包3支付约定：项目完成且向甲方提交报告后10个工作日内，甲方按程序办理款项支付手续。 5.为保证项目的服务质量，投标单位至多中标1个采购包，评标时将从第1采购包开始依次评审，若投标单位在第1 采购包被评为第1 中标候选人，则其在后续采购包中不再被推荐为第一中标候选人，以此类推。 6.本项目各采购包均采用全费用综合单价据实结算（各采购包结算方式详见3.2.2服务要求），各采购包价格分均使用各投标人全费用综合单价报价进行计算，各投标人的总报价均填写各采购包预算价。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格式（采购包1）.docx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格式（采购包2）.docx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格式（采购包2）.docx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格式（采购包2）.docx 投标函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格式（采购包3）.docx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年或2024年经审计的财务报告或在投标截止时间前六个月内其基本开户银行出具的资信证明或财政部门认可的政府采购专业担保机构出具的投标担保函（以上三种形式的资料提供任何一种即可）。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具有地质灾害评估和治理工程勘查设计甲级资质证书。供应商需在项目电子化交易系统中按要求上传相应证明文件并进行电子签章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 商因违法经营受到刑事处罚或者责 令停产停业、吊销许可证或者执照 、较大数额罚款等行政处罚。</w:t>
            </w:r>
          </w:p>
        </w:tc>
        <w:tc>
          <w:tcPr>
            <w:tcW w:type="dxa" w:w="3322"/>
          </w:tcPr>
          <w:p>
            <w:pPr>
              <w:pStyle w:val="null3"/>
            </w:pPr>
            <w:r>
              <w:rPr>
                <w:rFonts w:ascii="仿宋_GB2312" w:hAnsi="仿宋_GB2312" w:cs="仿宋_GB2312" w:eastAsia="仿宋_GB2312"/>
              </w:rPr>
              <w:t>采购活动前3年内没有重大违法记录的书面声明。供应商需在项目电子化交易系统中按要求上传相应证明文件并进行电子签章 或提供《基本资格条件承诺函》</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提供具有履行本合同所必需的设备和专业技术能力的承诺。供应商需在项目电子化交易系统中按要求上传相应证明文件并进行电子签章或提供《基本资格条件承诺函》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或提供《基本资格条件承诺函》。</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格式（采购包1）.docx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格式（采购包2）.docx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开标一览表 格式（采购包2）.docx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年或2024年经审计的财务报告或在投标截止时间前六个月内其基本开户银行出具的资信证明或财政部门认可的政府采购专业担保机构出具的投标担保函（以上三种形式的资料提供任何一种即可）。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开标一览表 格式（采购包2）.docx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具有地质灾害评估和治理工程勘查设计甲级资质证书。供应商需在项目电子化交易系统中按要求上传相应证明文件并进行电子签章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格式（采购包2）.docx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 商因违法经营受到刑事处罚或者责 令停产停业、吊销许可证或者执照 、较大数额罚款等行政处罚。</w:t>
            </w:r>
          </w:p>
        </w:tc>
        <w:tc>
          <w:tcPr>
            <w:tcW w:type="dxa" w:w="3322"/>
          </w:tcPr>
          <w:p>
            <w:pPr>
              <w:pStyle w:val="null3"/>
            </w:pPr>
            <w:r>
              <w:rPr>
                <w:rFonts w:ascii="仿宋_GB2312" w:hAnsi="仿宋_GB2312" w:cs="仿宋_GB2312" w:eastAsia="仿宋_GB2312"/>
              </w:rPr>
              <w:t>采购活动前3年内没有重大违法记录的书面声明。供应商需在项目电子化交易系统中按要求上传相应证明文件并进行电子签章 或提供《基本资格条件承诺函》</w:t>
            </w:r>
          </w:p>
        </w:tc>
        <w:tc>
          <w:tcPr>
            <w:tcW w:type="dxa" w:w="1661"/>
          </w:tcPr>
          <w:p>
            <w:pPr>
              <w:pStyle w:val="null3"/>
            </w:pPr>
            <w:r>
              <w:rPr>
                <w:rFonts w:ascii="仿宋_GB2312" w:hAnsi="仿宋_GB2312" w:cs="仿宋_GB2312" w:eastAsia="仿宋_GB2312"/>
              </w:rPr>
              <w:t>开标一览表 格式（采购包2）.docx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提供具有履行本合同所必需的设备和专业技术能力的承诺。供应商需在项目电子化交易系统中按要求上传相应证明文件并进行电子签章或提供《基本资格条件承诺函》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开标一览表 格式（采购包2）.docx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或提供《基本资格条件承诺函》。</w:t>
            </w:r>
          </w:p>
        </w:tc>
        <w:tc>
          <w:tcPr>
            <w:tcW w:type="dxa" w:w="1661"/>
          </w:tcPr>
          <w:p>
            <w:pPr>
              <w:pStyle w:val="null3"/>
            </w:pPr>
            <w:r>
              <w:rPr>
                <w:rFonts w:ascii="仿宋_GB2312" w:hAnsi="仿宋_GB2312" w:cs="仿宋_GB2312" w:eastAsia="仿宋_GB2312"/>
              </w:rPr>
              <w:t>开标一览表 格式（采购包2）.docx 投标函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年或2024年经审计的财务报告或在投标截止时间前六个月内其基本开户银行出具的资信证明或财政部门认可的政府采购专业担保机构出具的投标担保函（以上三种形式的资料提供任何一种即可）。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地质灾害评估和治理工程勘查设计甲级资质证书，且具有工程勘察综合类甲级资质证书或工程勘察专业类岩土工程勘察甲级资质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 商因违法经营受到刑事处罚或者责 令停产停业、吊销许可证或者执照 、较大数额罚款等行政处罚。</w:t>
            </w:r>
          </w:p>
        </w:tc>
        <w:tc>
          <w:tcPr>
            <w:tcW w:type="dxa" w:w="3322"/>
          </w:tcPr>
          <w:p>
            <w:pPr>
              <w:pStyle w:val="null3"/>
            </w:pPr>
            <w:r>
              <w:rPr>
                <w:rFonts w:ascii="仿宋_GB2312" w:hAnsi="仿宋_GB2312" w:cs="仿宋_GB2312" w:eastAsia="仿宋_GB2312"/>
              </w:rPr>
              <w:t>采购活动前3年内没有重大违法记录的书面声明。供应商需在项目电子化交易系统中按要求上传相应证明文件并进行电子签章 或提供《基本资格条件承诺函》</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提供具有履行本合同所必需的设备和专业技术能力的承诺。供应商需在项目电子化交易系统中按要求上传相应证明文件并进行电子签章或提供《基本资格条件承诺函》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或提供《基本资格条件承诺函》。</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格式（采购包3）.docx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投标文件签署、签章</w:t>
            </w:r>
          </w:p>
        </w:tc>
        <w:tc>
          <w:tcPr>
            <w:tcW w:type="dxa" w:w="3322"/>
          </w:tcPr>
          <w:p>
            <w:pPr>
              <w:pStyle w:val="null3"/>
            </w:pPr>
            <w:r>
              <w:rPr>
                <w:rFonts w:ascii="仿宋_GB2312" w:hAnsi="仿宋_GB2312" w:cs="仿宋_GB2312" w:eastAsia="仿宋_GB2312"/>
              </w:rPr>
              <w:t>投标文件签署、盖章均按招标文件要求签字、 盖章。</w:t>
            </w:r>
          </w:p>
        </w:tc>
        <w:tc>
          <w:tcPr>
            <w:tcW w:type="dxa" w:w="1661"/>
          </w:tcPr>
          <w:p>
            <w:pPr>
              <w:pStyle w:val="null3"/>
            </w:pPr>
            <w:r>
              <w:rPr>
                <w:rFonts w:ascii="仿宋_GB2312" w:hAnsi="仿宋_GB2312" w:cs="仿宋_GB2312" w:eastAsia="仿宋_GB2312"/>
              </w:rPr>
              <w:t>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报价唯一，且总报价没有超过本采购包总预算，全费用综合单价报价没有超过本采购包全费用综合单价采购预算</w:t>
            </w:r>
          </w:p>
        </w:tc>
        <w:tc>
          <w:tcPr>
            <w:tcW w:type="dxa" w:w="1661"/>
          </w:tcPr>
          <w:p>
            <w:pPr>
              <w:pStyle w:val="null3"/>
            </w:pPr>
            <w:r>
              <w:rPr>
                <w:rFonts w:ascii="仿宋_GB2312" w:hAnsi="仿宋_GB2312" w:cs="仿宋_GB2312" w:eastAsia="仿宋_GB2312"/>
              </w:rPr>
              <w:t>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格式（采购包1）.docx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格式（采购包1）.docx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格式（采购包2）.docx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格式（采购包2）.docx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投标文件签署、签章</w:t>
            </w:r>
          </w:p>
        </w:tc>
        <w:tc>
          <w:tcPr>
            <w:tcW w:type="dxa" w:w="3322"/>
          </w:tcPr>
          <w:p>
            <w:pPr>
              <w:pStyle w:val="null3"/>
            </w:pPr>
            <w:r>
              <w:rPr>
                <w:rFonts w:ascii="仿宋_GB2312" w:hAnsi="仿宋_GB2312" w:cs="仿宋_GB2312" w:eastAsia="仿宋_GB2312"/>
              </w:rPr>
              <w:t>投标文件签署、盖章均按招标文件要求签字、 盖章。</w:t>
            </w:r>
          </w:p>
        </w:tc>
        <w:tc>
          <w:tcPr>
            <w:tcW w:type="dxa" w:w="1661"/>
          </w:tcPr>
          <w:p>
            <w:pPr>
              <w:pStyle w:val="null3"/>
            </w:pPr>
            <w:r>
              <w:rPr>
                <w:rFonts w:ascii="仿宋_GB2312" w:hAnsi="仿宋_GB2312" w:cs="仿宋_GB2312" w:eastAsia="仿宋_GB2312"/>
              </w:rPr>
              <w:t>格式（采购包2）.docx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报价唯一，且总报价没有超过本采购包总预算，全费用综合单价报价没有超过本采购包全费用综合单价采购预算</w:t>
            </w:r>
          </w:p>
        </w:tc>
        <w:tc>
          <w:tcPr>
            <w:tcW w:type="dxa" w:w="1661"/>
          </w:tcPr>
          <w:p>
            <w:pPr>
              <w:pStyle w:val="null3"/>
            </w:pPr>
            <w:r>
              <w:rPr>
                <w:rFonts w:ascii="仿宋_GB2312" w:hAnsi="仿宋_GB2312" w:cs="仿宋_GB2312" w:eastAsia="仿宋_GB2312"/>
              </w:rPr>
              <w:t>格式（采购包2）.docx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格式（采购包2）.docx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格式（采购包2）.docx 投标函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投标文件签署、签章</w:t>
            </w:r>
          </w:p>
        </w:tc>
        <w:tc>
          <w:tcPr>
            <w:tcW w:type="dxa" w:w="3322"/>
          </w:tcPr>
          <w:p>
            <w:pPr>
              <w:pStyle w:val="null3"/>
            </w:pPr>
            <w:r>
              <w:rPr>
                <w:rFonts w:ascii="仿宋_GB2312" w:hAnsi="仿宋_GB2312" w:cs="仿宋_GB2312" w:eastAsia="仿宋_GB2312"/>
              </w:rPr>
              <w:t>投标文件签署、盖章均按招标文件要求签字、 盖章。</w:t>
            </w:r>
          </w:p>
        </w:tc>
        <w:tc>
          <w:tcPr>
            <w:tcW w:type="dxa" w:w="1661"/>
          </w:tcPr>
          <w:p>
            <w:pPr>
              <w:pStyle w:val="null3"/>
            </w:pPr>
            <w:r>
              <w:rPr>
                <w:rFonts w:ascii="仿宋_GB2312" w:hAnsi="仿宋_GB2312" w:cs="仿宋_GB2312" w:eastAsia="仿宋_GB2312"/>
              </w:rPr>
              <w:t>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报价唯一，且总报价没有超过本采购包总预算，全费用综合单价报价没有超过本采购包全费用综合单价采购预算</w:t>
            </w:r>
          </w:p>
        </w:tc>
        <w:tc>
          <w:tcPr>
            <w:tcW w:type="dxa" w:w="1661"/>
          </w:tcPr>
          <w:p>
            <w:pPr>
              <w:pStyle w:val="null3"/>
            </w:pPr>
            <w:r>
              <w:rPr>
                <w:rFonts w:ascii="仿宋_GB2312" w:hAnsi="仿宋_GB2312" w:cs="仿宋_GB2312" w:eastAsia="仿宋_GB2312"/>
              </w:rPr>
              <w:t>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格式（采购包3）.docx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格式（采购包3）.docx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基本情况掌握</w:t>
            </w:r>
          </w:p>
        </w:tc>
        <w:tc>
          <w:tcPr>
            <w:tcW w:type="dxa" w:w="2492"/>
          </w:tcPr>
          <w:p>
            <w:pPr>
              <w:pStyle w:val="null3"/>
            </w:pPr>
            <w:r>
              <w:rPr>
                <w:rFonts w:ascii="仿宋_GB2312" w:hAnsi="仿宋_GB2312" w:cs="仿宋_GB2312" w:eastAsia="仿宋_GB2312"/>
              </w:rPr>
              <w:t>掌握该区的基础资料，对地质灾害类型及特征明确，对地质灾害分布规律研究有分析，齐全得6分，基本齐全得3分，无0分。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工作部署</w:t>
            </w:r>
          </w:p>
        </w:tc>
        <w:tc>
          <w:tcPr>
            <w:tcW w:type="dxa" w:w="2492"/>
          </w:tcPr>
          <w:p>
            <w:pPr>
              <w:pStyle w:val="null3"/>
            </w:pPr>
            <w:r>
              <w:rPr>
                <w:rFonts w:ascii="仿宋_GB2312" w:hAnsi="仿宋_GB2312" w:cs="仿宋_GB2312" w:eastAsia="仿宋_GB2312"/>
              </w:rPr>
              <w:t>工作部署合理性：合理6分，基本合理4分，欠合理得2分，无0分。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技术路线：正确6分，基本正确4分，一般得2分，无0分。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工作方法选择：得当7分，基本得当4分，欠得当2分，无0分。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技术要求：符合规范得7分，基本符合得4分，勉强符合得2分，无0分。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工作计划</w:t>
            </w:r>
          </w:p>
        </w:tc>
        <w:tc>
          <w:tcPr>
            <w:tcW w:type="dxa" w:w="2492"/>
          </w:tcPr>
          <w:p>
            <w:pPr>
              <w:pStyle w:val="null3"/>
            </w:pPr>
            <w:r>
              <w:rPr>
                <w:rFonts w:ascii="仿宋_GB2312" w:hAnsi="仿宋_GB2312" w:cs="仿宋_GB2312" w:eastAsia="仿宋_GB2312"/>
              </w:rPr>
              <w:t>工作计划：符合实际6分，基本可行4分，勉强可行2分，无0分。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组织分工</w:t>
            </w:r>
          </w:p>
        </w:tc>
        <w:tc>
          <w:tcPr>
            <w:tcW w:type="dxa" w:w="2492"/>
          </w:tcPr>
          <w:p>
            <w:pPr>
              <w:pStyle w:val="null3"/>
            </w:pPr>
            <w:r>
              <w:rPr>
                <w:rFonts w:ascii="仿宋_GB2312" w:hAnsi="仿宋_GB2312" w:cs="仿宋_GB2312" w:eastAsia="仿宋_GB2312"/>
              </w:rPr>
              <w:t>组织分工：明确到位6分，基本明确4分，较模糊2分，无0分。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预期成果：满足要求6分，基本满足4分，勉强满足2分，无0分。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项目负责人具有水文地质或工程地质或地质专业的高级职称得2分，中级职称得1分，无0分。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项目组人员具有相关专业（水文地质、工程地质、岩土工程、钻探工程、构造地质、测绘）中级及以上职称，每提供一个得2分，满分8分，无0分。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有健全的内部管理制度，包括人员管理，任务分派，责任到人等。制度全面分工合理4分，制度比较全面分工基本合理2分，无0分。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针对本项目实际情况及采购人实际需求提供可行的应急预案，应急预案内容全面、切实可行4分，内容比较全面，基本切实可行2分，无0分。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质量措施</w:t>
            </w:r>
          </w:p>
        </w:tc>
        <w:tc>
          <w:tcPr>
            <w:tcW w:type="dxa" w:w="2492"/>
          </w:tcPr>
          <w:p>
            <w:pPr>
              <w:pStyle w:val="null3"/>
            </w:pPr>
            <w:r>
              <w:rPr>
                <w:rFonts w:ascii="仿宋_GB2312" w:hAnsi="仿宋_GB2312" w:cs="仿宋_GB2312" w:eastAsia="仿宋_GB2312"/>
              </w:rPr>
              <w:t>质量管理等措施内容齐全，清晰合理，进度安排符合招标文件要求，科学合理，有完善的管理措施得6分。 质量等保障措施内容齐全，较为清晰合理，进度安排较合理，服务管理措施较完善得4分。 质量等保障措施内容基本齐全，内容描述基本清晰，进度安排勉强可行得2分，无0分。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提供针对本项目的安全管理措施、保密制度、保密措施等方案，方案合理并未规避和减少自身应尽义务，根据投标人的阐述切实程度和满足程度进行比较得分。阐述详细完全满足项目要求得6分，阐述较为详细基本满足项目要求得4分，阐述含糊勉强满足项目要求得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投标人具有2022年6月1日至今（以合同签订时间为准）承担过类似项目业绩，投标文件中提供合同复印件并加盖投标人公章，每提供1个得2分，本项满分10分。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r>
        <w:tc>
          <w:tcPr>
            <w:tcW w:type="dxa" w:w="831"/>
            <w:vMerge/>
          </w:tcP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本项目采购全费用综合单价报价进行价格分计算。投标报价得分＝（评标基准价/投标报价）×10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格式（采购包1）.docx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基本情况掌握</w:t>
            </w:r>
          </w:p>
        </w:tc>
        <w:tc>
          <w:tcPr>
            <w:tcW w:type="dxa" w:w="2492"/>
          </w:tcPr>
          <w:p>
            <w:pPr>
              <w:pStyle w:val="null3"/>
            </w:pPr>
            <w:r>
              <w:rPr>
                <w:rFonts w:ascii="仿宋_GB2312" w:hAnsi="仿宋_GB2312" w:cs="仿宋_GB2312" w:eastAsia="仿宋_GB2312"/>
              </w:rPr>
              <w:t>掌握该区的基础资料，对地质灾害类型及特征明确，对地质灾害分布规律研究有分析，齐全得6分，基本齐全得3分，无0分。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工作部署</w:t>
            </w:r>
          </w:p>
        </w:tc>
        <w:tc>
          <w:tcPr>
            <w:tcW w:type="dxa" w:w="2492"/>
          </w:tcPr>
          <w:p>
            <w:pPr>
              <w:pStyle w:val="null3"/>
            </w:pPr>
            <w:r>
              <w:rPr>
                <w:rFonts w:ascii="仿宋_GB2312" w:hAnsi="仿宋_GB2312" w:cs="仿宋_GB2312" w:eastAsia="仿宋_GB2312"/>
              </w:rPr>
              <w:t>工作部署合理性：合理6分，基本合理4分，欠合理得2分，无0分。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技术路线：正确6分，基本正确4分，一般得2分，无0分。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工作方法选择：得当7分，基本得当4分，欠得当2分，无0分。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技术要求：符合规范得7分，基本符合得4分，勉强符合得2分，无0分。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工作计划</w:t>
            </w:r>
          </w:p>
        </w:tc>
        <w:tc>
          <w:tcPr>
            <w:tcW w:type="dxa" w:w="2492"/>
          </w:tcPr>
          <w:p>
            <w:pPr>
              <w:pStyle w:val="null3"/>
            </w:pPr>
            <w:r>
              <w:rPr>
                <w:rFonts w:ascii="仿宋_GB2312" w:hAnsi="仿宋_GB2312" w:cs="仿宋_GB2312" w:eastAsia="仿宋_GB2312"/>
              </w:rPr>
              <w:t>工作计划：符合实际6分，基本可行4分，勉强可行2分，无0分。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组织分工</w:t>
            </w:r>
          </w:p>
        </w:tc>
        <w:tc>
          <w:tcPr>
            <w:tcW w:type="dxa" w:w="2492"/>
          </w:tcPr>
          <w:p>
            <w:pPr>
              <w:pStyle w:val="null3"/>
            </w:pPr>
            <w:r>
              <w:rPr>
                <w:rFonts w:ascii="仿宋_GB2312" w:hAnsi="仿宋_GB2312" w:cs="仿宋_GB2312" w:eastAsia="仿宋_GB2312"/>
              </w:rPr>
              <w:t>组织分工：明确到位6分，基本明确4分，较模糊2分，无0分。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预期成果：满足要求6分，基本满足4分，勉强满足2分，无0分。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项目负责人具有水文地质或工程地质或地质专业的高级职称得2分，中级职称得1分，无0分。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项目组人员具有相关专业（水文地质、工程地质、岩土工程、钻探工程、构造地质、测绘）中级及以上职称，每提供一个得2分，满分8分，无0分。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有健全的内部管理制度，包括人员管理，任务分派，责任到人等。制度全面分工合理4分，制度比较全面分工基本合理2分，无0分。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针对本项目实际情况及采购人实际需求提供可行的应急预案，应急预案内容全面、切实可行4分，内容比较全面，基本切实可行2分，无0分。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质量措施</w:t>
            </w:r>
          </w:p>
        </w:tc>
        <w:tc>
          <w:tcPr>
            <w:tcW w:type="dxa" w:w="2492"/>
          </w:tcPr>
          <w:p>
            <w:pPr>
              <w:pStyle w:val="null3"/>
            </w:pPr>
            <w:r>
              <w:rPr>
                <w:rFonts w:ascii="仿宋_GB2312" w:hAnsi="仿宋_GB2312" w:cs="仿宋_GB2312" w:eastAsia="仿宋_GB2312"/>
              </w:rPr>
              <w:t>质量管理等措施内容齐全，清晰合理，进度安排符合招标文件要求，科学合理，有完善的管理措施得6分。 质量等保障措施内容齐全，较为清晰合理，进度安排较合理，服务管理措施较完善得4分。 质量等保障措施内容基本齐全，内容描述基本清晰，进度安排勉强可行得2分，无0分。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提供针对本项目的安全管理措施、保密制度、保密措施等方案，方案合理并未规避和减少自身应尽义务，根据投标人的阐述切实程度和满足程度进行比较得分。阐述详细完全满足项目要求得6分，阐述较为详细基本满足项目要求得4分，阐述含糊勉强满足项目要求得2分，无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投标人具有2022年6月1日至今（以合同签订时间为准）承担过类似项目业绩，投标文件中提供合同复印件并加盖投标人公章，每提供1个得2分，本项满分10分。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r>
        <w:tc>
          <w:tcPr>
            <w:tcW w:type="dxa" w:w="831"/>
            <w:vMerge/>
          </w:tcP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本项目采购全费用综合单价报价进行价格分计算。投标报价得分＝（评标基准价/投标报价）×10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格式（采购包2）.docx 投标函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根据投标人提供的具体服务方案进行评审。方案科学合理，能完全满足采购人要求得5分；方案基本合理，能满足采购人部分要求得2分，无0分。具体分为以下几项： 1.勘察工程概况 2.勘察范围和服务内容、勘察依据 3.勘察机构设置、组成人员名单，勘察人员岗位职责 4.勘察方案 5.勘察人员进场工作计划表 6.质量、安全、进度、环境控制措施 7.数据及资料管理方案 8.组织协调内容及措施 9.勘察工作重点与难点分析及对策 10.投入的勘察设施、设备及配置计划</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格式（采购包3）.docx</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项目负责人具有中级职称的得4分；高级或以上职称的得6分。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格式（采购包3）.docx</w:t>
            </w:r>
          </w:p>
        </w:tc>
      </w:tr>
      <w:tr>
        <w:tc>
          <w:tcPr>
            <w:tcW w:type="dxa" w:w="831"/>
            <w:vMerge/>
          </w:tcPr>
          <w:p/>
        </w:tc>
        <w:tc>
          <w:tcPr>
            <w:tcW w:type="dxa" w:w="1661"/>
          </w:tcPr>
          <w:p>
            <w:pPr>
              <w:pStyle w:val="null3"/>
            </w:pPr>
            <w:r>
              <w:rPr>
                <w:rFonts w:ascii="仿宋_GB2312" w:hAnsi="仿宋_GB2312" w:cs="仿宋_GB2312" w:eastAsia="仿宋_GB2312"/>
              </w:rPr>
              <w:t>项目负责人近三年类似业绩</w:t>
            </w:r>
          </w:p>
        </w:tc>
        <w:tc>
          <w:tcPr>
            <w:tcW w:type="dxa" w:w="2492"/>
          </w:tcPr>
          <w:p>
            <w:pPr>
              <w:pStyle w:val="null3"/>
            </w:pPr>
            <w:r>
              <w:rPr>
                <w:rFonts w:ascii="仿宋_GB2312" w:hAnsi="仿宋_GB2312" w:cs="仿宋_GB2312" w:eastAsia="仿宋_GB2312"/>
              </w:rPr>
              <w:t>项目负责人近三年（2022年6月1日后）担任过类似项目的负责人的，每提供一个业绩证明资料得2分，最高得4分。投标文件中提供合同复印件并加盖投标人公章。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格式（采购包3）.docx</w:t>
            </w:r>
          </w:p>
        </w:tc>
      </w:tr>
      <w:tr>
        <w:tc>
          <w:tcPr>
            <w:tcW w:type="dxa" w:w="831"/>
            <w:vMerge/>
          </w:tcPr>
          <w:p/>
        </w:tc>
        <w:tc>
          <w:tcPr>
            <w:tcW w:type="dxa" w:w="1661"/>
          </w:tcPr>
          <w:p>
            <w:pPr>
              <w:pStyle w:val="null3"/>
            </w:pPr>
            <w:r>
              <w:rPr>
                <w:rFonts w:ascii="仿宋_GB2312" w:hAnsi="仿宋_GB2312" w:cs="仿宋_GB2312" w:eastAsia="仿宋_GB2312"/>
              </w:rPr>
              <w:t>项目组成员职称</w:t>
            </w:r>
          </w:p>
        </w:tc>
        <w:tc>
          <w:tcPr>
            <w:tcW w:type="dxa" w:w="2492"/>
          </w:tcPr>
          <w:p>
            <w:pPr>
              <w:pStyle w:val="null3"/>
            </w:pPr>
            <w:r>
              <w:rPr>
                <w:rFonts w:ascii="仿宋_GB2312" w:hAnsi="仿宋_GB2312" w:cs="仿宋_GB2312" w:eastAsia="仿宋_GB2312"/>
              </w:rPr>
              <w:t>投入本项目的项目组成员中，具备高级及以上职称资格的人员，每提供1人得2分；具备中级职称资格的人员，每提供1人得1分；此项满分10分。（评审项人员中，中级及高级职称不重复计分，以最高级别为准。）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格式（采购包3）.docx</w:t>
            </w:r>
          </w:p>
        </w:tc>
      </w:tr>
      <w:tr>
        <w:tc>
          <w:tcPr>
            <w:tcW w:type="dxa" w:w="831"/>
            <w:vMerge/>
          </w:tcPr>
          <w:p/>
        </w:tc>
        <w:tc>
          <w:tcPr>
            <w:tcW w:type="dxa" w:w="1661"/>
          </w:tcPr>
          <w:p>
            <w:pPr>
              <w:pStyle w:val="null3"/>
            </w:pPr>
            <w:r>
              <w:rPr>
                <w:rFonts w:ascii="仿宋_GB2312" w:hAnsi="仿宋_GB2312" w:cs="仿宋_GB2312" w:eastAsia="仿宋_GB2312"/>
              </w:rPr>
              <w:t>勘察报告编制</w:t>
            </w:r>
          </w:p>
        </w:tc>
        <w:tc>
          <w:tcPr>
            <w:tcW w:type="dxa" w:w="2492"/>
          </w:tcPr>
          <w:p>
            <w:pPr>
              <w:pStyle w:val="null3"/>
            </w:pPr>
            <w:r>
              <w:rPr>
                <w:rFonts w:ascii="仿宋_GB2312" w:hAnsi="仿宋_GB2312" w:cs="仿宋_GB2312" w:eastAsia="仿宋_GB2312"/>
              </w:rPr>
              <w:t>对勘察报告编制的质量要求、进度要求、时限要求等做出承诺。承诺内容齐全，清晰合理得5分；承诺内容含糊，勉强合理得2分。无0分。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格式（采购包3）.docx</w:t>
            </w:r>
          </w:p>
        </w:tc>
      </w:tr>
      <w:tr>
        <w:tc>
          <w:tcPr>
            <w:tcW w:type="dxa" w:w="831"/>
            <w:vMerge/>
          </w:tcPr>
          <w:p/>
        </w:tc>
        <w:tc>
          <w:tcPr>
            <w:tcW w:type="dxa" w:w="1661"/>
          </w:tcPr>
          <w:p>
            <w:pPr>
              <w:pStyle w:val="null3"/>
            </w:pPr>
            <w:r>
              <w:rPr>
                <w:rFonts w:ascii="仿宋_GB2312" w:hAnsi="仿宋_GB2312" w:cs="仿宋_GB2312" w:eastAsia="仿宋_GB2312"/>
              </w:rPr>
              <w:t>后期服务内容</w:t>
            </w:r>
          </w:p>
        </w:tc>
        <w:tc>
          <w:tcPr>
            <w:tcW w:type="dxa" w:w="2492"/>
          </w:tcPr>
          <w:p>
            <w:pPr>
              <w:pStyle w:val="null3"/>
            </w:pPr>
            <w:r>
              <w:rPr>
                <w:rFonts w:ascii="仿宋_GB2312" w:hAnsi="仿宋_GB2312" w:cs="仿宋_GB2312" w:eastAsia="仿宋_GB2312"/>
              </w:rPr>
              <w:t>对项目后期服务等相关内容做出承诺，承诺内容齐全，清晰合理得5分；承诺内容含糊，勉强合理得2分。无0分.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投标人具有2022年6月1日至今（以合同签订时间为准）承担过类似项目业绩，投标文件中提供合同复印件并加盖投标人公章，每提供1个得2分，本项满分10分。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格式（采购包3）.docx</w:t>
            </w:r>
          </w:p>
        </w:tc>
      </w:tr>
      <w:tr>
        <w:tc>
          <w:tcPr>
            <w:tcW w:type="dxa" w:w="831"/>
            <w:vMerge/>
          </w:tcP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本项目采购全费用综合单价报价进行价格分计算。投标报价得分＝（评标基准价/投标报价）×10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格式（采购包3）.docx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格式（采购包3）.docx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详见附件：格式（采购包1）.docx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详见附件：格式（采购包2）.docx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详见附件：格式（采购包3）.docx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详见附件：合同（整体）.docx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