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版本号：FDZB-2025-004Z20250507001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高新区2025年小麦“一喷三防”项目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FDZB-2025-004Z</w:t>
      </w:r>
      <w:r>
        <w:br/>
      </w:r>
      <w:r>
        <w:br/>
      </w:r>
      <w:r>
        <w:br/>
      </w:r>
    </w:p>
    <w:p>
      <w:pPr>
        <w:pStyle w:val="null3"/>
        <w:jc w:val="center"/>
        <w:outlineLvl w:val="2"/>
      </w:pPr>
      <w:r>
        <w:rPr>
          <w:rFonts w:ascii="仿宋_GB2312" w:hAnsi="仿宋_GB2312" w:cs="仿宋_GB2312" w:eastAsia="仿宋_GB2312"/>
          <w:sz w:val="28"/>
          <w:b/>
        </w:rPr>
        <w:t>西安高新技术产业开发区农业农村和水务局</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西安高新技术产业开发区农业农村和水务局</w:t>
      </w:r>
      <w:r>
        <w:rPr>
          <w:rFonts w:ascii="仿宋_GB2312" w:hAnsi="仿宋_GB2312" w:cs="仿宋_GB2312" w:eastAsia="仿宋_GB2312"/>
        </w:rPr>
        <w:t>委托，拟对</w:t>
      </w:r>
      <w:r>
        <w:rPr>
          <w:rFonts w:ascii="仿宋_GB2312" w:hAnsi="仿宋_GB2312" w:cs="仿宋_GB2312" w:eastAsia="仿宋_GB2312"/>
        </w:rPr>
        <w:t>高新区2025年小麦“一喷三防”项目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FDZB-2025-004Z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高新区2025年小麦“一喷三防”项目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高新区2025年小麦“一喷三防”项目计划用于在全区小麦主产区域开展小麦“一喷三防”统防统治1.125万亩。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采购包1（高新区2025年小麦“一喷三防”项目）：属于专门面向小微企业采购。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或自然人，具有独立承担民事责任的能力，提供营业执照（或事业法人证）、组织机构代码证、税务登记证或统一社会信用代码的营业执照等证明文件，申请人为自然人的提供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定代表人身份证明书，并与营业执照上信息一致。法定代表人授权代表参加磋商的，须出具法定代表人授权书及授权代表身份证；</w:t>
      </w:r>
    </w:p>
    <w:p>
      <w:pPr>
        <w:pStyle w:val="null3"/>
      </w:pPr>
      <w:r>
        <w:rPr>
          <w:rFonts w:ascii="仿宋_GB2312" w:hAnsi="仿宋_GB2312" w:cs="仿宋_GB2312" w:eastAsia="仿宋_GB2312"/>
        </w:rPr>
        <w:t>3、企业资质：供应商为制造商须具提供药品三证（农药登记证、农药生产许可证、产品标准证），供应商为代理商须提供农药经营许可证及药品三证（农药登记证、农药生产许可证、产品标准证），药品三证及农药须在有效期范围内；</w:t>
      </w:r>
    </w:p>
    <w:p>
      <w:pPr>
        <w:pStyle w:val="null3"/>
      </w:pPr>
      <w:r>
        <w:rPr>
          <w:rFonts w:ascii="仿宋_GB2312" w:hAnsi="仿宋_GB2312" w:cs="仿宋_GB2312" w:eastAsia="仿宋_GB2312"/>
        </w:rPr>
        <w:t>4、企业信誉：供应商在“ 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5、其他要求：①税收缴纳证明：提供供应商自磋商前一年内至少一个月已缴纳的增值税或营业税或企业所得税的凭据或税务机关开具的完税证明；依法免税的应提供相关文件证明;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西安高新技术产业开发区农业农村和水务局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西安市高新区丝路创智谷5号楼2层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18291906239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代理服务收费管理暂行办法》的通知（计价格〔2002〕1980号）、《国家发展和改革委员会办公厅关于代理服务收费有关问题的通知》（发改办价格〔2003〕857号）规定标准收取。不足伍仟的按伍仟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西安高新技术产业开发区农业农村和水务局</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西安高新技术产业开发区农业农村和水务局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西安高新技术产业开发区农业农村和水务局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符合采购人要求，绩效评价达到良及良以上。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地址：陕西省西安市雁塔区天地源悦熙广场2号楼19层11901室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高新区2025年小麦“一喷三防”项目计划用于在全区小麦主产区域开展小麦“一喷三防”统防统治1.125万亩。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225,000.00</w:t>
      </w:r>
    </w:p>
    <w:p>
      <w:pPr>
        <w:pStyle w:val="null3"/>
      </w:pPr>
      <w:r>
        <w:rPr>
          <w:rFonts w:ascii="仿宋_GB2312" w:hAnsi="仿宋_GB2312" w:cs="仿宋_GB2312" w:eastAsia="仿宋_GB2312"/>
        </w:rPr>
        <w:t>采购包最高限价（元）: 225,000.00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高新区2025年小麦“一喷三防”项目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标的名称：高新区2025年小麦“一喷三防”项目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color w:val="0000FF"/>
              </w:rPr>
              <w:t>1、</w:t>
            </w:r>
            <w:r>
              <w:rPr>
                <w:rFonts w:ascii="仿宋_GB2312" w:hAnsi="仿宋_GB2312" w:cs="仿宋_GB2312" w:eastAsia="仿宋_GB2312"/>
                <w:color w:val="0000FF"/>
              </w:rPr>
              <w:t>采购内容</w:t>
            </w:r>
            <w:r>
              <w:rPr>
                <w:rFonts w:ascii="仿宋_GB2312" w:hAnsi="仿宋_GB2312" w:cs="仿宋_GB2312" w:eastAsia="仿宋_GB2312"/>
                <w:color w:val="0000FF"/>
              </w:rPr>
              <w:t>:</w:t>
            </w:r>
            <w:r>
              <w:rPr>
                <w:rFonts w:ascii="仿宋_GB2312" w:hAnsi="仿宋_GB2312" w:cs="仿宋_GB2312" w:eastAsia="仿宋_GB2312"/>
                <w:color w:val="0000FF"/>
              </w:rPr>
              <w:t>高新区</w:t>
            </w:r>
            <w:r>
              <w:rPr>
                <w:rFonts w:ascii="仿宋_GB2312" w:hAnsi="仿宋_GB2312" w:cs="仿宋_GB2312" w:eastAsia="仿宋_GB2312"/>
                <w:color w:val="0000FF"/>
              </w:rPr>
              <w:t>2025年小麦“一喷三防”项目计划用于在全区小麦主产区域开展小麦“一喷三防”统防统治1.125万亩（包含药剂、人工作业费用等全部费用）</w:t>
            </w:r>
            <w:r>
              <w:rPr>
                <w:rFonts w:ascii="仿宋_GB2312" w:hAnsi="仿宋_GB2312" w:cs="仿宋_GB2312" w:eastAsia="仿宋_GB2312"/>
                <w:color w:val="0000FF"/>
              </w:rPr>
              <w:t>；</w:t>
            </w:r>
          </w:p>
          <w:p>
            <w:pPr>
              <w:pStyle w:val="null3"/>
              <w:jc w:val="left"/>
            </w:pPr>
            <w:r>
              <w:rPr>
                <w:rFonts w:ascii="仿宋_GB2312" w:hAnsi="仿宋_GB2312" w:cs="仿宋_GB2312" w:eastAsia="仿宋_GB2312"/>
                <w:color w:val="0000FF"/>
              </w:rPr>
              <w:t>2、技术要求：采用雾滴细、防效好、效率高的植保机械，推荐使用自走式喷杆喷雾机或植保无人机；</w:t>
            </w:r>
          </w:p>
          <w:p>
            <w:pPr>
              <w:pStyle w:val="null3"/>
              <w:jc w:val="left"/>
            </w:pPr>
            <w:r>
              <w:rPr>
                <w:rFonts w:ascii="仿宋_GB2312" w:hAnsi="仿宋_GB2312" w:cs="仿宋_GB2312" w:eastAsia="仿宋_GB2312"/>
                <w:color w:val="0000FF"/>
              </w:rPr>
              <w:t>2.1、使用自走式喷杆喷雾机亩用水量20-30升；</w:t>
            </w:r>
          </w:p>
          <w:p>
            <w:pPr>
              <w:pStyle w:val="null3"/>
              <w:jc w:val="left"/>
            </w:pPr>
            <w:r>
              <w:rPr>
                <w:rFonts w:ascii="仿宋_GB2312" w:hAnsi="仿宋_GB2312" w:cs="仿宋_GB2312" w:eastAsia="仿宋_GB2312"/>
                <w:color w:val="0000FF"/>
              </w:rPr>
              <w:t>2.2、使用植保无人机应合理设定飞行参数，确保喷雾均匀、无重喷漏喷、飘移损失小且小麦植株无折损。防控小麦穗期病虫害，环境风速应小于三级风（＜3.4 m/s），施药液量不少于3升/亩（对于赤霉病应结合实际增加施药液量），飞行速度不应大于7 m/s，飞行高度（离小麦冠层的高度）2—4 m；作业时适当叠加喷幅、增加作业航线，保证喷幅边缘有足够的药液沉积量，施药后如遇雨，应及时补治，施药应添加飞防助剂；</w:t>
            </w:r>
          </w:p>
          <w:p>
            <w:pPr>
              <w:pStyle w:val="null3"/>
              <w:jc w:val="left"/>
            </w:pPr>
            <w:r>
              <w:rPr>
                <w:rFonts w:ascii="仿宋_GB2312" w:hAnsi="仿宋_GB2312" w:cs="仿宋_GB2312" w:eastAsia="仿宋_GB2312"/>
                <w:color w:val="0000FF"/>
              </w:rPr>
              <w:t>3、药剂选用参照《陕西省植物保护工作总站关于转发全国农技中心&lt;植保无人飞机施药防控小麦穗期病虫害技术指导意见&gt;的通知》（陕植发〔2025〕30号），</w:t>
            </w:r>
            <w:r>
              <w:rPr>
                <w:rFonts w:ascii="仿宋_GB2312" w:hAnsi="仿宋_GB2312" w:cs="仿宋_GB2312" w:eastAsia="仿宋_GB2312"/>
                <w:color w:val="0000FF"/>
              </w:rPr>
              <w:t>合理混用杀虫剂、杀菌剂、叶面肥、飞防助剂等，确保桶混药液均匀稳定、协同增效且安全无药害。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自合同签订之日起7日历天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符合采购人要求，绩效评价达到良及良以上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合同签订后，供应商完成采购内容，并经采购人验收合格，且绩效评价达到良及良以上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一般与合同款项的支付相关，不要超出《民法典》中对于违约的责任上限。如若发生争议，双方应积极协调，尽快处理。如协调无果应当在发生合同所在地法院进行诉讼。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四表一注”，即资产负债表、利润表、现金流量表、所有者权益变动表及其附注，成立时间至提交磋商响应文件递交截止时间不足一年的可提供成立后任意时段的资产负债表），或其磋商时间前6个月内基本存款账户开户银行出具的资信证明（附基本存款账户证明材料）；（以上两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供应商提交的相关证明材料.docx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营业执照（或事业法人证）、组织机构代码证、税务登记证或统一社会信用代码的营业执照等证明文件，申请人为自然人的提供身份证；</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w:t>
            </w:r>
          </w:p>
        </w:tc>
        <w:tc>
          <w:tcPr>
            <w:tcW w:type="dxa" w:w="1661"/>
          </w:tcPr>
          <w:p>
            <w:pPr>
              <w:pStyle w:val="null3"/>
            </w:pPr>
            <w:r>
              <w:rPr>
                <w:rFonts w:ascii="仿宋_GB2312" w:hAnsi="仿宋_GB2312" w:cs="仿宋_GB2312" w:eastAsia="仿宋_GB2312"/>
              </w:rPr>
              <w:t>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为制造商须具提供药品三证（农药登记证、农药生产许可证、产品标准证），供应商为代理商须提供农药经营许可证及药品三证（农药登记证、农药生产许可证、产品标准证），药品三证及农药须在有效期范围内；</w:t>
            </w:r>
          </w:p>
        </w:tc>
        <w:tc>
          <w:tcPr>
            <w:tcW w:type="dxa" w:w="1661"/>
          </w:tcPr>
          <w:p>
            <w:pPr>
              <w:pStyle w:val="null3"/>
            </w:pPr>
            <w:r>
              <w:rPr>
                <w:rFonts w:ascii="仿宋_GB2312" w:hAnsi="仿宋_GB2312" w:cs="仿宋_GB2312" w:eastAsia="仿宋_GB2312"/>
              </w:rPr>
              <w:t>企业资质.docx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供应商在“ 中国执行信息公开网”网站（zxgk.court.gov.cn）中未列入失信被执行人，在“信用中国”网站（www.creditchina.gov.cn）中未列入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企业信誉.docx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①税收缴纳证明：提供供应商自磋商前一年内至少一个月已缴纳的增值税或营业税或企业所得税的凭据或税务机关开具的完税证明；依法免税的应提供相关文件证明; ②社会保障资金缴纳证明：提供供应商自磋商前一年内已缴纳的至少一个月的社会保障资金缴存单据或社保机构开具的社会保险参保缴费情况证明，依法不需要缴纳社会保障资金的单位应提供相关证明材料； ③具有履行合同所必需的设备和专业技术能力的承诺； ④提供参加本次政府采购活动前三年内在经营活动中没有重大违法记录的书面声明。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是否符合法律、法规和磋商文件规定，无其他无效投标情形的。</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供应商针对本项目有完善的项目实施方案，供货组织安排、分工合理，责任明确，详细的人员、运输、派送措施等。方案内容完整、全面、详细的计（7-10]分；方案内容欠缺、较薄弱的计（4-7]分；方案内容有2项以上严重欠缺、薄弱的计（0-4]分； 2.时间和进度控制方案，有明确的时间和进度控制，能够在采购人规定的时间内保质保量完成任务。方案内容完整、全面、详细的计（7-10]分；方案内容欠缺、较薄弱的计（4-7]分；方案内容有2项以上严重欠缺、薄弱的计（0-4]分； 3.供应商在产品检验、残损品补救措施等方面有详尽的计划，且具有明确的承诺，根据响应程度计0-5分。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应急处置方案</w:t>
            </w:r>
          </w:p>
        </w:tc>
        <w:tc>
          <w:tcPr>
            <w:tcW w:type="dxa" w:w="2492"/>
          </w:tcPr>
          <w:p>
            <w:pPr>
              <w:pStyle w:val="null3"/>
            </w:pPr>
            <w:r>
              <w:rPr>
                <w:rFonts w:ascii="仿宋_GB2312" w:hAnsi="仿宋_GB2312" w:cs="仿宋_GB2312" w:eastAsia="仿宋_GB2312"/>
              </w:rPr>
              <w:t>方案总体思路清晰，工作重点突出、内容全面。应急和突发事件的处理措施方案全面、科学、合理、可行。应急处置方案完整、全面、详细的计（6-10]分；应急处置方案欠缺、较薄弱的计（3-6]分；应急处置方案严重欠缺、薄弱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内容详细全面、完整、完善可行的（6-10]分；内容欠缺、较薄弱的计（3-6]分；内容严重欠缺、薄弱的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能提供所投产品的合法来源渠道证明文件（包括但不限于产品制造商授权、销售协议、代理协议、原厂授权等）的计5分，不提供或提供不全的不计分;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售后方案</w:t>
            </w:r>
          </w:p>
        </w:tc>
        <w:tc>
          <w:tcPr>
            <w:tcW w:type="dxa" w:w="2492"/>
          </w:tcPr>
          <w:p>
            <w:pPr>
              <w:pStyle w:val="null3"/>
            </w:pPr>
            <w:r>
              <w:rPr>
                <w:rFonts w:ascii="仿宋_GB2312" w:hAnsi="仿宋_GB2312" w:cs="仿宋_GB2312" w:eastAsia="仿宋_GB2312"/>
              </w:rPr>
              <w:t>1.有具体可行的售后承诺、设有专业的技术服务队伍，有效保障本地化技术服务及售后服务协调及时性，根据响应程度计（0-5]分。 2.供应商在项目实施区域内即时响应能力，根据响应程度计（0-5]分。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供应商人员分工明确、责任明确，针对小麦“一喷三防”防治组织人员班组结构合理，专业齐全能够全面满足项目需求，有具体的人员明细，包括姓名、职责等内容，根据响应程度计 （0-5]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约能力承诺详细、具体,包括资金筹措、仓储设施、运输工具、人员素质、管理水平等方面进行比较;内容详细全面、完整、完善可行的（5-8]分；内容欠缺、较薄弱的计（3-5]分；内容严重欠缺、薄弱的计（0-3]分。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培训方式、时间、地点、人员、培训内容。 内容详细全面、完整、完善可行的（4-6]分；内容欠缺、较薄弱的计（2-4]分；内容严重欠缺、薄弱的计（0-2]分。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供应商提供2022年1月至今同类项目业绩，每提供1个得2分，最高得6分。 （业绩资料须提供合同书复印件并加盖单位公章，时间以合同签订时间为准）；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满足磋商文件要求且磋商价格最低的磋商报价为磋商基准价。其他供应商的价格分统一按照下列公式计算： 磋商报价得分=（磋商基准价/最终磋商报价）×价格权值（即15%）×100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详见附件：企业资质.docx</w:t>
      </w:r>
    </w:p>
    <w:p>
      <w:pPr>
        <w:pStyle w:val="null3"/>
        <w:ind w:firstLine="960"/>
      </w:pPr>
      <w:r>
        <w:rPr>
          <w:rFonts w:ascii="仿宋_GB2312" w:hAnsi="仿宋_GB2312" w:cs="仿宋_GB2312" w:eastAsia="仿宋_GB2312"/>
        </w:rPr>
        <w:t>详见附件：供应商提交的相关证明材料.docx</w:t>
      </w:r>
    </w:p>
    <w:p>
      <w:pPr>
        <w:pStyle w:val="null3"/>
        <w:ind w:firstLine="960"/>
      </w:pPr>
      <w:r>
        <w:rPr>
          <w:rFonts w:ascii="仿宋_GB2312" w:hAnsi="仿宋_GB2312" w:cs="仿宋_GB2312" w:eastAsia="仿宋_GB2312"/>
        </w:rPr>
        <w:t>详见附件：企业信誉.docx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