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024908">
      <w:pPr>
        <w:autoSpaceDE w:val="0"/>
        <w:autoSpaceDN w:val="0"/>
        <w:adjustRightInd w:val="0"/>
        <w:spacing w:line="360" w:lineRule="auto"/>
        <w:ind w:left="-525" w:leftChars="-250"/>
        <w:jc w:val="center"/>
        <w:outlineLvl w:val="0"/>
        <w:rPr>
          <w:rFonts w:hint="eastAsia" w:ascii="宋体" w:hAnsi="宋体" w:eastAsia="宋体" w:cs="宋体"/>
          <w:b/>
          <w:sz w:val="32"/>
          <w:szCs w:val="32"/>
          <w:highlight w:val="none"/>
          <w:lang w:val="zh-CN"/>
        </w:rPr>
      </w:pPr>
      <w:bookmarkStart w:id="0" w:name="_GoBack"/>
      <w:bookmarkEnd w:id="0"/>
      <w:r>
        <w:rPr>
          <w:rFonts w:hint="eastAsia" w:ascii="宋体" w:hAnsi="宋体" w:eastAsia="宋体" w:cs="宋体"/>
          <w:b/>
          <w:bCs/>
          <w:color w:val="auto"/>
          <w:sz w:val="32"/>
          <w:szCs w:val="32"/>
          <w:highlight w:val="none"/>
          <w:lang w:val="zh-CN"/>
        </w:rPr>
        <w:t>合同范本</w:t>
      </w:r>
    </w:p>
    <w:p w14:paraId="5C3FC028">
      <w:pPr>
        <w:autoSpaceDE w:val="0"/>
        <w:autoSpaceDN w:val="0"/>
        <w:adjustRightInd w:val="0"/>
        <w:spacing w:line="360" w:lineRule="auto"/>
        <w:ind w:left="1054" w:hanging="703" w:hangingChars="250"/>
        <w:rPr>
          <w:rFonts w:hint="eastAsia" w:ascii="宋体" w:hAnsi="宋体" w:eastAsia="宋体" w:cs="宋体"/>
          <w:b/>
          <w:bCs/>
          <w:sz w:val="28"/>
          <w:szCs w:val="28"/>
          <w:highlight w:val="none"/>
          <w:lang w:val="zh-CN"/>
        </w:rPr>
      </w:pPr>
      <w:r>
        <w:rPr>
          <w:rFonts w:hint="eastAsia" w:ascii="宋体" w:hAnsi="宋体" w:eastAsia="宋体" w:cs="宋体"/>
          <w:b/>
          <w:bCs/>
          <w:sz w:val="28"/>
          <w:szCs w:val="28"/>
          <w:highlight w:val="none"/>
          <w:lang w:val="zh-CN"/>
        </w:rPr>
        <w:t xml:space="preserve">  </w:t>
      </w:r>
    </w:p>
    <w:p w14:paraId="5410E40E">
      <w:pPr>
        <w:autoSpaceDE w:val="0"/>
        <w:autoSpaceDN w:val="0"/>
        <w:adjustRightInd w:val="0"/>
        <w:spacing w:line="360" w:lineRule="auto"/>
        <w:ind w:left="1054" w:hanging="703" w:hangingChars="250"/>
        <w:rPr>
          <w:rFonts w:hint="eastAsia" w:ascii="宋体" w:hAnsi="宋体" w:eastAsia="宋体" w:cs="宋体"/>
          <w:b/>
          <w:bCs/>
          <w:sz w:val="28"/>
          <w:szCs w:val="28"/>
          <w:highlight w:val="none"/>
          <w:lang w:val="zh-CN"/>
        </w:rPr>
      </w:pPr>
    </w:p>
    <w:p w14:paraId="4DEE2652">
      <w:pPr>
        <w:autoSpaceDE w:val="0"/>
        <w:autoSpaceDN w:val="0"/>
        <w:adjustRightInd w:val="0"/>
        <w:spacing w:line="360" w:lineRule="auto"/>
        <w:ind w:left="1054" w:hanging="703" w:hangingChars="250"/>
        <w:rPr>
          <w:rFonts w:hint="eastAsia" w:ascii="宋体" w:hAnsi="宋体" w:eastAsia="宋体" w:cs="宋体"/>
          <w:b/>
          <w:bCs/>
          <w:sz w:val="28"/>
          <w:szCs w:val="28"/>
          <w:highlight w:val="none"/>
          <w:lang w:val="zh-CN"/>
        </w:rPr>
      </w:pPr>
    </w:p>
    <w:p w14:paraId="38758E06">
      <w:pPr>
        <w:autoSpaceDE w:val="0"/>
        <w:autoSpaceDN w:val="0"/>
        <w:adjustRightInd w:val="0"/>
        <w:spacing w:line="360" w:lineRule="auto"/>
        <w:ind w:left="1054" w:hanging="703" w:hangingChars="250"/>
        <w:jc w:val="center"/>
        <w:rPr>
          <w:rFonts w:hint="eastAsia" w:ascii="宋体" w:hAnsi="宋体" w:eastAsia="宋体" w:cs="宋体"/>
          <w:b/>
          <w:bCs/>
          <w:sz w:val="28"/>
          <w:szCs w:val="28"/>
          <w:highlight w:val="none"/>
          <w:lang w:val="en-US" w:eastAsia="zh-CN"/>
        </w:rPr>
        <w:sectPr>
          <w:pgSz w:w="11906" w:h="16838"/>
          <w:pgMar w:top="1417" w:right="1417" w:bottom="1417" w:left="1417" w:header="624" w:footer="850" w:gutter="0"/>
          <w:pgNumType w:fmt="decimal"/>
          <w:cols w:space="720" w:num="1"/>
          <w:rtlGutter w:val="0"/>
          <w:docGrid w:linePitch="312" w:charSpace="0"/>
        </w:sectPr>
      </w:pPr>
      <w:r>
        <w:rPr>
          <w:rFonts w:hint="eastAsia" w:ascii="宋体" w:hAnsi="宋体" w:eastAsia="宋体" w:cs="宋体"/>
          <w:b/>
          <w:bCs/>
          <w:sz w:val="28"/>
          <w:szCs w:val="28"/>
          <w:highlight w:val="none"/>
          <w:lang w:val="en-US" w:eastAsia="zh-CN"/>
        </w:rPr>
        <w:t>(本合同仅供参考，具体以甲乙双方签订为准，但不得更改磋商文件及磋商响应文件中的实质要求)</w:t>
      </w:r>
    </w:p>
    <w:p w14:paraId="057756FF">
      <w:pPr>
        <w:pStyle w:val="4"/>
        <w:spacing w:line="460" w:lineRule="exact"/>
        <w:ind w:firstLine="0" w:firstLineChars="0"/>
        <w:contextualSpacing/>
        <w:rPr>
          <w:rFonts w:hint="eastAsia" w:ascii="宋体" w:hAnsi="宋体" w:eastAsia="宋体" w:cs="宋体"/>
          <w:szCs w:val="21"/>
        </w:rPr>
      </w:pPr>
      <w:r>
        <w:rPr>
          <w:rFonts w:hint="eastAsia" w:ascii="宋体" w:hAnsi="宋体" w:eastAsia="宋体" w:cs="宋体"/>
          <w:szCs w:val="21"/>
        </w:rPr>
        <w:t>甲方（采购人）：</w:t>
      </w:r>
      <w:r>
        <w:rPr>
          <w:rFonts w:hint="eastAsia" w:ascii="宋体" w:hAnsi="宋体" w:eastAsia="宋体" w:cs="宋体"/>
          <w:szCs w:val="21"/>
          <w:u w:val="single"/>
        </w:rPr>
        <w:t xml:space="preserve">                          </w:t>
      </w:r>
    </w:p>
    <w:p w14:paraId="2961D37B">
      <w:pPr>
        <w:pStyle w:val="4"/>
        <w:spacing w:line="460" w:lineRule="exact"/>
        <w:ind w:firstLine="0" w:firstLineChars="0"/>
        <w:contextualSpacing/>
        <w:rPr>
          <w:rFonts w:hint="eastAsia" w:ascii="宋体" w:hAnsi="宋体" w:eastAsia="宋体" w:cs="宋体"/>
          <w:szCs w:val="21"/>
        </w:rPr>
      </w:pPr>
      <w:r>
        <w:rPr>
          <w:rFonts w:hint="eastAsia" w:ascii="宋体" w:hAnsi="宋体" w:eastAsia="宋体" w:cs="宋体"/>
          <w:szCs w:val="21"/>
        </w:rPr>
        <w:t>乙方（中标供应商）：</w:t>
      </w:r>
      <w:r>
        <w:rPr>
          <w:rFonts w:hint="eastAsia" w:ascii="宋体" w:hAnsi="宋体" w:eastAsia="宋体" w:cs="宋体"/>
          <w:szCs w:val="21"/>
          <w:u w:val="single"/>
        </w:rPr>
        <w:t xml:space="preserve">                            </w:t>
      </w:r>
    </w:p>
    <w:p w14:paraId="74CEBD56">
      <w:pPr>
        <w:spacing w:line="460" w:lineRule="exact"/>
        <w:ind w:firstLine="420" w:firstLineChars="200"/>
        <w:rPr>
          <w:rFonts w:hint="eastAsia" w:ascii="宋体" w:hAnsi="宋体" w:eastAsia="宋体" w:cs="宋体"/>
        </w:rPr>
      </w:pPr>
      <w:r>
        <w:rPr>
          <w:rFonts w:hint="eastAsia" w:ascii="宋体" w:hAnsi="宋体" w:eastAsia="宋体" w:cs="宋体"/>
          <w:szCs w:val="21"/>
          <w:lang w:eastAsia="zh-CN"/>
        </w:rPr>
        <w:t>陕西中正天投项目管理有限公司</w:t>
      </w:r>
      <w:r>
        <w:rPr>
          <w:rFonts w:hint="eastAsia" w:ascii="宋体" w:hAnsi="宋体" w:eastAsia="宋体" w:cs="宋体"/>
          <w:szCs w:val="21"/>
        </w:rPr>
        <w:t>就甲方所需货物，在</w:t>
      </w:r>
      <w:r>
        <w:rPr>
          <w:rFonts w:hint="eastAsia" w:ascii="宋体" w:hAnsi="宋体" w:eastAsia="宋体" w:cs="宋体"/>
          <w:szCs w:val="21"/>
          <w:lang w:val="en-US" w:eastAsia="zh-CN"/>
        </w:rPr>
        <w:t>蒲城县财政局</w:t>
      </w:r>
      <w:r>
        <w:rPr>
          <w:rFonts w:hint="eastAsia" w:ascii="宋体" w:hAnsi="宋体" w:eastAsia="宋体" w:cs="宋体"/>
          <w:szCs w:val="21"/>
        </w:rPr>
        <w:t>的监督管理下，按照政府采购程序组织公开招标，确定乙方为</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（项目编号：</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）中标供应商。根据《中华人民共和国政府采购法》及实施条例、《中华人民共和国民法典》及其他有关法律、法规，以及项目的招标文件、投标文件，经甲、乙双方协商确认，达成如下合同条款。</w:t>
      </w:r>
    </w:p>
    <w:p w14:paraId="01F592D4">
      <w:pPr>
        <w:pStyle w:val="4"/>
        <w:spacing w:line="460" w:lineRule="exact"/>
        <w:ind w:firstLine="0" w:firstLineChars="0"/>
        <w:contextualSpacing/>
        <w:rPr>
          <w:rFonts w:hint="eastAsia" w:ascii="宋体" w:hAnsi="宋体" w:eastAsia="宋体" w:cs="宋体"/>
          <w:b/>
          <w:szCs w:val="21"/>
        </w:rPr>
      </w:pPr>
      <w:r>
        <w:rPr>
          <w:rFonts w:hint="eastAsia" w:ascii="宋体" w:hAnsi="宋体" w:eastAsia="宋体" w:cs="宋体"/>
          <w:b/>
          <w:szCs w:val="21"/>
        </w:rPr>
        <w:t>第一条 合同标的及数量</w:t>
      </w:r>
    </w:p>
    <w:p w14:paraId="617C3E23">
      <w:pPr>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乙方向甲方提供下列货物（产品）：</w:t>
      </w:r>
    </w:p>
    <w:p w14:paraId="1DB19681">
      <w:pPr>
        <w:spacing w:line="460" w:lineRule="exact"/>
        <w:contextualSpacing/>
        <w:jc w:val="center"/>
        <w:rPr>
          <w:rFonts w:hint="eastAsia" w:ascii="宋体" w:hAnsi="宋体" w:eastAsia="宋体" w:cs="宋体"/>
          <w:b/>
          <w:szCs w:val="21"/>
        </w:rPr>
      </w:pPr>
      <w:r>
        <w:rPr>
          <w:rFonts w:hint="eastAsia" w:ascii="宋体" w:hAnsi="宋体" w:eastAsia="宋体" w:cs="宋体"/>
          <w:b/>
          <w:szCs w:val="21"/>
        </w:rPr>
        <w:t>供货一览表</w:t>
      </w:r>
    </w:p>
    <w:tbl>
      <w:tblPr>
        <w:tblStyle w:val="2"/>
        <w:tblW w:w="944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43"/>
        <w:gridCol w:w="1343"/>
        <w:gridCol w:w="1343"/>
        <w:gridCol w:w="1343"/>
        <w:gridCol w:w="1343"/>
        <w:gridCol w:w="1343"/>
        <w:gridCol w:w="1382"/>
      </w:tblGrid>
      <w:tr w14:paraId="6E9FD5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43" w:type="dxa"/>
            <w:noWrap w:val="0"/>
            <w:vAlign w:val="center"/>
          </w:tcPr>
          <w:p w14:paraId="3B38AE97">
            <w:pPr>
              <w:contextualSpacing/>
              <w:jc w:val="center"/>
              <w:rPr>
                <w:rFonts w:hint="eastAsia" w:ascii="宋体" w:hAnsi="宋体" w:eastAsia="宋体" w:cs="宋体"/>
                <w:b/>
                <w:szCs w:val="21"/>
              </w:rPr>
            </w:pPr>
            <w:r>
              <w:rPr>
                <w:rFonts w:hint="eastAsia" w:ascii="宋体" w:hAnsi="宋体" w:eastAsia="宋体" w:cs="宋体"/>
                <w:szCs w:val="21"/>
              </w:rPr>
              <w:t>产品名称</w:t>
            </w:r>
          </w:p>
        </w:tc>
        <w:tc>
          <w:tcPr>
            <w:tcW w:w="1343" w:type="dxa"/>
            <w:noWrap w:val="0"/>
            <w:vAlign w:val="center"/>
          </w:tcPr>
          <w:p w14:paraId="2D78249B">
            <w:pPr>
              <w:contextualSpacing/>
              <w:jc w:val="center"/>
              <w:rPr>
                <w:rFonts w:hint="eastAsia" w:ascii="宋体" w:hAnsi="宋体" w:eastAsia="宋体" w:cs="宋体"/>
                <w:b/>
                <w:szCs w:val="21"/>
              </w:rPr>
            </w:pPr>
            <w:r>
              <w:rPr>
                <w:rFonts w:hint="eastAsia" w:ascii="宋体" w:hAnsi="宋体" w:eastAsia="宋体" w:cs="宋体"/>
                <w:szCs w:val="21"/>
              </w:rPr>
              <w:t>型号规格</w:t>
            </w:r>
          </w:p>
        </w:tc>
        <w:tc>
          <w:tcPr>
            <w:tcW w:w="1343" w:type="dxa"/>
            <w:noWrap w:val="0"/>
            <w:vAlign w:val="center"/>
          </w:tcPr>
          <w:p w14:paraId="42A2E04F">
            <w:pPr>
              <w:contextualSpacing/>
              <w:jc w:val="center"/>
              <w:rPr>
                <w:rFonts w:hint="eastAsia" w:ascii="宋体" w:hAnsi="宋体" w:eastAsia="宋体" w:cs="宋体"/>
                <w:b/>
                <w:szCs w:val="21"/>
              </w:rPr>
            </w:pPr>
            <w:r>
              <w:rPr>
                <w:rFonts w:hint="eastAsia" w:ascii="宋体" w:hAnsi="宋体" w:eastAsia="宋体" w:cs="宋体"/>
                <w:szCs w:val="21"/>
              </w:rPr>
              <w:t>单位</w:t>
            </w:r>
          </w:p>
        </w:tc>
        <w:tc>
          <w:tcPr>
            <w:tcW w:w="1343" w:type="dxa"/>
            <w:noWrap w:val="0"/>
            <w:vAlign w:val="center"/>
          </w:tcPr>
          <w:p w14:paraId="2D817D0B">
            <w:pPr>
              <w:contextualSpacing/>
              <w:jc w:val="center"/>
              <w:rPr>
                <w:rFonts w:hint="eastAsia" w:ascii="宋体" w:hAnsi="宋体" w:eastAsia="宋体" w:cs="宋体"/>
                <w:b/>
                <w:szCs w:val="21"/>
              </w:rPr>
            </w:pPr>
            <w:r>
              <w:rPr>
                <w:rFonts w:hint="eastAsia" w:ascii="宋体" w:hAnsi="宋体" w:eastAsia="宋体" w:cs="宋体"/>
                <w:szCs w:val="21"/>
              </w:rPr>
              <w:t>数量</w:t>
            </w:r>
          </w:p>
        </w:tc>
        <w:tc>
          <w:tcPr>
            <w:tcW w:w="1343" w:type="dxa"/>
            <w:noWrap w:val="0"/>
            <w:vAlign w:val="center"/>
          </w:tcPr>
          <w:p w14:paraId="57EC8FAF">
            <w:pPr>
              <w:contextualSpacing/>
              <w:jc w:val="center"/>
              <w:rPr>
                <w:rFonts w:hint="eastAsia" w:ascii="宋体" w:hAnsi="宋体" w:eastAsia="宋体" w:cs="宋体"/>
                <w:b/>
                <w:szCs w:val="21"/>
              </w:rPr>
            </w:pPr>
            <w:r>
              <w:rPr>
                <w:rFonts w:hint="eastAsia" w:ascii="宋体" w:hAnsi="宋体" w:eastAsia="宋体" w:cs="宋体"/>
                <w:szCs w:val="21"/>
              </w:rPr>
              <w:t>单价（元）</w:t>
            </w:r>
          </w:p>
        </w:tc>
        <w:tc>
          <w:tcPr>
            <w:tcW w:w="1343" w:type="dxa"/>
            <w:noWrap w:val="0"/>
            <w:vAlign w:val="center"/>
          </w:tcPr>
          <w:p w14:paraId="0F0CF04D">
            <w:pPr>
              <w:contextualSpacing/>
              <w:jc w:val="center"/>
              <w:rPr>
                <w:rFonts w:hint="eastAsia" w:ascii="宋体" w:hAnsi="宋体" w:eastAsia="宋体" w:cs="宋体"/>
                <w:b/>
                <w:szCs w:val="21"/>
              </w:rPr>
            </w:pPr>
            <w:r>
              <w:rPr>
                <w:rFonts w:hint="eastAsia" w:ascii="宋体" w:hAnsi="宋体" w:eastAsia="宋体" w:cs="宋体"/>
                <w:szCs w:val="21"/>
              </w:rPr>
              <w:t>金额（元）</w:t>
            </w:r>
          </w:p>
        </w:tc>
        <w:tc>
          <w:tcPr>
            <w:tcW w:w="1382" w:type="dxa"/>
            <w:noWrap w:val="0"/>
            <w:vAlign w:val="center"/>
          </w:tcPr>
          <w:p w14:paraId="22E76BA2">
            <w:pPr>
              <w:contextualSpacing/>
              <w:jc w:val="center"/>
              <w:rPr>
                <w:rFonts w:hint="eastAsia" w:ascii="宋体" w:hAnsi="宋体" w:eastAsia="宋体" w:cs="宋体"/>
                <w:b/>
                <w:szCs w:val="21"/>
              </w:rPr>
            </w:pPr>
            <w:r>
              <w:rPr>
                <w:rFonts w:hint="eastAsia" w:ascii="宋体" w:hAnsi="宋体" w:eastAsia="宋体" w:cs="宋体"/>
                <w:szCs w:val="21"/>
              </w:rPr>
              <w:t>随机配件</w:t>
            </w:r>
          </w:p>
        </w:tc>
      </w:tr>
      <w:tr w14:paraId="5E5B75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43" w:type="dxa"/>
            <w:noWrap w:val="0"/>
            <w:vAlign w:val="top"/>
          </w:tcPr>
          <w:p w14:paraId="6F2C83DD">
            <w:pPr>
              <w:spacing w:line="460" w:lineRule="exact"/>
              <w:contextualSpacing/>
              <w:jc w:val="center"/>
              <w:rPr>
                <w:rFonts w:hint="eastAsia" w:ascii="宋体" w:hAnsi="宋体" w:eastAsia="宋体" w:cs="宋体"/>
                <w:b/>
                <w:szCs w:val="21"/>
              </w:rPr>
            </w:pPr>
          </w:p>
        </w:tc>
        <w:tc>
          <w:tcPr>
            <w:tcW w:w="1343" w:type="dxa"/>
            <w:noWrap w:val="0"/>
            <w:vAlign w:val="top"/>
          </w:tcPr>
          <w:p w14:paraId="6F76CE17">
            <w:pPr>
              <w:spacing w:line="460" w:lineRule="exact"/>
              <w:contextualSpacing/>
              <w:jc w:val="center"/>
              <w:rPr>
                <w:rFonts w:hint="eastAsia" w:ascii="宋体" w:hAnsi="宋体" w:eastAsia="宋体" w:cs="宋体"/>
                <w:b/>
                <w:szCs w:val="21"/>
              </w:rPr>
            </w:pPr>
          </w:p>
        </w:tc>
        <w:tc>
          <w:tcPr>
            <w:tcW w:w="1343" w:type="dxa"/>
            <w:noWrap w:val="0"/>
            <w:vAlign w:val="top"/>
          </w:tcPr>
          <w:p w14:paraId="67655DDD">
            <w:pPr>
              <w:spacing w:line="460" w:lineRule="exact"/>
              <w:contextualSpacing/>
              <w:jc w:val="center"/>
              <w:rPr>
                <w:rFonts w:hint="eastAsia" w:ascii="宋体" w:hAnsi="宋体" w:eastAsia="宋体" w:cs="宋体"/>
                <w:b/>
                <w:szCs w:val="21"/>
              </w:rPr>
            </w:pPr>
          </w:p>
        </w:tc>
        <w:tc>
          <w:tcPr>
            <w:tcW w:w="1343" w:type="dxa"/>
            <w:noWrap w:val="0"/>
            <w:vAlign w:val="top"/>
          </w:tcPr>
          <w:p w14:paraId="5948AC47">
            <w:pPr>
              <w:spacing w:line="460" w:lineRule="exact"/>
              <w:contextualSpacing/>
              <w:jc w:val="center"/>
              <w:rPr>
                <w:rFonts w:hint="eastAsia" w:ascii="宋体" w:hAnsi="宋体" w:eastAsia="宋体" w:cs="宋体"/>
                <w:b/>
                <w:szCs w:val="21"/>
              </w:rPr>
            </w:pPr>
          </w:p>
        </w:tc>
        <w:tc>
          <w:tcPr>
            <w:tcW w:w="1343" w:type="dxa"/>
            <w:noWrap w:val="0"/>
            <w:vAlign w:val="top"/>
          </w:tcPr>
          <w:p w14:paraId="5B062055">
            <w:pPr>
              <w:spacing w:line="460" w:lineRule="exact"/>
              <w:contextualSpacing/>
              <w:jc w:val="center"/>
              <w:rPr>
                <w:rFonts w:hint="eastAsia" w:ascii="宋体" w:hAnsi="宋体" w:eastAsia="宋体" w:cs="宋体"/>
                <w:b/>
                <w:szCs w:val="21"/>
              </w:rPr>
            </w:pPr>
          </w:p>
        </w:tc>
        <w:tc>
          <w:tcPr>
            <w:tcW w:w="1343" w:type="dxa"/>
            <w:noWrap w:val="0"/>
            <w:vAlign w:val="top"/>
          </w:tcPr>
          <w:p w14:paraId="310AA7DA">
            <w:pPr>
              <w:spacing w:line="460" w:lineRule="exact"/>
              <w:contextualSpacing/>
              <w:jc w:val="center"/>
              <w:rPr>
                <w:rFonts w:hint="eastAsia" w:ascii="宋体" w:hAnsi="宋体" w:eastAsia="宋体" w:cs="宋体"/>
                <w:b/>
                <w:szCs w:val="21"/>
              </w:rPr>
            </w:pPr>
          </w:p>
        </w:tc>
        <w:tc>
          <w:tcPr>
            <w:tcW w:w="1382" w:type="dxa"/>
            <w:noWrap w:val="0"/>
            <w:vAlign w:val="top"/>
          </w:tcPr>
          <w:p w14:paraId="15379505">
            <w:pPr>
              <w:spacing w:line="460" w:lineRule="exact"/>
              <w:contextualSpacing/>
              <w:jc w:val="center"/>
              <w:rPr>
                <w:rFonts w:hint="eastAsia" w:ascii="宋体" w:hAnsi="宋体" w:eastAsia="宋体" w:cs="宋体"/>
                <w:b/>
                <w:szCs w:val="21"/>
              </w:rPr>
            </w:pPr>
          </w:p>
        </w:tc>
      </w:tr>
      <w:tr w14:paraId="37FB71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43" w:type="dxa"/>
            <w:noWrap w:val="0"/>
            <w:vAlign w:val="top"/>
          </w:tcPr>
          <w:p w14:paraId="1958A322">
            <w:pPr>
              <w:spacing w:line="460" w:lineRule="exact"/>
              <w:contextualSpacing/>
              <w:jc w:val="center"/>
              <w:rPr>
                <w:rFonts w:hint="eastAsia" w:ascii="宋体" w:hAnsi="宋体" w:eastAsia="宋体" w:cs="宋体"/>
                <w:b/>
                <w:szCs w:val="21"/>
              </w:rPr>
            </w:pPr>
          </w:p>
        </w:tc>
        <w:tc>
          <w:tcPr>
            <w:tcW w:w="1343" w:type="dxa"/>
            <w:noWrap w:val="0"/>
            <w:vAlign w:val="top"/>
          </w:tcPr>
          <w:p w14:paraId="37B3CF88">
            <w:pPr>
              <w:spacing w:line="460" w:lineRule="exact"/>
              <w:contextualSpacing/>
              <w:jc w:val="center"/>
              <w:rPr>
                <w:rFonts w:hint="eastAsia" w:ascii="宋体" w:hAnsi="宋体" w:eastAsia="宋体" w:cs="宋体"/>
                <w:b/>
                <w:szCs w:val="21"/>
              </w:rPr>
            </w:pPr>
          </w:p>
        </w:tc>
        <w:tc>
          <w:tcPr>
            <w:tcW w:w="1343" w:type="dxa"/>
            <w:noWrap w:val="0"/>
            <w:vAlign w:val="top"/>
          </w:tcPr>
          <w:p w14:paraId="0ADF5296">
            <w:pPr>
              <w:spacing w:line="460" w:lineRule="exact"/>
              <w:contextualSpacing/>
              <w:jc w:val="center"/>
              <w:rPr>
                <w:rFonts w:hint="eastAsia" w:ascii="宋体" w:hAnsi="宋体" w:eastAsia="宋体" w:cs="宋体"/>
                <w:b/>
                <w:szCs w:val="21"/>
              </w:rPr>
            </w:pPr>
          </w:p>
        </w:tc>
        <w:tc>
          <w:tcPr>
            <w:tcW w:w="1343" w:type="dxa"/>
            <w:noWrap w:val="0"/>
            <w:vAlign w:val="top"/>
          </w:tcPr>
          <w:p w14:paraId="2E7E1C0E">
            <w:pPr>
              <w:spacing w:line="460" w:lineRule="exact"/>
              <w:contextualSpacing/>
              <w:jc w:val="center"/>
              <w:rPr>
                <w:rFonts w:hint="eastAsia" w:ascii="宋体" w:hAnsi="宋体" w:eastAsia="宋体" w:cs="宋体"/>
                <w:b/>
                <w:szCs w:val="21"/>
              </w:rPr>
            </w:pPr>
          </w:p>
        </w:tc>
        <w:tc>
          <w:tcPr>
            <w:tcW w:w="1343" w:type="dxa"/>
            <w:noWrap w:val="0"/>
            <w:vAlign w:val="top"/>
          </w:tcPr>
          <w:p w14:paraId="01A82EF4">
            <w:pPr>
              <w:spacing w:line="460" w:lineRule="exact"/>
              <w:contextualSpacing/>
              <w:jc w:val="center"/>
              <w:rPr>
                <w:rFonts w:hint="eastAsia" w:ascii="宋体" w:hAnsi="宋体" w:eastAsia="宋体" w:cs="宋体"/>
                <w:b/>
                <w:szCs w:val="21"/>
              </w:rPr>
            </w:pPr>
          </w:p>
        </w:tc>
        <w:tc>
          <w:tcPr>
            <w:tcW w:w="1343" w:type="dxa"/>
            <w:noWrap w:val="0"/>
            <w:vAlign w:val="top"/>
          </w:tcPr>
          <w:p w14:paraId="3EC931FD">
            <w:pPr>
              <w:spacing w:line="460" w:lineRule="exact"/>
              <w:contextualSpacing/>
              <w:jc w:val="center"/>
              <w:rPr>
                <w:rFonts w:hint="eastAsia" w:ascii="宋体" w:hAnsi="宋体" w:eastAsia="宋体" w:cs="宋体"/>
                <w:b/>
                <w:szCs w:val="21"/>
              </w:rPr>
            </w:pPr>
          </w:p>
        </w:tc>
        <w:tc>
          <w:tcPr>
            <w:tcW w:w="1382" w:type="dxa"/>
            <w:noWrap w:val="0"/>
            <w:vAlign w:val="top"/>
          </w:tcPr>
          <w:p w14:paraId="08C84033">
            <w:pPr>
              <w:spacing w:line="460" w:lineRule="exact"/>
              <w:contextualSpacing/>
              <w:jc w:val="center"/>
              <w:rPr>
                <w:rFonts w:hint="eastAsia" w:ascii="宋体" w:hAnsi="宋体" w:eastAsia="宋体" w:cs="宋体"/>
                <w:b/>
                <w:szCs w:val="21"/>
              </w:rPr>
            </w:pPr>
          </w:p>
        </w:tc>
      </w:tr>
      <w:tr w14:paraId="47D59A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43" w:type="dxa"/>
            <w:noWrap w:val="0"/>
            <w:vAlign w:val="top"/>
          </w:tcPr>
          <w:p w14:paraId="69952EAB">
            <w:pPr>
              <w:spacing w:line="460" w:lineRule="exact"/>
              <w:contextualSpacing/>
              <w:jc w:val="center"/>
              <w:rPr>
                <w:rFonts w:hint="eastAsia" w:ascii="宋体" w:hAnsi="宋体" w:eastAsia="宋体" w:cs="宋体"/>
                <w:b/>
                <w:szCs w:val="21"/>
              </w:rPr>
            </w:pPr>
          </w:p>
        </w:tc>
        <w:tc>
          <w:tcPr>
            <w:tcW w:w="1343" w:type="dxa"/>
            <w:noWrap w:val="0"/>
            <w:vAlign w:val="top"/>
          </w:tcPr>
          <w:p w14:paraId="68E494A0">
            <w:pPr>
              <w:spacing w:line="460" w:lineRule="exact"/>
              <w:contextualSpacing/>
              <w:jc w:val="center"/>
              <w:rPr>
                <w:rFonts w:hint="eastAsia" w:ascii="宋体" w:hAnsi="宋体" w:eastAsia="宋体" w:cs="宋体"/>
                <w:b/>
                <w:szCs w:val="21"/>
              </w:rPr>
            </w:pPr>
          </w:p>
        </w:tc>
        <w:tc>
          <w:tcPr>
            <w:tcW w:w="1343" w:type="dxa"/>
            <w:noWrap w:val="0"/>
            <w:vAlign w:val="top"/>
          </w:tcPr>
          <w:p w14:paraId="1326F91A">
            <w:pPr>
              <w:spacing w:line="460" w:lineRule="exact"/>
              <w:contextualSpacing/>
              <w:jc w:val="center"/>
              <w:rPr>
                <w:rFonts w:hint="eastAsia" w:ascii="宋体" w:hAnsi="宋体" w:eastAsia="宋体" w:cs="宋体"/>
                <w:b/>
                <w:szCs w:val="21"/>
              </w:rPr>
            </w:pPr>
          </w:p>
        </w:tc>
        <w:tc>
          <w:tcPr>
            <w:tcW w:w="1343" w:type="dxa"/>
            <w:noWrap w:val="0"/>
            <w:vAlign w:val="top"/>
          </w:tcPr>
          <w:p w14:paraId="31E794E1">
            <w:pPr>
              <w:spacing w:line="460" w:lineRule="exact"/>
              <w:contextualSpacing/>
              <w:jc w:val="center"/>
              <w:rPr>
                <w:rFonts w:hint="eastAsia" w:ascii="宋体" w:hAnsi="宋体" w:eastAsia="宋体" w:cs="宋体"/>
                <w:b/>
                <w:szCs w:val="21"/>
              </w:rPr>
            </w:pPr>
          </w:p>
        </w:tc>
        <w:tc>
          <w:tcPr>
            <w:tcW w:w="1343" w:type="dxa"/>
            <w:noWrap w:val="0"/>
            <w:vAlign w:val="top"/>
          </w:tcPr>
          <w:p w14:paraId="1AE3F87B">
            <w:pPr>
              <w:spacing w:line="460" w:lineRule="exact"/>
              <w:contextualSpacing/>
              <w:jc w:val="center"/>
              <w:rPr>
                <w:rFonts w:hint="eastAsia" w:ascii="宋体" w:hAnsi="宋体" w:eastAsia="宋体" w:cs="宋体"/>
                <w:b/>
                <w:szCs w:val="21"/>
              </w:rPr>
            </w:pPr>
          </w:p>
        </w:tc>
        <w:tc>
          <w:tcPr>
            <w:tcW w:w="1343" w:type="dxa"/>
            <w:noWrap w:val="0"/>
            <w:vAlign w:val="top"/>
          </w:tcPr>
          <w:p w14:paraId="5C1ED018">
            <w:pPr>
              <w:spacing w:line="460" w:lineRule="exact"/>
              <w:contextualSpacing/>
              <w:jc w:val="center"/>
              <w:rPr>
                <w:rFonts w:hint="eastAsia" w:ascii="宋体" w:hAnsi="宋体" w:eastAsia="宋体" w:cs="宋体"/>
                <w:b/>
                <w:szCs w:val="21"/>
              </w:rPr>
            </w:pPr>
          </w:p>
        </w:tc>
        <w:tc>
          <w:tcPr>
            <w:tcW w:w="1382" w:type="dxa"/>
            <w:noWrap w:val="0"/>
            <w:vAlign w:val="top"/>
          </w:tcPr>
          <w:p w14:paraId="655C7E87">
            <w:pPr>
              <w:spacing w:line="460" w:lineRule="exact"/>
              <w:contextualSpacing/>
              <w:jc w:val="center"/>
              <w:rPr>
                <w:rFonts w:hint="eastAsia" w:ascii="宋体" w:hAnsi="宋体" w:eastAsia="宋体" w:cs="宋体"/>
                <w:b/>
                <w:szCs w:val="21"/>
              </w:rPr>
            </w:pPr>
          </w:p>
        </w:tc>
      </w:tr>
      <w:tr w14:paraId="14AF95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43" w:type="dxa"/>
            <w:noWrap w:val="0"/>
            <w:vAlign w:val="top"/>
          </w:tcPr>
          <w:p w14:paraId="4D1ECE14">
            <w:pPr>
              <w:spacing w:line="460" w:lineRule="exact"/>
              <w:contextualSpacing/>
              <w:jc w:val="center"/>
              <w:rPr>
                <w:rFonts w:hint="eastAsia" w:ascii="宋体" w:hAnsi="宋体" w:eastAsia="宋体" w:cs="宋体"/>
                <w:b/>
                <w:szCs w:val="21"/>
              </w:rPr>
            </w:pPr>
          </w:p>
        </w:tc>
        <w:tc>
          <w:tcPr>
            <w:tcW w:w="1343" w:type="dxa"/>
            <w:noWrap w:val="0"/>
            <w:vAlign w:val="top"/>
          </w:tcPr>
          <w:p w14:paraId="41837064">
            <w:pPr>
              <w:spacing w:line="460" w:lineRule="exact"/>
              <w:contextualSpacing/>
              <w:jc w:val="center"/>
              <w:rPr>
                <w:rFonts w:hint="eastAsia" w:ascii="宋体" w:hAnsi="宋体" w:eastAsia="宋体" w:cs="宋体"/>
                <w:b/>
                <w:szCs w:val="21"/>
              </w:rPr>
            </w:pPr>
          </w:p>
        </w:tc>
        <w:tc>
          <w:tcPr>
            <w:tcW w:w="1343" w:type="dxa"/>
            <w:noWrap w:val="0"/>
            <w:vAlign w:val="top"/>
          </w:tcPr>
          <w:p w14:paraId="4A37185D">
            <w:pPr>
              <w:spacing w:line="460" w:lineRule="exact"/>
              <w:contextualSpacing/>
              <w:jc w:val="center"/>
              <w:rPr>
                <w:rFonts w:hint="eastAsia" w:ascii="宋体" w:hAnsi="宋体" w:eastAsia="宋体" w:cs="宋体"/>
                <w:b/>
                <w:szCs w:val="21"/>
              </w:rPr>
            </w:pPr>
          </w:p>
        </w:tc>
        <w:tc>
          <w:tcPr>
            <w:tcW w:w="1343" w:type="dxa"/>
            <w:noWrap w:val="0"/>
            <w:vAlign w:val="top"/>
          </w:tcPr>
          <w:p w14:paraId="647788BA">
            <w:pPr>
              <w:spacing w:line="460" w:lineRule="exact"/>
              <w:contextualSpacing/>
              <w:jc w:val="center"/>
              <w:rPr>
                <w:rFonts w:hint="eastAsia" w:ascii="宋体" w:hAnsi="宋体" w:eastAsia="宋体" w:cs="宋体"/>
                <w:b/>
                <w:szCs w:val="21"/>
              </w:rPr>
            </w:pPr>
          </w:p>
        </w:tc>
        <w:tc>
          <w:tcPr>
            <w:tcW w:w="1343" w:type="dxa"/>
            <w:noWrap w:val="0"/>
            <w:vAlign w:val="top"/>
          </w:tcPr>
          <w:p w14:paraId="29F4F9E3">
            <w:pPr>
              <w:spacing w:line="460" w:lineRule="exact"/>
              <w:contextualSpacing/>
              <w:jc w:val="center"/>
              <w:rPr>
                <w:rFonts w:hint="eastAsia" w:ascii="宋体" w:hAnsi="宋体" w:eastAsia="宋体" w:cs="宋体"/>
                <w:b/>
                <w:szCs w:val="21"/>
              </w:rPr>
            </w:pPr>
          </w:p>
        </w:tc>
        <w:tc>
          <w:tcPr>
            <w:tcW w:w="1343" w:type="dxa"/>
            <w:noWrap w:val="0"/>
            <w:vAlign w:val="top"/>
          </w:tcPr>
          <w:p w14:paraId="15530248">
            <w:pPr>
              <w:spacing w:line="460" w:lineRule="exact"/>
              <w:contextualSpacing/>
              <w:jc w:val="center"/>
              <w:rPr>
                <w:rFonts w:hint="eastAsia" w:ascii="宋体" w:hAnsi="宋体" w:eastAsia="宋体" w:cs="宋体"/>
                <w:b/>
                <w:szCs w:val="21"/>
              </w:rPr>
            </w:pPr>
          </w:p>
        </w:tc>
        <w:tc>
          <w:tcPr>
            <w:tcW w:w="1382" w:type="dxa"/>
            <w:noWrap w:val="0"/>
            <w:vAlign w:val="top"/>
          </w:tcPr>
          <w:p w14:paraId="5D12C90B">
            <w:pPr>
              <w:spacing w:line="460" w:lineRule="exact"/>
              <w:contextualSpacing/>
              <w:jc w:val="center"/>
              <w:rPr>
                <w:rFonts w:hint="eastAsia" w:ascii="宋体" w:hAnsi="宋体" w:eastAsia="宋体" w:cs="宋体"/>
                <w:b/>
                <w:szCs w:val="21"/>
              </w:rPr>
            </w:pPr>
          </w:p>
        </w:tc>
      </w:tr>
      <w:tr w14:paraId="628464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343" w:type="dxa"/>
            <w:noWrap w:val="0"/>
            <w:vAlign w:val="center"/>
          </w:tcPr>
          <w:p w14:paraId="092CC353">
            <w:pPr>
              <w:contextualSpacing/>
              <w:jc w:val="center"/>
              <w:rPr>
                <w:rFonts w:hint="eastAsia" w:ascii="宋体" w:hAnsi="宋体" w:eastAsia="宋体" w:cs="宋体"/>
                <w:b/>
                <w:szCs w:val="21"/>
              </w:rPr>
            </w:pPr>
            <w:r>
              <w:rPr>
                <w:rFonts w:hint="eastAsia" w:ascii="宋体" w:hAnsi="宋体" w:eastAsia="宋体" w:cs="宋体"/>
                <w:b/>
                <w:szCs w:val="21"/>
              </w:rPr>
              <w:t>合计（大写）</w:t>
            </w:r>
          </w:p>
        </w:tc>
        <w:tc>
          <w:tcPr>
            <w:tcW w:w="4029" w:type="dxa"/>
            <w:gridSpan w:val="3"/>
            <w:noWrap w:val="0"/>
            <w:vAlign w:val="center"/>
          </w:tcPr>
          <w:p w14:paraId="438B8630">
            <w:pPr>
              <w:contextualSpacing/>
              <w:jc w:val="center"/>
              <w:rPr>
                <w:rFonts w:hint="eastAsia" w:ascii="宋体" w:hAnsi="宋体" w:eastAsia="宋体" w:cs="宋体"/>
                <w:b/>
                <w:szCs w:val="21"/>
              </w:rPr>
            </w:pPr>
          </w:p>
        </w:tc>
        <w:tc>
          <w:tcPr>
            <w:tcW w:w="4068" w:type="dxa"/>
            <w:gridSpan w:val="3"/>
            <w:noWrap w:val="0"/>
            <w:vAlign w:val="center"/>
          </w:tcPr>
          <w:p w14:paraId="0AF5EA1C">
            <w:pPr>
              <w:contextualSpacing/>
              <w:rPr>
                <w:rFonts w:hint="eastAsia" w:ascii="宋体" w:hAnsi="宋体" w:eastAsia="宋体" w:cs="宋体"/>
                <w:b/>
                <w:szCs w:val="21"/>
              </w:rPr>
            </w:pPr>
            <w:r>
              <w:rPr>
                <w:rFonts w:hint="eastAsia" w:ascii="宋体" w:hAnsi="宋体" w:eastAsia="宋体" w:cs="宋体"/>
                <w:b/>
                <w:szCs w:val="21"/>
              </w:rPr>
              <w:t>小写：</w:t>
            </w:r>
            <w:r>
              <w:rPr>
                <w:rFonts w:hint="eastAsia" w:ascii="宋体" w:hAnsi="宋体" w:eastAsia="宋体" w:cs="宋体"/>
                <w:szCs w:val="21"/>
              </w:rPr>
              <w:t>￥</w:t>
            </w:r>
          </w:p>
        </w:tc>
      </w:tr>
    </w:tbl>
    <w:p w14:paraId="62FD9992">
      <w:pPr>
        <w:pStyle w:val="4"/>
        <w:spacing w:line="460" w:lineRule="exact"/>
        <w:ind w:firstLine="0" w:firstLineChars="0"/>
        <w:contextualSpacing/>
        <w:rPr>
          <w:rFonts w:hint="eastAsia" w:ascii="宋体" w:hAnsi="宋体" w:eastAsia="宋体" w:cs="宋体"/>
          <w:b/>
          <w:szCs w:val="21"/>
        </w:rPr>
      </w:pPr>
      <w:r>
        <w:rPr>
          <w:rFonts w:hint="eastAsia" w:ascii="宋体" w:hAnsi="宋体" w:eastAsia="宋体" w:cs="宋体"/>
          <w:b/>
          <w:szCs w:val="21"/>
        </w:rPr>
        <w:t>第二条 合同价款</w:t>
      </w:r>
    </w:p>
    <w:p w14:paraId="624B0B08">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1、合同总价为人民币大写：</w:t>
      </w:r>
      <w:r>
        <w:rPr>
          <w:rFonts w:hint="eastAsia" w:ascii="宋体" w:hAnsi="宋体" w:eastAsia="宋体" w:cs="宋体"/>
          <w:szCs w:val="21"/>
          <w:u w:val="single"/>
        </w:rPr>
        <w:t xml:space="preserve">       </w:t>
      </w:r>
      <w:r>
        <w:rPr>
          <w:rFonts w:hint="eastAsia" w:ascii="宋体" w:hAnsi="宋体" w:eastAsia="宋体" w:cs="宋体"/>
          <w:szCs w:val="21"/>
        </w:rPr>
        <w:t>， RMB￥：</w:t>
      </w:r>
      <w:r>
        <w:rPr>
          <w:rFonts w:hint="eastAsia" w:ascii="宋体" w:hAnsi="宋体" w:eastAsia="宋体" w:cs="宋体"/>
          <w:szCs w:val="21"/>
          <w:u w:val="single"/>
        </w:rPr>
        <w:t xml:space="preserve">       </w:t>
      </w:r>
      <w:r>
        <w:rPr>
          <w:rFonts w:hint="eastAsia" w:ascii="宋体" w:hAnsi="宋体" w:eastAsia="宋体" w:cs="宋体"/>
          <w:szCs w:val="21"/>
        </w:rPr>
        <w:t>元。</w:t>
      </w:r>
    </w:p>
    <w:p w14:paraId="4EBB4C3E">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2、本合同总价是货物（产品）、运输、安装、调试、技术培训及相应保险、验收费用等。</w:t>
      </w:r>
    </w:p>
    <w:p w14:paraId="1DF97B6F">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3、本合同总价还包含乙方应当提供的伴随服务和售后服务费用。合同总价一次包死，不受市场价变化的影响。</w:t>
      </w:r>
    </w:p>
    <w:p w14:paraId="2ECE866D">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4、本合同执行期间合同总价不变，甲方无须另向乙方支付本合同规定之外的其他任何费用。</w:t>
      </w:r>
    </w:p>
    <w:p w14:paraId="41C07070">
      <w:pPr>
        <w:pStyle w:val="4"/>
        <w:spacing w:line="460" w:lineRule="exact"/>
        <w:ind w:firstLine="0" w:firstLineChars="0"/>
        <w:contextualSpacing/>
        <w:rPr>
          <w:rFonts w:hint="eastAsia" w:ascii="宋体" w:hAnsi="宋体" w:eastAsia="宋体" w:cs="宋体"/>
          <w:b/>
          <w:szCs w:val="21"/>
        </w:rPr>
      </w:pPr>
      <w:r>
        <w:rPr>
          <w:rFonts w:hint="eastAsia" w:ascii="宋体" w:hAnsi="宋体" w:eastAsia="宋体" w:cs="宋体"/>
          <w:b/>
          <w:szCs w:val="21"/>
        </w:rPr>
        <w:t>第三条 货款支付</w:t>
      </w:r>
    </w:p>
    <w:p w14:paraId="56DBE2E4">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1、货物（产品）按下列比例支付价款：</w:t>
      </w:r>
    </w:p>
    <w:p w14:paraId="64FBDD92">
      <w:pPr>
        <w:spacing w:line="460" w:lineRule="exact"/>
        <w:ind w:firstLine="210" w:firstLineChars="100"/>
        <w:rPr>
          <w:rFonts w:hint="eastAsia" w:ascii="宋体" w:hAnsi="宋体" w:eastAsia="宋体" w:cs="宋体"/>
          <w:szCs w:val="21"/>
        </w:rPr>
      </w:pPr>
      <w:r>
        <w:rPr>
          <w:rFonts w:hint="eastAsia" w:ascii="宋体" w:hAnsi="宋体" w:eastAsia="宋体" w:cs="宋体"/>
          <w:szCs w:val="21"/>
        </w:rPr>
        <w:t>2、付款方式：</w:t>
      </w:r>
    </w:p>
    <w:p w14:paraId="17500A23">
      <w:pPr>
        <w:pStyle w:val="5"/>
        <w:tabs>
          <w:tab w:val="left" w:leader="underscore" w:pos="3478"/>
        </w:tabs>
        <w:spacing w:line="460" w:lineRule="exact"/>
        <w:ind w:firstLine="420" w:firstLineChars="200"/>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eastAsia="zh-CN"/>
        </w:rPr>
        <w:t xml:space="preserve"> 合同签订后进场施工先期付30%，工程完成验收合格后支付剩余70%。 </w:t>
      </w:r>
    </w:p>
    <w:p w14:paraId="7AB0087A">
      <w:pPr>
        <w:pStyle w:val="4"/>
        <w:spacing w:line="460" w:lineRule="exact"/>
        <w:ind w:firstLine="420"/>
        <w:contextualSpacing/>
        <w:rPr>
          <w:rFonts w:hint="eastAsia" w:ascii="宋体" w:hAnsi="宋体" w:eastAsia="宋体" w:cs="宋体"/>
          <w:color w:val="000000"/>
          <w:szCs w:val="21"/>
        </w:rPr>
      </w:pPr>
      <w:r>
        <w:rPr>
          <w:rFonts w:hint="eastAsia" w:ascii="宋体" w:hAnsi="宋体" w:eastAsia="宋体" w:cs="宋体"/>
          <w:color w:val="000000"/>
          <w:szCs w:val="21"/>
        </w:rPr>
        <w:t>2）中标供应商承诺在采购人办理以上各期付款的支付手续前，为采购人出具等额的符合国家规定的发票。</w:t>
      </w:r>
    </w:p>
    <w:p w14:paraId="044EEE22">
      <w:pPr>
        <w:pStyle w:val="4"/>
        <w:spacing w:line="460" w:lineRule="exact"/>
        <w:ind w:firstLine="199" w:firstLineChars="95"/>
        <w:contextualSpacing/>
        <w:rPr>
          <w:rFonts w:hint="eastAsia" w:ascii="宋体" w:hAnsi="宋体" w:eastAsia="宋体" w:cs="宋体"/>
          <w:szCs w:val="21"/>
        </w:rPr>
      </w:pPr>
      <w:r>
        <w:rPr>
          <w:rFonts w:hint="eastAsia" w:ascii="宋体" w:hAnsi="宋体" w:eastAsia="宋体" w:cs="宋体"/>
          <w:szCs w:val="21"/>
        </w:rPr>
        <w:t>3、结算方式：银行转账。</w:t>
      </w:r>
    </w:p>
    <w:p w14:paraId="7C49A672">
      <w:pPr>
        <w:pStyle w:val="4"/>
        <w:spacing w:line="460" w:lineRule="exact"/>
        <w:ind w:firstLine="0" w:firstLineChars="0"/>
        <w:contextualSpacing/>
        <w:rPr>
          <w:rFonts w:hint="eastAsia" w:ascii="宋体" w:hAnsi="宋体" w:eastAsia="宋体" w:cs="宋体"/>
          <w:b/>
          <w:szCs w:val="21"/>
        </w:rPr>
      </w:pPr>
      <w:r>
        <w:rPr>
          <w:rFonts w:hint="eastAsia" w:ascii="宋体" w:hAnsi="宋体" w:eastAsia="宋体" w:cs="宋体"/>
          <w:b/>
          <w:szCs w:val="21"/>
        </w:rPr>
        <w:t>第四条 供货周期与地点</w:t>
      </w:r>
    </w:p>
    <w:p w14:paraId="51538D7A">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乙方在合同签订生效之日起，按甲方指定时间、地点交货。</w:t>
      </w:r>
    </w:p>
    <w:p w14:paraId="44AA9B69">
      <w:pPr>
        <w:pStyle w:val="4"/>
        <w:spacing w:line="460" w:lineRule="exact"/>
        <w:ind w:firstLine="199" w:firstLineChars="95"/>
        <w:contextualSpacing/>
        <w:rPr>
          <w:rFonts w:hint="eastAsia" w:ascii="宋体" w:hAnsi="宋体" w:eastAsia="宋体" w:cs="宋体"/>
          <w:szCs w:val="21"/>
          <w:u w:val="single"/>
          <w:lang w:val="en-US"/>
        </w:rPr>
      </w:pPr>
      <w:r>
        <w:rPr>
          <w:rFonts w:hint="eastAsia" w:ascii="宋体" w:hAnsi="宋体" w:eastAsia="宋体" w:cs="宋体"/>
          <w:szCs w:val="21"/>
        </w:rPr>
        <w:t>1、</w:t>
      </w:r>
      <w:r>
        <w:rPr>
          <w:rFonts w:hint="eastAsia" w:ascii="宋体" w:hAnsi="宋体" w:eastAsia="宋体" w:cs="宋体"/>
          <w:szCs w:val="21"/>
          <w:lang w:eastAsia="zh-CN"/>
        </w:rPr>
        <w:t>合同履行期限</w:t>
      </w:r>
      <w:r>
        <w:rPr>
          <w:rFonts w:hint="eastAsia" w:ascii="宋体" w:hAnsi="宋体" w:eastAsia="宋体" w:cs="宋体"/>
          <w:szCs w:val="21"/>
        </w:rPr>
        <w:t>：</w:t>
      </w:r>
      <w:r>
        <w:rPr>
          <w:rFonts w:hint="eastAsia" w:ascii="宋体" w:hAnsi="宋体" w:eastAsia="宋体" w:cs="宋体"/>
          <w:szCs w:val="21"/>
          <w:u w:val="single"/>
          <w:lang w:val="en-US" w:eastAsia="zh-CN"/>
        </w:rPr>
        <w:t xml:space="preserve">         </w:t>
      </w:r>
    </w:p>
    <w:p w14:paraId="0A17C7A2">
      <w:pPr>
        <w:pStyle w:val="4"/>
        <w:spacing w:line="460" w:lineRule="exact"/>
        <w:ind w:firstLine="199" w:firstLineChars="95"/>
        <w:contextualSpacing/>
        <w:rPr>
          <w:rFonts w:hint="eastAsia" w:ascii="宋体" w:hAnsi="宋体" w:eastAsia="宋体" w:cs="宋体"/>
          <w:szCs w:val="21"/>
          <w:lang w:val="en-US" w:eastAsia="zh-CN"/>
        </w:rPr>
      </w:pPr>
      <w:r>
        <w:rPr>
          <w:rFonts w:hint="eastAsia" w:ascii="宋体" w:hAnsi="宋体" w:eastAsia="宋体" w:cs="宋体"/>
          <w:szCs w:val="21"/>
        </w:rPr>
        <w:t>2、</w:t>
      </w:r>
      <w:r>
        <w:rPr>
          <w:rFonts w:hint="eastAsia" w:ascii="宋体" w:hAnsi="宋体" w:eastAsia="宋体" w:cs="宋体"/>
          <w:szCs w:val="21"/>
          <w:lang w:val="en-US" w:eastAsia="zh-CN"/>
        </w:rPr>
        <w:t>质保期：</w:t>
      </w:r>
      <w:r>
        <w:rPr>
          <w:rFonts w:hint="eastAsia" w:ascii="宋体" w:hAnsi="宋体" w:eastAsia="宋体" w:cs="宋体"/>
          <w:szCs w:val="21"/>
          <w:u w:val="single"/>
          <w:lang w:val="en-US" w:eastAsia="zh-CN"/>
        </w:rPr>
        <w:t xml:space="preserve">             </w:t>
      </w:r>
    </w:p>
    <w:p w14:paraId="22E624C8">
      <w:pPr>
        <w:pStyle w:val="4"/>
        <w:spacing w:line="460" w:lineRule="exact"/>
        <w:ind w:firstLine="199" w:firstLineChars="95"/>
        <w:contextualSpacing/>
        <w:rPr>
          <w:rFonts w:hint="eastAsia" w:ascii="宋体" w:hAnsi="宋体" w:eastAsia="宋体" w:cs="宋体"/>
          <w:szCs w:val="21"/>
          <w:u w:val="single"/>
          <w:lang w:val="en-US" w:eastAsia="zh-CN"/>
        </w:rPr>
      </w:pPr>
      <w:r>
        <w:rPr>
          <w:rFonts w:hint="eastAsia" w:ascii="宋体" w:hAnsi="宋体" w:eastAsia="宋体" w:cs="宋体"/>
          <w:szCs w:val="21"/>
        </w:rPr>
        <w:t>3、实施地点：</w:t>
      </w:r>
      <w:r>
        <w:rPr>
          <w:rFonts w:hint="eastAsia" w:ascii="宋体" w:hAnsi="宋体" w:eastAsia="宋体" w:cs="宋体"/>
          <w:szCs w:val="21"/>
          <w:u w:val="single"/>
          <w:lang w:val="en-US" w:eastAsia="zh-CN"/>
        </w:rPr>
        <w:t xml:space="preserve">             </w:t>
      </w:r>
    </w:p>
    <w:p w14:paraId="2FD932FF">
      <w:pPr>
        <w:pStyle w:val="4"/>
        <w:spacing w:line="460" w:lineRule="exact"/>
        <w:ind w:firstLine="0" w:firstLineChars="0"/>
        <w:contextualSpacing/>
        <w:rPr>
          <w:rFonts w:hint="eastAsia" w:ascii="宋体" w:hAnsi="宋体" w:eastAsia="宋体" w:cs="宋体"/>
          <w:b/>
          <w:szCs w:val="21"/>
        </w:rPr>
      </w:pPr>
      <w:r>
        <w:rPr>
          <w:rFonts w:hint="eastAsia" w:ascii="宋体" w:hAnsi="宋体" w:eastAsia="宋体" w:cs="宋体"/>
          <w:b/>
          <w:szCs w:val="21"/>
        </w:rPr>
        <w:t>第五条 质量保证</w:t>
      </w:r>
    </w:p>
    <w:p w14:paraId="3C99CA33">
      <w:pPr>
        <w:pStyle w:val="4"/>
        <w:spacing w:line="460" w:lineRule="exact"/>
        <w:ind w:firstLine="210" w:firstLineChars="100"/>
        <w:contextualSpacing/>
        <w:rPr>
          <w:rFonts w:hint="eastAsia" w:ascii="宋体" w:hAnsi="宋体" w:eastAsia="宋体" w:cs="宋体"/>
          <w:bCs/>
          <w:szCs w:val="21"/>
        </w:rPr>
      </w:pPr>
      <w:r>
        <w:rPr>
          <w:rFonts w:hint="eastAsia" w:ascii="宋体" w:hAnsi="宋体" w:eastAsia="宋体" w:cs="宋体"/>
          <w:bCs/>
          <w:szCs w:val="21"/>
        </w:rPr>
        <w:t>1、供货商提供法定代表人签字后盖公章的售后服务承诺函。</w:t>
      </w:r>
      <w:r>
        <w:rPr>
          <w:rFonts w:hint="eastAsia" w:ascii="宋体" w:hAnsi="宋体" w:eastAsia="宋体" w:cs="宋体"/>
          <w:szCs w:val="21"/>
        </w:rPr>
        <w:t>乙方</w:t>
      </w:r>
      <w:r>
        <w:rPr>
          <w:rFonts w:hint="eastAsia" w:ascii="宋体" w:hAnsi="宋体" w:eastAsia="宋体" w:cs="宋体"/>
          <w:bCs/>
          <w:szCs w:val="21"/>
        </w:rPr>
        <w:t>承诺的质保期超过招标文件要求的，按其承诺时间质保。质保期起始时间为终验合格之日。</w:t>
      </w:r>
    </w:p>
    <w:p w14:paraId="2728BA10">
      <w:pPr>
        <w:pStyle w:val="4"/>
        <w:spacing w:line="460" w:lineRule="exact"/>
        <w:ind w:firstLine="210" w:firstLineChars="100"/>
        <w:contextualSpacing/>
        <w:rPr>
          <w:rFonts w:hint="eastAsia" w:ascii="宋体" w:hAnsi="宋体" w:eastAsia="宋体" w:cs="宋体"/>
          <w:bCs/>
          <w:szCs w:val="21"/>
        </w:rPr>
      </w:pPr>
      <w:r>
        <w:rPr>
          <w:rFonts w:hint="eastAsia" w:ascii="宋体" w:hAnsi="宋体" w:eastAsia="宋体" w:cs="宋体"/>
          <w:bCs/>
          <w:szCs w:val="21"/>
        </w:rPr>
        <w:t>2、乙方须提供全新的、未使用过的合格正品货物（含零部件、配件等），完全符合合同规定的质量、规格和性能的要求。</w:t>
      </w:r>
    </w:p>
    <w:p w14:paraId="71DCFD01">
      <w:pPr>
        <w:pStyle w:val="4"/>
        <w:spacing w:line="460" w:lineRule="exact"/>
        <w:ind w:firstLine="210" w:firstLineChars="100"/>
        <w:contextualSpacing/>
        <w:rPr>
          <w:rFonts w:hint="eastAsia" w:ascii="宋体" w:hAnsi="宋体" w:eastAsia="宋体" w:cs="宋体"/>
          <w:bCs/>
          <w:szCs w:val="21"/>
        </w:rPr>
      </w:pPr>
      <w:r>
        <w:rPr>
          <w:rFonts w:hint="eastAsia" w:ascii="宋体" w:hAnsi="宋体" w:eastAsia="宋体" w:cs="宋体"/>
          <w:bCs/>
          <w:szCs w:val="21"/>
        </w:rPr>
        <w:t>3、乙方提供的自主创新产品、节能和环保产品必须是列入政府采购清单的产品。</w:t>
      </w:r>
    </w:p>
    <w:p w14:paraId="47661E75">
      <w:pPr>
        <w:pStyle w:val="4"/>
        <w:spacing w:line="460" w:lineRule="exact"/>
        <w:ind w:firstLine="210" w:firstLineChars="100"/>
        <w:contextualSpacing/>
        <w:rPr>
          <w:rFonts w:hint="eastAsia" w:ascii="宋体" w:hAnsi="宋体" w:eastAsia="宋体" w:cs="宋体"/>
          <w:bCs/>
          <w:szCs w:val="21"/>
        </w:rPr>
      </w:pPr>
      <w:r>
        <w:rPr>
          <w:rFonts w:hint="eastAsia" w:ascii="宋体" w:hAnsi="宋体" w:eastAsia="宋体" w:cs="宋体"/>
          <w:bCs/>
          <w:szCs w:val="21"/>
        </w:rPr>
        <w:t>4、质量标准按照最新颁布的国家标准、行业标准或制造厂家企业标准确定，上述标准不一致的，以严格标准为准。</w:t>
      </w:r>
    </w:p>
    <w:p w14:paraId="053334DD">
      <w:pPr>
        <w:pStyle w:val="4"/>
        <w:spacing w:line="460" w:lineRule="exact"/>
        <w:ind w:firstLine="210" w:firstLineChars="100"/>
        <w:contextualSpacing/>
        <w:rPr>
          <w:rFonts w:hint="eastAsia" w:ascii="宋体" w:hAnsi="宋体" w:eastAsia="宋体" w:cs="宋体"/>
          <w:bCs/>
          <w:szCs w:val="21"/>
        </w:rPr>
      </w:pPr>
      <w:r>
        <w:rPr>
          <w:rFonts w:hint="eastAsia" w:ascii="宋体" w:hAnsi="宋体" w:eastAsia="宋体" w:cs="宋体"/>
          <w:bCs/>
          <w:szCs w:val="21"/>
        </w:rPr>
        <w:t>5、货物制造质量出现问题，乙方应负责三包（包修、包换、包退），费用由乙方负担，甲方有权到乙方生产场地检查货物质量和生产进度。</w:t>
      </w:r>
    </w:p>
    <w:p w14:paraId="639587D6">
      <w:pPr>
        <w:pStyle w:val="4"/>
        <w:spacing w:line="460" w:lineRule="exact"/>
        <w:ind w:firstLine="210" w:firstLineChars="100"/>
        <w:contextualSpacing/>
        <w:rPr>
          <w:rFonts w:hint="eastAsia" w:ascii="宋体" w:hAnsi="宋体" w:eastAsia="宋体" w:cs="宋体"/>
          <w:bCs/>
          <w:szCs w:val="21"/>
        </w:rPr>
      </w:pPr>
      <w:r>
        <w:rPr>
          <w:rFonts w:hint="eastAsia" w:ascii="宋体" w:hAnsi="宋体" w:eastAsia="宋体" w:cs="宋体"/>
          <w:bCs/>
          <w:szCs w:val="21"/>
        </w:rPr>
        <w:t>6、质保期内</w:t>
      </w:r>
      <w:r>
        <w:rPr>
          <w:rFonts w:hint="eastAsia" w:ascii="宋体" w:hAnsi="宋体" w:eastAsia="宋体" w:cs="宋体"/>
          <w:szCs w:val="21"/>
        </w:rPr>
        <w:t>乙方</w:t>
      </w:r>
      <w:r>
        <w:rPr>
          <w:rFonts w:hint="eastAsia" w:ascii="宋体" w:hAnsi="宋体" w:eastAsia="宋体" w:cs="宋体"/>
          <w:bCs/>
          <w:szCs w:val="21"/>
        </w:rPr>
        <w:t>如无法达到上述要求，甲方有权委托其它维修商完成此项工作，由此产生的一切费用均由</w:t>
      </w:r>
      <w:r>
        <w:rPr>
          <w:rFonts w:hint="eastAsia" w:ascii="宋体" w:hAnsi="宋体" w:eastAsia="宋体" w:cs="宋体"/>
          <w:szCs w:val="21"/>
        </w:rPr>
        <w:t>乙方</w:t>
      </w:r>
      <w:r>
        <w:rPr>
          <w:rFonts w:hint="eastAsia" w:ascii="宋体" w:hAnsi="宋体" w:eastAsia="宋体" w:cs="宋体"/>
          <w:bCs/>
          <w:szCs w:val="21"/>
        </w:rPr>
        <w:t>负责。</w:t>
      </w:r>
    </w:p>
    <w:p w14:paraId="16029478">
      <w:pPr>
        <w:pStyle w:val="4"/>
        <w:spacing w:line="460" w:lineRule="exact"/>
        <w:ind w:firstLine="0" w:firstLineChars="0"/>
        <w:contextualSpacing/>
        <w:rPr>
          <w:rFonts w:hint="eastAsia" w:ascii="宋体" w:hAnsi="宋体" w:eastAsia="宋体" w:cs="宋体"/>
          <w:b/>
          <w:szCs w:val="21"/>
        </w:rPr>
      </w:pPr>
      <w:r>
        <w:rPr>
          <w:rFonts w:hint="eastAsia" w:ascii="宋体" w:hAnsi="宋体" w:eastAsia="宋体" w:cs="宋体"/>
          <w:b/>
          <w:szCs w:val="21"/>
        </w:rPr>
        <w:t>第六条 权利保证</w:t>
      </w:r>
    </w:p>
    <w:p w14:paraId="70BBFFFD">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1、乙方保证对其出售的货物享有合法的权利。</w:t>
      </w:r>
    </w:p>
    <w:p w14:paraId="2BEBBC6F">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2、乙方保证对其出售的货物上不存在任何未曾向甲方透露的担保物权，如抵押权、质押权、留置权。</w:t>
      </w:r>
    </w:p>
    <w:p w14:paraId="39A2DA6D">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3、乙方保证对其出售的货物或其任何一部分没有侵犯第三方的专利权、版权、商标权或其他权利。</w:t>
      </w:r>
    </w:p>
    <w:p w14:paraId="37F1AE10">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4、如甲方在使用该货物构成上述侵权的，则由乙方承担全部责任。</w:t>
      </w:r>
    </w:p>
    <w:p w14:paraId="135F04B6">
      <w:pPr>
        <w:pStyle w:val="4"/>
        <w:spacing w:line="460" w:lineRule="exact"/>
        <w:ind w:firstLine="0" w:firstLineChars="0"/>
        <w:contextualSpacing/>
        <w:rPr>
          <w:rFonts w:hint="eastAsia" w:ascii="宋体" w:hAnsi="宋体" w:eastAsia="宋体" w:cs="宋体"/>
          <w:b/>
          <w:szCs w:val="21"/>
        </w:rPr>
      </w:pPr>
      <w:r>
        <w:rPr>
          <w:rFonts w:hint="eastAsia" w:ascii="宋体" w:hAnsi="宋体" w:eastAsia="宋体" w:cs="宋体"/>
          <w:b/>
          <w:szCs w:val="21"/>
        </w:rPr>
        <w:t>第七条 包装要求与运输方式（若有）</w:t>
      </w:r>
    </w:p>
    <w:p w14:paraId="48ABE297">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1、除合同另有规定外，乙方提供的全部货物均应按标准保护措施进行包装，该包装应适应于远距离运输、防潮、防震、防锈和防野蛮装卸，以确保货物安全运抵指定地点。</w:t>
      </w:r>
    </w:p>
    <w:p w14:paraId="25D1275C">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2、每一包装单元应附详细的装箱单和质量合格证。</w:t>
      </w:r>
    </w:p>
    <w:p w14:paraId="156D212F">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3、选择运输风险小、运费低、距离短的运输路线。</w:t>
      </w:r>
    </w:p>
    <w:p w14:paraId="3CAA220B">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4、货物（产品）运输方式：</w:t>
      </w:r>
      <w:r>
        <w:rPr>
          <w:rFonts w:hint="eastAsia" w:ascii="宋体" w:hAnsi="宋体" w:eastAsia="宋体" w:cs="宋体"/>
          <w:szCs w:val="21"/>
          <w:u w:val="single"/>
        </w:rPr>
        <w:t xml:space="preserve">             </w:t>
      </w:r>
      <w:r>
        <w:rPr>
          <w:rFonts w:hint="eastAsia" w:ascii="宋体" w:hAnsi="宋体" w:eastAsia="宋体" w:cs="宋体"/>
          <w:szCs w:val="21"/>
        </w:rPr>
        <w:t>。</w:t>
      </w:r>
    </w:p>
    <w:p w14:paraId="6700A6D4">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 xml:space="preserve">5、乙方负责货物（产品）运输，货物运输的合理损耗及计算方法 </w:t>
      </w:r>
      <w:r>
        <w:rPr>
          <w:rFonts w:hint="eastAsia" w:ascii="宋体" w:hAnsi="宋体" w:eastAsia="宋体" w:cs="宋体"/>
          <w:szCs w:val="21"/>
          <w:u w:val="single"/>
        </w:rPr>
        <w:t xml:space="preserve">         </w:t>
      </w:r>
      <w:r>
        <w:rPr>
          <w:rFonts w:hint="eastAsia" w:ascii="宋体" w:hAnsi="宋体" w:eastAsia="宋体" w:cs="宋体"/>
          <w:szCs w:val="21"/>
        </w:rPr>
        <w:t>。</w:t>
      </w:r>
    </w:p>
    <w:p w14:paraId="169F20EA">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6、运杂费一次包死在总价内，包括生产厂到施工现场所需的装卸、运输（含保险费）、现场保管费、二次倒运费、吊装费等费用。</w:t>
      </w:r>
    </w:p>
    <w:p w14:paraId="0FE2FE45">
      <w:pPr>
        <w:pStyle w:val="4"/>
        <w:spacing w:line="460" w:lineRule="exact"/>
        <w:ind w:firstLine="0" w:firstLineChars="0"/>
        <w:contextualSpacing/>
        <w:rPr>
          <w:rFonts w:hint="eastAsia" w:ascii="宋体" w:hAnsi="宋体" w:eastAsia="宋体" w:cs="宋体"/>
          <w:b/>
          <w:szCs w:val="21"/>
        </w:rPr>
      </w:pPr>
      <w:r>
        <w:rPr>
          <w:rFonts w:hint="eastAsia" w:ascii="宋体" w:hAnsi="宋体" w:eastAsia="宋体" w:cs="宋体"/>
          <w:b/>
          <w:szCs w:val="21"/>
        </w:rPr>
        <w:t>第八条 货物验收</w:t>
      </w:r>
    </w:p>
    <w:p w14:paraId="051DE24D">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1、货物验收由甲方组织，乙方配合，并按下列程序进行：</w:t>
      </w:r>
    </w:p>
    <w:p w14:paraId="1EBDB51F">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14:paraId="6E2D247A">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（2）到货验收：货物到达后，按合同第一条款的货物清单和装箱单经行逐一核对，同时检查货物外观，是否有划痕或破损的，并做好相应记录。</w:t>
      </w:r>
    </w:p>
    <w:p w14:paraId="102A0E8D">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（3）货物初验：货物到达交货地点后，由使用单位根据合同对货物（产品）的名称、品牌、规格、型号、产地、数量等进行检查。所有货物（产品）安装、调试完毕，正常使用30个日历天后，使用单位进行初验。</w:t>
      </w:r>
    </w:p>
    <w:p w14:paraId="561AA6E8">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（4）货物终验：初验合格后，由用户单位组织相关专家等进行终验（最终验收），合格后签发《终验合格单》。</w:t>
      </w:r>
    </w:p>
    <w:p w14:paraId="1D3AB6BF">
      <w:pPr>
        <w:pStyle w:val="4"/>
        <w:spacing w:line="460" w:lineRule="exact"/>
        <w:ind w:firstLine="199" w:firstLineChars="95"/>
        <w:contextualSpacing/>
        <w:rPr>
          <w:rFonts w:hint="eastAsia" w:ascii="宋体" w:hAnsi="宋体" w:eastAsia="宋体" w:cs="宋体"/>
          <w:szCs w:val="21"/>
        </w:rPr>
      </w:pPr>
      <w:r>
        <w:rPr>
          <w:rFonts w:hint="eastAsia" w:ascii="宋体" w:hAnsi="宋体" w:eastAsia="宋体" w:cs="宋体"/>
          <w:szCs w:val="21"/>
        </w:rPr>
        <w:t>（5）质量验收合格，双方签署质量验收报告。</w:t>
      </w:r>
    </w:p>
    <w:p w14:paraId="5030316C">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2、货物验收依据：</w:t>
      </w:r>
    </w:p>
    <w:p w14:paraId="64B72F06">
      <w:pPr>
        <w:pStyle w:val="4"/>
        <w:spacing w:line="460" w:lineRule="exact"/>
        <w:ind w:firstLineChars="0"/>
        <w:contextualSpacing/>
        <w:rPr>
          <w:rFonts w:hint="eastAsia" w:ascii="宋体" w:hAnsi="宋体" w:eastAsia="宋体" w:cs="宋体"/>
          <w:szCs w:val="21"/>
        </w:rPr>
      </w:pPr>
      <w:r>
        <w:rPr>
          <w:rFonts w:hint="eastAsia" w:ascii="宋体" w:hAnsi="宋体" w:eastAsia="宋体" w:cs="宋体"/>
          <w:szCs w:val="21"/>
        </w:rPr>
        <w:t>（1）招标文件；</w:t>
      </w:r>
    </w:p>
    <w:p w14:paraId="503DE8DD">
      <w:pPr>
        <w:pStyle w:val="4"/>
        <w:spacing w:line="460" w:lineRule="exact"/>
        <w:ind w:firstLineChars="0"/>
        <w:contextualSpacing/>
        <w:rPr>
          <w:rFonts w:hint="eastAsia" w:ascii="宋体" w:hAnsi="宋体" w:eastAsia="宋体" w:cs="宋体"/>
          <w:szCs w:val="21"/>
        </w:rPr>
      </w:pPr>
      <w:r>
        <w:rPr>
          <w:rFonts w:hint="eastAsia" w:ascii="宋体" w:hAnsi="宋体" w:eastAsia="宋体" w:cs="宋体"/>
          <w:szCs w:val="21"/>
        </w:rPr>
        <w:t>（2）乙方投标文件；</w:t>
      </w:r>
    </w:p>
    <w:p w14:paraId="1D1D6896">
      <w:pPr>
        <w:pStyle w:val="4"/>
        <w:spacing w:line="460" w:lineRule="exact"/>
        <w:ind w:firstLineChars="0"/>
        <w:contextualSpacing/>
        <w:rPr>
          <w:rFonts w:hint="eastAsia" w:ascii="宋体" w:hAnsi="宋体" w:eastAsia="宋体" w:cs="宋体"/>
          <w:szCs w:val="21"/>
        </w:rPr>
      </w:pPr>
      <w:r>
        <w:rPr>
          <w:rFonts w:hint="eastAsia" w:ascii="宋体" w:hAnsi="宋体" w:eastAsia="宋体" w:cs="宋体"/>
          <w:szCs w:val="21"/>
        </w:rPr>
        <w:t>（3）采购合同及合同补充文件；</w:t>
      </w:r>
    </w:p>
    <w:p w14:paraId="4180530E">
      <w:pPr>
        <w:pStyle w:val="4"/>
        <w:spacing w:line="460" w:lineRule="exact"/>
        <w:ind w:firstLineChars="0"/>
        <w:contextualSpacing/>
        <w:rPr>
          <w:rFonts w:hint="eastAsia" w:ascii="宋体" w:hAnsi="宋体" w:eastAsia="宋体" w:cs="宋体"/>
          <w:szCs w:val="21"/>
        </w:rPr>
      </w:pPr>
      <w:r>
        <w:rPr>
          <w:rFonts w:hint="eastAsia" w:ascii="宋体" w:hAnsi="宋体" w:eastAsia="宋体" w:cs="宋体"/>
          <w:szCs w:val="21"/>
        </w:rPr>
        <w:t>（4）供货一览表；</w:t>
      </w:r>
    </w:p>
    <w:p w14:paraId="4784BFF2">
      <w:pPr>
        <w:pStyle w:val="4"/>
        <w:spacing w:line="460" w:lineRule="exact"/>
        <w:ind w:firstLineChars="0"/>
        <w:contextualSpacing/>
        <w:rPr>
          <w:rFonts w:hint="eastAsia" w:ascii="宋体" w:hAnsi="宋体" w:eastAsia="宋体" w:cs="宋体"/>
          <w:szCs w:val="21"/>
        </w:rPr>
      </w:pPr>
      <w:r>
        <w:rPr>
          <w:rFonts w:hint="eastAsia" w:ascii="宋体" w:hAnsi="宋体" w:eastAsia="宋体" w:cs="宋体"/>
          <w:szCs w:val="21"/>
        </w:rPr>
        <w:t>（5）质检部门抽样检查货物（产品）合格的检测报告。</w:t>
      </w:r>
    </w:p>
    <w:p w14:paraId="2EAC3564">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3、货物验收时发现问题的处理办法：</w:t>
      </w:r>
    </w:p>
    <w:p w14:paraId="72F78CA8">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（1）乙方提供不符合招标文件和本合同规定的货物（产品），甲方有权拒绝接受。</w:t>
      </w:r>
    </w:p>
    <w:p w14:paraId="5D0FF1A0">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473563DA">
      <w:pPr>
        <w:pStyle w:val="4"/>
        <w:spacing w:line="460" w:lineRule="exact"/>
        <w:ind w:firstLine="420"/>
        <w:contextualSpacing/>
        <w:rPr>
          <w:rFonts w:hint="eastAsia" w:ascii="宋体" w:hAnsi="宋体" w:eastAsia="宋体" w:cs="宋体"/>
          <w:szCs w:val="21"/>
        </w:rPr>
      </w:pPr>
      <w:r>
        <w:rPr>
          <w:rFonts w:hint="eastAsia" w:ascii="宋体" w:hAnsi="宋体" w:eastAsia="宋体" w:cs="宋体"/>
          <w:szCs w:val="21"/>
        </w:rPr>
        <w:t>（3）如货物经乙方</w:t>
      </w:r>
      <w:r>
        <w:rPr>
          <w:rFonts w:hint="eastAsia" w:ascii="宋体" w:hAnsi="宋体" w:eastAsia="宋体" w:cs="宋体"/>
          <w:szCs w:val="21"/>
          <w:u w:val="single"/>
        </w:rPr>
        <w:t xml:space="preserve">   </w:t>
      </w:r>
      <w:r>
        <w:rPr>
          <w:rFonts w:hint="eastAsia" w:ascii="宋体" w:hAnsi="宋体" w:eastAsia="宋体" w:cs="宋体"/>
          <w:szCs w:val="21"/>
        </w:rPr>
        <w:t>次维修仍不能达到合同约定的质量标准，甲方有权退货，并视作乙方不能交付货物而须支付违约赔偿金给甲方，甲方还可依法追究乙方的违约责任。 </w:t>
      </w:r>
    </w:p>
    <w:p w14:paraId="356B50C8">
      <w:pPr>
        <w:pStyle w:val="4"/>
        <w:spacing w:line="460" w:lineRule="exact"/>
        <w:ind w:firstLine="420"/>
        <w:contextualSpacing/>
        <w:rPr>
          <w:rFonts w:hint="eastAsia" w:ascii="宋体" w:hAnsi="宋体" w:eastAsia="宋体" w:cs="宋体"/>
          <w:szCs w:val="21"/>
        </w:rPr>
      </w:pPr>
      <w:r>
        <w:rPr>
          <w:rFonts w:hint="eastAsia" w:ascii="宋体" w:hAnsi="宋体" w:eastAsia="宋体" w:cs="宋体"/>
          <w:szCs w:val="21"/>
        </w:rPr>
        <w:t>（4）货物安装完成后</w:t>
      </w:r>
      <w:r>
        <w:rPr>
          <w:rFonts w:hint="eastAsia" w:ascii="宋体" w:hAnsi="宋体" w:eastAsia="宋体" w:cs="宋体"/>
          <w:szCs w:val="21"/>
          <w:u w:val="single"/>
        </w:rPr>
        <w:t xml:space="preserve">    </w:t>
      </w:r>
      <w:r>
        <w:rPr>
          <w:rFonts w:hint="eastAsia" w:ascii="宋体" w:hAnsi="宋体" w:eastAsia="宋体" w:cs="宋体"/>
          <w:szCs w:val="21"/>
        </w:rPr>
        <w:t>日内，甲方无故不进行验收工作并已使用货物的，视同已安装调试完成并验收合格。</w:t>
      </w:r>
    </w:p>
    <w:p w14:paraId="080832B9">
      <w:pPr>
        <w:pStyle w:val="4"/>
        <w:spacing w:line="460" w:lineRule="exact"/>
        <w:ind w:firstLine="420"/>
        <w:contextualSpacing/>
        <w:rPr>
          <w:rFonts w:hint="eastAsia" w:ascii="宋体" w:hAnsi="宋体" w:eastAsia="宋体" w:cs="宋体"/>
          <w:szCs w:val="21"/>
        </w:rPr>
      </w:pPr>
      <w:r>
        <w:rPr>
          <w:rFonts w:hint="eastAsia" w:ascii="宋体" w:hAnsi="宋体" w:eastAsia="宋体" w:cs="宋体"/>
          <w:szCs w:val="21"/>
        </w:rPr>
        <w:t>（5）乙方不能完整交付货物及本条第一款款规定的单证和工具的，必须负责补齐，否则视为未按合同约定交货。</w:t>
      </w:r>
    </w:p>
    <w:p w14:paraId="6CDC8709">
      <w:pPr>
        <w:pStyle w:val="4"/>
        <w:spacing w:line="460" w:lineRule="exact"/>
        <w:ind w:firstLine="420"/>
        <w:contextualSpacing/>
        <w:rPr>
          <w:rFonts w:hint="eastAsia" w:ascii="宋体" w:hAnsi="宋体" w:eastAsia="宋体" w:cs="宋体"/>
          <w:szCs w:val="21"/>
        </w:rPr>
      </w:pPr>
      <w:r>
        <w:rPr>
          <w:rFonts w:hint="eastAsia" w:ascii="宋体" w:hAnsi="宋体" w:eastAsia="宋体" w:cs="宋体"/>
          <w:szCs w:val="21"/>
        </w:rPr>
        <w:t>（6）超出合理磅差的处理方法：</w:t>
      </w:r>
      <w:r>
        <w:rPr>
          <w:rFonts w:hint="eastAsia" w:ascii="宋体" w:hAnsi="宋体" w:eastAsia="宋体" w:cs="宋体"/>
          <w:szCs w:val="21"/>
          <w:u w:val="single"/>
        </w:rPr>
        <w:t xml:space="preserve">                  </w:t>
      </w:r>
      <w:r>
        <w:rPr>
          <w:rFonts w:hint="eastAsia" w:ascii="宋体" w:hAnsi="宋体" w:eastAsia="宋体" w:cs="宋体"/>
          <w:szCs w:val="21"/>
        </w:rPr>
        <w:t>。</w:t>
      </w:r>
    </w:p>
    <w:p w14:paraId="1FADFD6E">
      <w:pPr>
        <w:pStyle w:val="4"/>
        <w:spacing w:line="460" w:lineRule="exact"/>
        <w:ind w:firstLine="0" w:firstLineChars="0"/>
        <w:contextualSpacing/>
        <w:rPr>
          <w:rFonts w:hint="eastAsia" w:ascii="宋体" w:hAnsi="宋体" w:eastAsia="宋体" w:cs="宋体"/>
          <w:b/>
          <w:szCs w:val="21"/>
        </w:rPr>
      </w:pPr>
      <w:r>
        <w:rPr>
          <w:rFonts w:hint="eastAsia" w:ascii="宋体" w:hAnsi="宋体" w:eastAsia="宋体" w:cs="宋体"/>
          <w:b/>
          <w:szCs w:val="21"/>
        </w:rPr>
        <w:t>第九条 技术培训</w:t>
      </w:r>
    </w:p>
    <w:p w14:paraId="481634BC">
      <w:pPr>
        <w:pStyle w:val="4"/>
        <w:spacing w:line="460" w:lineRule="exact"/>
        <w:ind w:firstLine="420"/>
        <w:contextualSpacing/>
        <w:rPr>
          <w:rFonts w:hint="eastAsia" w:ascii="宋体" w:hAnsi="宋体" w:eastAsia="宋体" w:cs="宋体"/>
          <w:szCs w:val="21"/>
        </w:rPr>
      </w:pPr>
      <w:r>
        <w:rPr>
          <w:rFonts w:hint="eastAsia" w:ascii="宋体" w:hAnsi="宋体" w:eastAsia="宋体" w:cs="宋体"/>
          <w:szCs w:val="21"/>
        </w:rPr>
        <w:t>所有设备安装、调试开始前，乙方负责安排甲方维修技术人员进行技术培训；在设备安装调试期间或以后，乙方必须安排技术人员现场对使用单位的操作、维护技术人员进行操作应用及维护保养等方面更深入的技能培训，使他们具备操作和必要的调整、维护技能。</w:t>
      </w:r>
    </w:p>
    <w:p w14:paraId="022FE2FA">
      <w:pPr>
        <w:pStyle w:val="4"/>
        <w:spacing w:line="460" w:lineRule="exact"/>
        <w:ind w:firstLine="199" w:firstLineChars="95"/>
        <w:contextualSpacing/>
        <w:rPr>
          <w:rFonts w:hint="eastAsia" w:ascii="宋体" w:hAnsi="宋体" w:eastAsia="宋体" w:cs="宋体"/>
          <w:szCs w:val="21"/>
        </w:rPr>
      </w:pPr>
      <w:r>
        <w:rPr>
          <w:rFonts w:hint="eastAsia" w:ascii="宋体" w:hAnsi="宋体" w:eastAsia="宋体" w:cs="宋体"/>
          <w:szCs w:val="21"/>
        </w:rPr>
        <w:t>1、培训内容：</w:t>
      </w:r>
      <w:r>
        <w:rPr>
          <w:rFonts w:hint="eastAsia" w:ascii="宋体" w:hAnsi="宋体" w:eastAsia="宋体" w:cs="宋体"/>
          <w:szCs w:val="21"/>
          <w:u w:val="single"/>
        </w:rPr>
        <w:t xml:space="preserve">                </w:t>
      </w:r>
      <w:r>
        <w:rPr>
          <w:rFonts w:hint="eastAsia" w:ascii="宋体" w:hAnsi="宋体" w:eastAsia="宋体" w:cs="宋体"/>
          <w:szCs w:val="21"/>
        </w:rPr>
        <w:t>。</w:t>
      </w:r>
    </w:p>
    <w:p w14:paraId="6DCA0EC5">
      <w:pPr>
        <w:pStyle w:val="4"/>
        <w:spacing w:line="460" w:lineRule="exact"/>
        <w:ind w:firstLine="199" w:firstLineChars="95"/>
        <w:contextualSpacing/>
        <w:rPr>
          <w:rFonts w:hint="eastAsia" w:ascii="宋体" w:hAnsi="宋体" w:eastAsia="宋体" w:cs="宋体"/>
          <w:szCs w:val="21"/>
        </w:rPr>
      </w:pPr>
      <w:r>
        <w:rPr>
          <w:rFonts w:hint="eastAsia" w:ascii="宋体" w:hAnsi="宋体" w:eastAsia="宋体" w:cs="宋体"/>
          <w:szCs w:val="21"/>
        </w:rPr>
        <w:t>2、培训地点：</w:t>
      </w:r>
      <w:r>
        <w:rPr>
          <w:rFonts w:hint="eastAsia" w:ascii="宋体" w:hAnsi="宋体" w:eastAsia="宋体" w:cs="宋体"/>
          <w:szCs w:val="21"/>
          <w:u w:val="single"/>
        </w:rPr>
        <w:t xml:space="preserve">                </w:t>
      </w:r>
      <w:r>
        <w:rPr>
          <w:rFonts w:hint="eastAsia" w:ascii="宋体" w:hAnsi="宋体" w:eastAsia="宋体" w:cs="宋体"/>
          <w:szCs w:val="21"/>
        </w:rPr>
        <w:t>。</w:t>
      </w:r>
    </w:p>
    <w:p w14:paraId="197D64AB">
      <w:pPr>
        <w:pStyle w:val="4"/>
        <w:spacing w:line="460" w:lineRule="exact"/>
        <w:ind w:firstLine="199" w:firstLineChars="95"/>
        <w:contextualSpacing/>
        <w:rPr>
          <w:rFonts w:hint="eastAsia" w:ascii="宋体" w:hAnsi="宋体" w:eastAsia="宋体" w:cs="宋体"/>
          <w:szCs w:val="21"/>
        </w:rPr>
      </w:pPr>
      <w:r>
        <w:rPr>
          <w:rFonts w:hint="eastAsia" w:ascii="宋体" w:hAnsi="宋体" w:eastAsia="宋体" w:cs="宋体"/>
          <w:szCs w:val="21"/>
        </w:rPr>
        <w:t>3、培训时间：</w:t>
      </w:r>
      <w:r>
        <w:rPr>
          <w:rFonts w:hint="eastAsia" w:ascii="宋体" w:hAnsi="宋体" w:eastAsia="宋体" w:cs="宋体"/>
          <w:szCs w:val="21"/>
          <w:u w:val="single"/>
        </w:rPr>
        <w:t xml:space="preserve">                </w:t>
      </w:r>
      <w:r>
        <w:rPr>
          <w:rFonts w:hint="eastAsia" w:ascii="宋体" w:hAnsi="宋体" w:eastAsia="宋体" w:cs="宋体"/>
          <w:szCs w:val="21"/>
        </w:rPr>
        <w:t>。</w:t>
      </w:r>
    </w:p>
    <w:p w14:paraId="419074E1">
      <w:pPr>
        <w:pStyle w:val="4"/>
        <w:spacing w:line="460" w:lineRule="exact"/>
        <w:ind w:firstLine="199" w:firstLineChars="95"/>
        <w:contextualSpacing/>
        <w:rPr>
          <w:rFonts w:hint="eastAsia" w:ascii="宋体" w:hAnsi="宋体" w:eastAsia="宋体" w:cs="宋体"/>
          <w:szCs w:val="21"/>
        </w:rPr>
      </w:pPr>
      <w:r>
        <w:rPr>
          <w:rFonts w:hint="eastAsia" w:ascii="宋体" w:hAnsi="宋体" w:eastAsia="宋体" w:cs="宋体"/>
          <w:szCs w:val="21"/>
        </w:rPr>
        <w:t>4、培训人数：</w:t>
      </w:r>
      <w:r>
        <w:rPr>
          <w:rFonts w:hint="eastAsia" w:ascii="宋体" w:hAnsi="宋体" w:eastAsia="宋体" w:cs="宋体"/>
          <w:szCs w:val="21"/>
          <w:u w:val="single"/>
        </w:rPr>
        <w:t xml:space="preserve">                </w:t>
      </w:r>
      <w:r>
        <w:rPr>
          <w:rFonts w:hint="eastAsia" w:ascii="宋体" w:hAnsi="宋体" w:eastAsia="宋体" w:cs="宋体"/>
          <w:szCs w:val="21"/>
        </w:rPr>
        <w:t>。</w:t>
      </w:r>
    </w:p>
    <w:p w14:paraId="74C183EB">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5、培训费用：受训人员的食宿费、资料费、培训场地费、耗材（包括水电费等）费等已包含在合同总价中，甲方不再另行支付。</w:t>
      </w:r>
    </w:p>
    <w:p w14:paraId="260C7EE9">
      <w:pPr>
        <w:pStyle w:val="4"/>
        <w:spacing w:line="460" w:lineRule="exact"/>
        <w:ind w:firstLine="0" w:firstLineChars="0"/>
        <w:contextualSpacing/>
        <w:rPr>
          <w:rFonts w:hint="eastAsia" w:ascii="宋体" w:hAnsi="宋体" w:eastAsia="宋体" w:cs="宋体"/>
          <w:b/>
          <w:szCs w:val="21"/>
        </w:rPr>
      </w:pPr>
      <w:r>
        <w:rPr>
          <w:rFonts w:hint="eastAsia" w:ascii="宋体" w:hAnsi="宋体" w:eastAsia="宋体" w:cs="宋体"/>
          <w:b/>
          <w:szCs w:val="21"/>
        </w:rPr>
        <w:t>第十条 售后服务</w:t>
      </w:r>
    </w:p>
    <w:p w14:paraId="4AF7C0D6">
      <w:pPr>
        <w:pStyle w:val="4"/>
        <w:spacing w:line="460" w:lineRule="exact"/>
        <w:ind w:firstLine="199" w:firstLineChars="95"/>
        <w:contextualSpacing/>
        <w:rPr>
          <w:rFonts w:hint="eastAsia" w:ascii="宋体" w:hAnsi="宋体" w:eastAsia="宋体" w:cs="宋体"/>
          <w:szCs w:val="21"/>
        </w:rPr>
      </w:pPr>
      <w:r>
        <w:rPr>
          <w:rFonts w:hint="eastAsia" w:ascii="宋体" w:hAnsi="宋体" w:eastAsia="宋体" w:cs="宋体"/>
          <w:szCs w:val="21"/>
        </w:rPr>
        <w:t>1、乙方须指派专人姓名：</w:t>
      </w:r>
      <w:r>
        <w:rPr>
          <w:rFonts w:hint="eastAsia" w:ascii="宋体" w:hAnsi="宋体" w:eastAsia="宋体" w:cs="宋体"/>
          <w:szCs w:val="21"/>
          <w:u w:val="single"/>
        </w:rPr>
        <w:t xml:space="preserve">     </w:t>
      </w:r>
      <w:r>
        <w:rPr>
          <w:rFonts w:hint="eastAsia" w:ascii="宋体" w:hAnsi="宋体" w:eastAsia="宋体" w:cs="宋体"/>
          <w:szCs w:val="21"/>
        </w:rPr>
        <w:t>电话：</w:t>
      </w:r>
      <w:r>
        <w:rPr>
          <w:rFonts w:hint="eastAsia" w:ascii="宋体" w:hAnsi="宋体" w:eastAsia="宋体" w:cs="宋体"/>
          <w:szCs w:val="21"/>
          <w:u w:val="single"/>
        </w:rPr>
        <w:t xml:space="preserve">    </w:t>
      </w:r>
      <w:r>
        <w:rPr>
          <w:rFonts w:hint="eastAsia" w:ascii="宋体" w:hAnsi="宋体" w:eastAsia="宋体" w:cs="宋体"/>
          <w:szCs w:val="21"/>
        </w:rPr>
        <w:t xml:space="preserve">负责与使用单位联系售后服务事宜； </w:t>
      </w:r>
    </w:p>
    <w:p w14:paraId="3D678C40">
      <w:pPr>
        <w:pStyle w:val="4"/>
        <w:spacing w:line="460" w:lineRule="exact"/>
        <w:ind w:firstLine="199" w:firstLineChars="95"/>
        <w:contextualSpacing/>
        <w:rPr>
          <w:rFonts w:hint="eastAsia" w:ascii="宋体" w:hAnsi="宋体" w:eastAsia="宋体" w:cs="宋体"/>
          <w:szCs w:val="21"/>
        </w:rPr>
      </w:pPr>
      <w:r>
        <w:rPr>
          <w:rFonts w:hint="eastAsia" w:ascii="宋体" w:hAnsi="宋体" w:eastAsia="宋体" w:cs="宋体"/>
          <w:szCs w:val="21"/>
        </w:rPr>
        <w:t>2、货物（产品）的现场安装、调试和启动监督；</w:t>
      </w:r>
    </w:p>
    <w:p w14:paraId="4D2C454C">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3、就货物的安装、启动、运行及维护等对使用单位的相关人员进行免费培训。主要培训内容为货物的日常使用操作、保养与管理、常见故障的排除、紧急情况的处理等，如使用单位未使用过同类型货物，乙方还需就货物的功能对使用单位相关人员进行相应的技术培训，培训地点主要在货物安装现场或由使用单位安排；</w:t>
      </w:r>
    </w:p>
    <w:p w14:paraId="0A13D94F">
      <w:pPr>
        <w:pStyle w:val="4"/>
        <w:spacing w:line="460" w:lineRule="exact"/>
        <w:ind w:firstLine="199" w:firstLineChars="95"/>
        <w:contextualSpacing/>
        <w:rPr>
          <w:rFonts w:hint="eastAsia" w:ascii="宋体" w:hAnsi="宋体" w:eastAsia="宋体" w:cs="宋体"/>
          <w:szCs w:val="21"/>
        </w:rPr>
      </w:pPr>
      <w:r>
        <w:rPr>
          <w:rFonts w:hint="eastAsia" w:ascii="宋体" w:hAnsi="宋体" w:eastAsia="宋体" w:cs="宋体"/>
          <w:szCs w:val="21"/>
        </w:rPr>
        <w:t>4、质保期自甲方在货物质量验收单（终验）上签字之日起计算，质保费用计入总价；</w:t>
      </w:r>
    </w:p>
    <w:p w14:paraId="222F0200">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5、质保期内，乙方负责对其提供的货物整机进行维修和系统维护，不再收取任何费用，但不可抗力（如火灾、雷击等）造成的故障除外；</w:t>
      </w:r>
    </w:p>
    <w:p w14:paraId="316B4007">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6、货物故障报修的响应时间为：工作期间（星期一至星期五8：00-18：00）为 6 时；非工作期间为 12 小时；</w:t>
      </w:r>
    </w:p>
    <w:p w14:paraId="6F0A21C6">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7、乙方在接到甲方通知后须 24 小时内完成维修或更换，并承担修理或更换的费用；若需将产品送回生产厂家，乙方应提供备用机、承担维修设备所需的往返费用。</w:t>
      </w:r>
    </w:p>
    <w:p w14:paraId="1EE7DB77">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8、如果乙方在收到通知后 3 天内没有弥补缺陷，使用单位可采取必要的补救措施，但其风险和费用将由乙方承担，使用单位根据合同规定对乙方行使的其它权力不受影响。使用单位亦可从合同价款中扣回索赔金额。</w:t>
      </w:r>
    </w:p>
    <w:p w14:paraId="01AED8AE">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9、所有货物售后服务方式均为乙方上门服务，即由乙方派专员到货物使用现场维修，由此产生的一切费用均由乙方承担；</w:t>
      </w:r>
    </w:p>
    <w:p w14:paraId="60F83D7A">
      <w:pPr>
        <w:pStyle w:val="4"/>
        <w:spacing w:line="460" w:lineRule="exact"/>
        <w:ind w:firstLine="199" w:firstLineChars="95"/>
        <w:contextualSpacing/>
        <w:rPr>
          <w:rFonts w:hint="eastAsia" w:ascii="宋体" w:hAnsi="宋体" w:eastAsia="宋体" w:cs="宋体"/>
          <w:szCs w:val="21"/>
        </w:rPr>
      </w:pPr>
      <w:r>
        <w:rPr>
          <w:rFonts w:hint="eastAsia" w:ascii="宋体" w:hAnsi="宋体" w:eastAsia="宋体" w:cs="宋体"/>
          <w:szCs w:val="21"/>
        </w:rPr>
        <w:t>10、质保期结束后的货物维修、维护只收取其成本费用。</w:t>
      </w:r>
    </w:p>
    <w:p w14:paraId="52ED78E9">
      <w:pPr>
        <w:pStyle w:val="4"/>
        <w:spacing w:line="460" w:lineRule="exact"/>
        <w:ind w:firstLine="0" w:firstLineChars="0"/>
        <w:contextualSpacing/>
        <w:rPr>
          <w:rFonts w:hint="eastAsia" w:ascii="宋体" w:hAnsi="宋体" w:eastAsia="宋体" w:cs="宋体"/>
          <w:szCs w:val="21"/>
        </w:rPr>
      </w:pPr>
      <w:r>
        <w:rPr>
          <w:rFonts w:hint="eastAsia" w:ascii="宋体" w:hAnsi="宋体" w:eastAsia="宋体" w:cs="宋体"/>
          <w:b/>
          <w:szCs w:val="21"/>
        </w:rPr>
        <w:t>第十一条 履约保证金</w:t>
      </w:r>
    </w:p>
    <w:p w14:paraId="7877366F">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1、在合同签订前，乙方须向使用单位提交履约保证金人民币大写</w:t>
      </w:r>
      <w:r>
        <w:rPr>
          <w:rFonts w:hint="eastAsia" w:ascii="宋体" w:hAnsi="宋体" w:eastAsia="宋体" w:cs="宋体"/>
          <w:szCs w:val="21"/>
          <w:u w:val="single"/>
        </w:rPr>
        <w:t xml:space="preserve">      </w:t>
      </w:r>
      <w:r>
        <w:rPr>
          <w:rFonts w:hint="eastAsia" w:ascii="宋体" w:hAnsi="宋体" w:eastAsia="宋体" w:cs="宋体"/>
          <w:szCs w:val="21"/>
        </w:rPr>
        <w:t>元，RMB￥</w:t>
      </w:r>
      <w:r>
        <w:rPr>
          <w:rFonts w:hint="eastAsia" w:ascii="宋体" w:hAnsi="宋体" w:eastAsia="宋体" w:cs="宋体"/>
          <w:szCs w:val="21"/>
          <w:u w:val="single"/>
        </w:rPr>
        <w:t xml:space="preserve">     </w:t>
      </w:r>
      <w:r>
        <w:rPr>
          <w:rFonts w:hint="eastAsia" w:ascii="宋体" w:hAnsi="宋体" w:eastAsia="宋体" w:cs="宋体"/>
          <w:szCs w:val="21"/>
        </w:rPr>
        <w:t>元。</w:t>
      </w:r>
    </w:p>
    <w:p w14:paraId="08CEF4E4">
      <w:pPr>
        <w:pStyle w:val="4"/>
        <w:spacing w:line="460" w:lineRule="exact"/>
        <w:ind w:firstLine="199" w:firstLineChars="95"/>
        <w:contextualSpacing/>
        <w:rPr>
          <w:rFonts w:hint="eastAsia" w:ascii="宋体" w:hAnsi="宋体" w:eastAsia="宋体" w:cs="宋体"/>
          <w:szCs w:val="21"/>
        </w:rPr>
      </w:pPr>
      <w:r>
        <w:rPr>
          <w:rFonts w:hint="eastAsia" w:ascii="宋体" w:hAnsi="宋体" w:eastAsia="宋体" w:cs="宋体"/>
          <w:szCs w:val="21"/>
        </w:rPr>
        <w:t>2、履约保证金用于补偿甲方因乙方不能完成其合同义务而蒙受的损失。</w:t>
      </w:r>
    </w:p>
    <w:p w14:paraId="61D5FC51">
      <w:pPr>
        <w:widowControl/>
        <w:spacing w:line="460" w:lineRule="exact"/>
        <w:ind w:firstLine="210" w:firstLineChars="100"/>
        <w:contextualSpacing/>
        <w:jc w:val="left"/>
        <w:rPr>
          <w:rFonts w:hint="eastAsia" w:ascii="宋体" w:hAnsi="宋体" w:eastAsia="宋体" w:cs="宋体"/>
          <w:szCs w:val="21"/>
        </w:rPr>
      </w:pPr>
      <w:r>
        <w:rPr>
          <w:rFonts w:hint="eastAsia" w:ascii="宋体" w:hAnsi="宋体" w:eastAsia="宋体" w:cs="宋体"/>
          <w:szCs w:val="21"/>
        </w:rPr>
        <w:t>3、若乙方不能按本须知规定交纳履约保证金，甲方将有充分理由拒绝签订合同，并没收其投标保证金，由此给甲方造成的损失超过投标担保数额的，还应当对超过部分予以赔偿。</w:t>
      </w:r>
    </w:p>
    <w:p w14:paraId="54B742CD">
      <w:pPr>
        <w:widowControl/>
        <w:spacing w:line="460" w:lineRule="exact"/>
        <w:ind w:firstLine="210" w:firstLineChars="100"/>
        <w:contextualSpacing/>
        <w:jc w:val="left"/>
        <w:rPr>
          <w:rFonts w:hint="eastAsia" w:ascii="宋体" w:hAnsi="宋体" w:eastAsia="宋体" w:cs="宋体"/>
          <w:szCs w:val="21"/>
        </w:rPr>
      </w:pPr>
      <w:r>
        <w:rPr>
          <w:rFonts w:hint="eastAsia" w:ascii="宋体" w:hAnsi="宋体" w:eastAsia="宋体" w:cs="宋体"/>
          <w:szCs w:val="21"/>
        </w:rPr>
        <w:t>4、若乙方未能履行合同规定的义务，甲方有权没收履约保证金取得补偿，因此给甲方造成的损失超过投标担保数额的，还应当对超过部分予以赔偿。</w:t>
      </w:r>
    </w:p>
    <w:p w14:paraId="1F81ECB7">
      <w:pPr>
        <w:widowControl/>
        <w:spacing w:line="460" w:lineRule="exact"/>
        <w:ind w:firstLine="210" w:firstLineChars="100"/>
        <w:contextualSpacing/>
        <w:jc w:val="left"/>
        <w:rPr>
          <w:rFonts w:hint="eastAsia" w:ascii="宋体" w:hAnsi="宋体" w:eastAsia="宋体" w:cs="宋体"/>
          <w:szCs w:val="21"/>
        </w:rPr>
      </w:pPr>
      <w:r>
        <w:rPr>
          <w:rFonts w:hint="eastAsia" w:ascii="宋体" w:hAnsi="宋体" w:eastAsia="宋体" w:cs="宋体"/>
          <w:szCs w:val="21"/>
        </w:rPr>
        <w:t>5、乙方履约担保有效期应截止为本项目合同终止之日，甲方应当在乙方履约担保有效期截止后，甲方财务部门接到甲方确认本合同货物质量与服务等约定事项已经履行完毕的正式书面文件后的</w:t>
      </w:r>
      <w:r>
        <w:rPr>
          <w:rFonts w:hint="eastAsia" w:ascii="宋体" w:hAnsi="宋体" w:eastAsia="宋体" w:cs="宋体"/>
          <w:szCs w:val="21"/>
          <w:u w:val="single"/>
        </w:rPr>
        <w:t xml:space="preserve">   </w:t>
      </w:r>
      <w:r>
        <w:rPr>
          <w:rFonts w:hint="eastAsia" w:ascii="宋体" w:hAnsi="宋体" w:eastAsia="宋体" w:cs="宋体"/>
          <w:szCs w:val="21"/>
        </w:rPr>
        <w:t>日内，向乙方退还履约保证金。</w:t>
      </w:r>
    </w:p>
    <w:p w14:paraId="3D2DD63A">
      <w:pPr>
        <w:pStyle w:val="4"/>
        <w:spacing w:line="460" w:lineRule="exact"/>
        <w:ind w:firstLine="0" w:firstLineChars="0"/>
        <w:contextualSpacing/>
        <w:rPr>
          <w:rFonts w:hint="eastAsia" w:ascii="宋体" w:hAnsi="宋体" w:eastAsia="宋体" w:cs="宋体"/>
          <w:b/>
          <w:szCs w:val="21"/>
        </w:rPr>
      </w:pPr>
      <w:r>
        <w:rPr>
          <w:rFonts w:hint="eastAsia" w:ascii="宋体" w:hAnsi="宋体" w:eastAsia="宋体" w:cs="宋体"/>
          <w:b/>
          <w:szCs w:val="21"/>
        </w:rPr>
        <w:t>第十二条 违约责任</w:t>
      </w:r>
    </w:p>
    <w:p w14:paraId="17C0561C">
      <w:pPr>
        <w:pStyle w:val="4"/>
        <w:spacing w:line="460" w:lineRule="exact"/>
        <w:ind w:firstLine="199" w:firstLineChars="95"/>
        <w:contextualSpacing/>
        <w:rPr>
          <w:rFonts w:hint="eastAsia" w:ascii="宋体" w:hAnsi="宋体" w:eastAsia="宋体" w:cs="宋体"/>
          <w:szCs w:val="21"/>
        </w:rPr>
      </w:pPr>
      <w:r>
        <w:rPr>
          <w:rFonts w:hint="eastAsia" w:ascii="宋体" w:hAnsi="宋体" w:eastAsia="宋体" w:cs="宋体"/>
          <w:szCs w:val="21"/>
        </w:rPr>
        <w:t>1、甲方违约责任</w:t>
      </w:r>
    </w:p>
    <w:p w14:paraId="7C4A9D65">
      <w:pPr>
        <w:pStyle w:val="4"/>
        <w:spacing w:line="460" w:lineRule="exact"/>
        <w:ind w:firstLine="420" w:firstLineChars="0"/>
        <w:contextualSpacing/>
        <w:rPr>
          <w:rFonts w:hint="eastAsia" w:ascii="宋体" w:hAnsi="宋体" w:eastAsia="宋体" w:cs="宋体"/>
          <w:szCs w:val="21"/>
        </w:rPr>
      </w:pPr>
      <w:r>
        <w:rPr>
          <w:rFonts w:hint="eastAsia" w:ascii="宋体" w:hAnsi="宋体" w:eastAsia="宋体" w:cs="宋体"/>
          <w:szCs w:val="21"/>
        </w:rPr>
        <w:t>（1）甲方无正当理由拒收货物的，甲方应偿付合同总价</w:t>
      </w:r>
      <w:r>
        <w:rPr>
          <w:rFonts w:hint="eastAsia" w:ascii="宋体" w:hAnsi="宋体" w:eastAsia="宋体" w:cs="宋体"/>
          <w:szCs w:val="21"/>
          <w:u w:val="single"/>
        </w:rPr>
        <w:t xml:space="preserve">  </w:t>
      </w:r>
      <w:r>
        <w:rPr>
          <w:rFonts w:hint="eastAsia" w:ascii="宋体" w:hAnsi="宋体" w:eastAsia="宋体" w:cs="宋体"/>
          <w:szCs w:val="21"/>
        </w:rPr>
        <w:t>%的违约金；</w:t>
      </w:r>
    </w:p>
    <w:p w14:paraId="34A192F2">
      <w:pPr>
        <w:pStyle w:val="4"/>
        <w:spacing w:line="460" w:lineRule="exact"/>
        <w:ind w:firstLine="0" w:firstLineChars="0"/>
        <w:contextualSpacing/>
        <w:rPr>
          <w:rFonts w:hint="eastAsia" w:ascii="宋体" w:hAnsi="宋体" w:eastAsia="宋体" w:cs="宋体"/>
          <w:szCs w:val="21"/>
        </w:rPr>
      </w:pPr>
      <w:r>
        <w:rPr>
          <w:rFonts w:hint="eastAsia" w:ascii="宋体" w:hAnsi="宋体" w:eastAsia="宋体" w:cs="宋体"/>
          <w:szCs w:val="21"/>
        </w:rPr>
        <w:t xml:space="preserve">    （2）甲方逾期支付货款的，除应及时付足货款外，应向乙方每天支付欠款总额</w:t>
      </w:r>
      <w:r>
        <w:rPr>
          <w:rFonts w:hint="eastAsia" w:ascii="宋体" w:hAnsi="宋体" w:eastAsia="宋体" w:cs="宋体"/>
          <w:szCs w:val="21"/>
          <w:u w:val="single"/>
        </w:rPr>
        <w:t xml:space="preserve">   </w:t>
      </w:r>
      <w:r>
        <w:rPr>
          <w:rFonts w:hint="eastAsia" w:ascii="宋体" w:hAnsi="宋体" w:eastAsia="宋体" w:cs="宋体"/>
          <w:szCs w:val="21"/>
        </w:rPr>
        <w:t>‰的滞纳金；但累计滞纳金总额不超过欠款总额的</w:t>
      </w:r>
      <w:r>
        <w:rPr>
          <w:rFonts w:hint="eastAsia" w:ascii="宋体" w:hAnsi="宋体" w:eastAsia="宋体" w:cs="宋体"/>
          <w:szCs w:val="21"/>
          <w:u w:val="single"/>
        </w:rPr>
        <w:t xml:space="preserve">  </w:t>
      </w:r>
      <w:r>
        <w:rPr>
          <w:rFonts w:hint="eastAsia" w:ascii="宋体" w:hAnsi="宋体" w:eastAsia="宋体" w:cs="宋体"/>
          <w:szCs w:val="21"/>
        </w:rPr>
        <w:t>%。</w:t>
      </w:r>
    </w:p>
    <w:p w14:paraId="31703172">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2、乙方违约责任</w:t>
      </w:r>
    </w:p>
    <w:p w14:paraId="7C09C514">
      <w:pPr>
        <w:pStyle w:val="4"/>
        <w:spacing w:line="460" w:lineRule="exact"/>
        <w:ind w:firstLine="420"/>
        <w:contextualSpacing/>
        <w:rPr>
          <w:rFonts w:hint="eastAsia" w:ascii="宋体" w:hAnsi="宋体" w:eastAsia="宋体" w:cs="宋体"/>
          <w:szCs w:val="21"/>
        </w:rPr>
      </w:pPr>
      <w:r>
        <w:rPr>
          <w:rFonts w:hint="eastAsia" w:ascii="宋体" w:hAnsi="宋体" w:eastAsia="宋体" w:cs="宋体"/>
          <w:szCs w:val="21"/>
        </w:rPr>
        <w:t>（1）如乙方不能交付货物，甲方有权扣留全部履约保证金；同时乙方应向甲方支付合同总价</w:t>
      </w:r>
      <w:r>
        <w:rPr>
          <w:rFonts w:hint="eastAsia" w:ascii="宋体" w:hAnsi="宋体" w:eastAsia="宋体" w:cs="宋体"/>
          <w:szCs w:val="21"/>
          <w:u w:val="single"/>
        </w:rPr>
        <w:t xml:space="preserve">  </w:t>
      </w:r>
      <w:r>
        <w:rPr>
          <w:rFonts w:hint="eastAsia" w:ascii="宋体" w:hAnsi="宋体" w:eastAsia="宋体" w:cs="宋体"/>
          <w:szCs w:val="21"/>
        </w:rPr>
        <w:t>％的违约金。</w:t>
      </w:r>
    </w:p>
    <w:p w14:paraId="76081976">
      <w:pPr>
        <w:pStyle w:val="4"/>
        <w:spacing w:line="460" w:lineRule="exact"/>
        <w:ind w:firstLine="420"/>
        <w:contextualSpacing/>
        <w:rPr>
          <w:rFonts w:hint="eastAsia" w:ascii="宋体" w:hAnsi="宋体" w:eastAsia="宋体" w:cs="宋体"/>
          <w:szCs w:val="21"/>
        </w:rPr>
      </w:pPr>
      <w:r>
        <w:rPr>
          <w:rFonts w:hint="eastAsia" w:ascii="宋体" w:hAnsi="宋体" w:eastAsia="宋体" w:cs="宋体"/>
          <w:szCs w:val="21"/>
        </w:rPr>
        <w:t>（2）乙方逾期交付货物的，每逾期1天，乙方向甲方偿付逾期交货部分货款总额的</w:t>
      </w:r>
      <w:r>
        <w:rPr>
          <w:rFonts w:hint="eastAsia" w:ascii="宋体" w:hAnsi="宋体" w:eastAsia="宋体" w:cs="宋体"/>
          <w:szCs w:val="21"/>
          <w:u w:val="single"/>
        </w:rPr>
        <w:t xml:space="preserve">   </w:t>
      </w:r>
      <w:r>
        <w:rPr>
          <w:rFonts w:hint="eastAsia" w:ascii="宋体" w:hAnsi="宋体" w:eastAsia="宋体" w:cs="宋体"/>
          <w:szCs w:val="21"/>
        </w:rPr>
        <w:t>‰的滞纳金。如乙方逾期交货达___天，甲方有权解除合同，解除合同的通知自到达乙方时生效。</w:t>
      </w:r>
    </w:p>
    <w:p w14:paraId="28473FEE">
      <w:pPr>
        <w:pStyle w:val="4"/>
        <w:spacing w:line="460" w:lineRule="exact"/>
        <w:ind w:firstLine="420"/>
        <w:contextualSpacing/>
        <w:rPr>
          <w:rFonts w:hint="eastAsia" w:ascii="宋体" w:hAnsi="宋体" w:eastAsia="宋体" w:cs="宋体"/>
          <w:szCs w:val="21"/>
        </w:rPr>
      </w:pPr>
      <w:r>
        <w:rPr>
          <w:rFonts w:hint="eastAsia" w:ascii="宋体" w:hAnsi="宋体" w:eastAsia="宋体" w:cs="宋体"/>
          <w:szCs w:val="21"/>
        </w:rPr>
        <w:t>（3）乙方所交付的货物品种、型号、规格不符合合同规定的，甲方有权拒收。甲方拒收的，乙方应向甲方支付货款总额</w:t>
      </w:r>
      <w:r>
        <w:rPr>
          <w:rFonts w:hint="eastAsia" w:ascii="宋体" w:hAnsi="宋体" w:eastAsia="宋体" w:cs="宋体"/>
          <w:szCs w:val="21"/>
          <w:u w:val="single"/>
        </w:rPr>
        <w:t xml:space="preserve">   </w:t>
      </w:r>
      <w:r>
        <w:rPr>
          <w:rFonts w:hint="eastAsia" w:ascii="宋体" w:hAnsi="宋体" w:eastAsia="宋体" w:cs="宋体"/>
          <w:szCs w:val="21"/>
        </w:rPr>
        <w:t>%的违约金。</w:t>
      </w:r>
    </w:p>
    <w:p w14:paraId="19D15FDA">
      <w:pPr>
        <w:pStyle w:val="4"/>
        <w:spacing w:line="460" w:lineRule="exact"/>
        <w:ind w:firstLine="420"/>
        <w:contextualSpacing/>
        <w:rPr>
          <w:rFonts w:hint="eastAsia" w:ascii="宋体" w:hAnsi="宋体" w:eastAsia="宋体" w:cs="宋体"/>
          <w:szCs w:val="21"/>
        </w:rPr>
      </w:pPr>
      <w:r>
        <w:rPr>
          <w:rFonts w:hint="eastAsia" w:ascii="宋体" w:hAnsi="宋体" w:eastAsia="宋体" w:cs="宋体"/>
          <w:szCs w:val="21"/>
        </w:rPr>
        <w:t>（4）乙方货物经甲方送交具有法定资格条件的质量技术监督机构检测后，如检测结果认定货物质量不符合本合同规定标准的，则视为乙方没有按时交货而违约，乙方须在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s="宋体"/>
          <w:szCs w:val="21"/>
          <w:u w:val="single"/>
        </w:rPr>
        <w:t xml:space="preserve">   </w:t>
      </w:r>
      <w:r>
        <w:rPr>
          <w:rFonts w:hint="eastAsia" w:ascii="宋体" w:hAnsi="宋体" w:eastAsia="宋体" w:cs="宋体"/>
          <w:szCs w:val="21"/>
        </w:rPr>
        <w:t>天内无条件更换合格的货物，如逾期不能更换合格的货物，甲方有权终止本合同，乙方应另向甲方支付货款总额的</w:t>
      </w:r>
      <w:r>
        <w:rPr>
          <w:rFonts w:hint="eastAsia" w:ascii="宋体" w:hAnsi="宋体" w:eastAsia="宋体" w:cs="宋体"/>
          <w:szCs w:val="21"/>
          <w:u w:val="single"/>
        </w:rPr>
        <w:t xml:space="preserve">   </w:t>
      </w:r>
      <w:r>
        <w:rPr>
          <w:rFonts w:hint="eastAsia" w:ascii="宋体" w:hAnsi="宋体" w:eastAsia="宋体" w:cs="宋体"/>
          <w:szCs w:val="21"/>
        </w:rPr>
        <w:t>%的违约金。</w:t>
      </w:r>
    </w:p>
    <w:p w14:paraId="77F60122">
      <w:pPr>
        <w:pStyle w:val="4"/>
        <w:spacing w:line="460" w:lineRule="exact"/>
        <w:ind w:firstLine="420"/>
        <w:contextualSpacing/>
        <w:rPr>
          <w:rFonts w:hint="eastAsia" w:ascii="宋体" w:hAnsi="宋体" w:eastAsia="宋体" w:cs="宋体"/>
          <w:szCs w:val="21"/>
        </w:rPr>
      </w:pPr>
      <w:r>
        <w:rPr>
          <w:rFonts w:hint="eastAsia" w:ascii="宋体" w:hAnsi="宋体" w:eastAsia="宋体" w:cs="宋体"/>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1040879F">
      <w:pPr>
        <w:pStyle w:val="4"/>
        <w:spacing w:line="460" w:lineRule="exact"/>
        <w:ind w:firstLine="0" w:firstLineChars="0"/>
        <w:contextualSpacing/>
        <w:rPr>
          <w:rFonts w:hint="eastAsia" w:ascii="宋体" w:hAnsi="宋体" w:eastAsia="宋体" w:cs="宋体"/>
          <w:szCs w:val="21"/>
        </w:rPr>
      </w:pPr>
      <w:r>
        <w:rPr>
          <w:rFonts w:hint="eastAsia" w:ascii="宋体" w:hAnsi="宋体" w:eastAsia="宋体" w:cs="宋体"/>
          <w:szCs w:val="21"/>
        </w:rPr>
        <w:t xml:space="preserve">    （6）乙方未按本合同第十条的规定向甲方交付履约保证金的，应按应交付履约保证金的</w:t>
      </w:r>
      <w:r>
        <w:rPr>
          <w:rFonts w:hint="eastAsia" w:ascii="宋体" w:hAnsi="宋体" w:eastAsia="宋体" w:cs="宋体"/>
          <w:szCs w:val="21"/>
          <w:u w:val="single"/>
        </w:rPr>
        <w:t xml:space="preserve">  </w:t>
      </w:r>
      <w:r>
        <w:rPr>
          <w:rFonts w:hint="eastAsia" w:ascii="宋体" w:hAnsi="宋体" w:eastAsia="宋体" w:cs="宋体"/>
          <w:szCs w:val="21"/>
        </w:rPr>
        <w:t>%向甲方支付违约金，该违约金的支付不影响乙方应承担的其他违约责任。</w:t>
      </w:r>
    </w:p>
    <w:p w14:paraId="1A31F11E">
      <w:pPr>
        <w:pStyle w:val="4"/>
        <w:spacing w:line="460" w:lineRule="exact"/>
        <w:ind w:firstLine="420"/>
        <w:contextualSpacing/>
        <w:rPr>
          <w:rFonts w:hint="eastAsia" w:ascii="宋体" w:hAnsi="宋体" w:eastAsia="宋体" w:cs="宋体"/>
          <w:szCs w:val="21"/>
        </w:rPr>
      </w:pPr>
      <w:r>
        <w:rPr>
          <w:rFonts w:hint="eastAsia" w:ascii="宋体" w:hAnsi="宋体" w:eastAsia="宋体" w:cs="宋体"/>
          <w:szCs w:val="21"/>
        </w:rPr>
        <w:t>（7）乙方未按本合同的规定和“服务承诺”提供伴随服务/售后服务的，应按合同总价款的</w:t>
      </w:r>
      <w:r>
        <w:rPr>
          <w:rFonts w:hint="eastAsia" w:ascii="宋体" w:hAnsi="宋体" w:eastAsia="宋体" w:cs="宋体"/>
          <w:szCs w:val="21"/>
          <w:u w:val="single"/>
        </w:rPr>
        <w:t xml:space="preserve">  </w:t>
      </w:r>
      <w:r>
        <w:rPr>
          <w:rFonts w:hint="eastAsia" w:ascii="宋体" w:hAnsi="宋体" w:eastAsia="宋体" w:cs="宋体"/>
          <w:szCs w:val="21"/>
        </w:rPr>
        <w:t>%向甲方承担违约责任。</w:t>
      </w:r>
    </w:p>
    <w:p w14:paraId="7DCA1B3C">
      <w:pPr>
        <w:pStyle w:val="4"/>
        <w:spacing w:line="460" w:lineRule="exact"/>
        <w:ind w:firstLine="420"/>
        <w:contextualSpacing/>
        <w:rPr>
          <w:rFonts w:hint="eastAsia" w:ascii="宋体" w:hAnsi="宋体" w:eastAsia="宋体" w:cs="宋体"/>
          <w:szCs w:val="21"/>
        </w:rPr>
      </w:pPr>
      <w:r>
        <w:rPr>
          <w:rFonts w:hint="eastAsia" w:ascii="宋体" w:hAnsi="宋体" w:eastAsia="宋体" w:cs="宋体"/>
          <w:szCs w:val="21"/>
        </w:rPr>
        <w:t>（8）乙方在承担上述1-7款一项或多项违约责任后，仍应继续履行合同规定的义务（甲方解除合同的除外）。甲方未能及时追究乙方的任何一项违约责任并不表明甲方放弃追究乙方该项或其他违约责任。</w:t>
      </w:r>
    </w:p>
    <w:p w14:paraId="2EC7CC32">
      <w:pPr>
        <w:pStyle w:val="4"/>
        <w:spacing w:line="460" w:lineRule="exact"/>
        <w:ind w:firstLine="315" w:firstLineChars="150"/>
        <w:contextualSpacing/>
        <w:rPr>
          <w:rFonts w:hint="eastAsia" w:ascii="宋体" w:hAnsi="宋体" w:eastAsia="宋体" w:cs="宋体"/>
          <w:szCs w:val="21"/>
        </w:rPr>
      </w:pPr>
      <w:r>
        <w:rPr>
          <w:rFonts w:hint="eastAsia" w:ascii="宋体" w:hAnsi="宋体" w:eastAsia="宋体" w:cs="宋体"/>
          <w:szCs w:val="21"/>
        </w:rPr>
        <w:t>（9）乙方偿付的违约金不足以弥补甲方损失的，还应按甲方损失尚未弥补的部分，支付赔偿金给甲方。</w:t>
      </w:r>
    </w:p>
    <w:p w14:paraId="7B820FA0">
      <w:pPr>
        <w:pStyle w:val="4"/>
        <w:spacing w:line="460" w:lineRule="exact"/>
        <w:ind w:firstLine="0" w:firstLineChars="0"/>
        <w:contextualSpacing/>
        <w:rPr>
          <w:rFonts w:hint="eastAsia" w:ascii="宋体" w:hAnsi="宋体" w:eastAsia="宋体" w:cs="宋体"/>
          <w:b/>
          <w:szCs w:val="21"/>
        </w:rPr>
      </w:pPr>
      <w:r>
        <w:rPr>
          <w:rFonts w:hint="eastAsia" w:ascii="宋体" w:hAnsi="宋体" w:eastAsia="宋体" w:cs="宋体"/>
          <w:b/>
          <w:szCs w:val="21"/>
        </w:rPr>
        <w:t>第十三条 合同的变更和终止</w:t>
      </w:r>
    </w:p>
    <w:p w14:paraId="2C2CB759">
      <w:pPr>
        <w:pStyle w:val="4"/>
        <w:spacing w:line="460" w:lineRule="exact"/>
        <w:ind w:firstLine="420"/>
        <w:contextualSpacing/>
        <w:rPr>
          <w:rFonts w:hint="eastAsia" w:ascii="宋体" w:hAnsi="宋体" w:eastAsia="宋体" w:cs="宋体"/>
          <w:szCs w:val="21"/>
        </w:rPr>
      </w:pPr>
      <w:r>
        <w:rPr>
          <w:rFonts w:hint="eastAsia" w:ascii="宋体" w:hAnsi="宋体" w:eastAsia="宋体" w:cs="宋体"/>
          <w:szCs w:val="21"/>
        </w:rPr>
        <w:t>在合同的执行期内，双方均不得随意变更或解除合同。如因项目需求情况发生变化，需要项目变更的，应双方协商后签订项目变更协议（如双方变更事项不能达成一致的，仍按原合同履行，否则视为违约）。</w:t>
      </w:r>
    </w:p>
    <w:p w14:paraId="548B7263">
      <w:pPr>
        <w:widowControl/>
        <w:spacing w:line="460" w:lineRule="exact"/>
        <w:contextualSpacing/>
        <w:jc w:val="left"/>
        <w:rPr>
          <w:rFonts w:hint="eastAsia" w:ascii="宋体" w:hAnsi="宋体" w:eastAsia="宋体" w:cs="宋体"/>
          <w:b/>
          <w:szCs w:val="21"/>
        </w:rPr>
      </w:pPr>
      <w:r>
        <w:rPr>
          <w:rFonts w:hint="eastAsia" w:ascii="宋体" w:hAnsi="宋体" w:eastAsia="宋体" w:cs="宋体"/>
          <w:b/>
          <w:szCs w:val="21"/>
        </w:rPr>
        <w:t>第十四条 争议的解决</w:t>
      </w:r>
    </w:p>
    <w:p w14:paraId="317B162A">
      <w:pPr>
        <w:pStyle w:val="4"/>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1、因货物的质量问题发生争议，由质量技术监督部门或其指定的质量鉴定机构进行质量鉴定。货物符合标准的，鉴定费由甲方承担；货物不符合质量标准的，鉴定费由乙方承担。</w:t>
      </w:r>
    </w:p>
    <w:p w14:paraId="564AC1B2">
      <w:pPr>
        <w:widowControl/>
        <w:spacing w:line="460" w:lineRule="exact"/>
        <w:ind w:firstLine="210" w:firstLineChars="100"/>
        <w:contextualSpacing/>
        <w:jc w:val="left"/>
        <w:rPr>
          <w:rFonts w:hint="eastAsia" w:ascii="宋体" w:hAnsi="宋体" w:eastAsia="宋体" w:cs="宋体"/>
          <w:szCs w:val="21"/>
        </w:rPr>
      </w:pPr>
      <w:r>
        <w:rPr>
          <w:rFonts w:hint="eastAsia" w:ascii="宋体" w:hAnsi="宋体" w:eastAsia="宋体" w:cs="宋体"/>
          <w:szCs w:val="21"/>
        </w:rPr>
        <w:t>2、因履行本合同引起的或与本合同有关的争议，甲、乙双方应首先通过友好协商解决，如果协商不能解决争议，则采取以下第____种方式解决争议：</w:t>
      </w:r>
    </w:p>
    <w:p w14:paraId="2AC2D6BA">
      <w:pPr>
        <w:widowControl/>
        <w:spacing w:line="460" w:lineRule="exact"/>
        <w:ind w:firstLine="420"/>
        <w:contextualSpacing/>
        <w:jc w:val="left"/>
        <w:rPr>
          <w:rFonts w:hint="eastAsia" w:ascii="宋体" w:hAnsi="宋体" w:eastAsia="宋体" w:cs="宋体"/>
          <w:szCs w:val="21"/>
        </w:rPr>
      </w:pPr>
      <w:r>
        <w:rPr>
          <w:rFonts w:hint="eastAsia" w:ascii="宋体" w:hAnsi="宋体" w:eastAsia="宋体" w:cs="宋体"/>
          <w:szCs w:val="21"/>
        </w:rPr>
        <w:t>（1）向甲方所在地有管辖权的人民法院提起诉讼；</w:t>
      </w:r>
    </w:p>
    <w:p w14:paraId="7B6F3C2C">
      <w:pPr>
        <w:widowControl/>
        <w:spacing w:line="460" w:lineRule="exact"/>
        <w:ind w:left="630" w:leftChars="200" w:hanging="210" w:hangingChars="100"/>
        <w:contextualSpacing/>
        <w:jc w:val="left"/>
        <w:rPr>
          <w:rFonts w:hint="eastAsia" w:ascii="宋体" w:hAnsi="宋体" w:eastAsia="宋体" w:cs="宋体"/>
          <w:szCs w:val="21"/>
        </w:rPr>
      </w:pPr>
      <w:r>
        <w:rPr>
          <w:rFonts w:hint="eastAsia" w:ascii="宋体" w:hAnsi="宋体" w:eastAsia="宋体" w:cs="宋体"/>
          <w:szCs w:val="21"/>
        </w:rPr>
        <w:t>（2）向____________仲裁委员会按其仲裁规则申请仲裁。</w:t>
      </w:r>
    </w:p>
    <w:p w14:paraId="7AE8F38C">
      <w:pPr>
        <w:widowControl/>
        <w:spacing w:line="460" w:lineRule="exact"/>
        <w:ind w:firstLine="210" w:firstLineChars="100"/>
        <w:contextualSpacing/>
        <w:jc w:val="left"/>
        <w:rPr>
          <w:rFonts w:hint="eastAsia" w:ascii="宋体" w:hAnsi="宋体" w:eastAsia="宋体" w:cs="宋体"/>
          <w:szCs w:val="21"/>
        </w:rPr>
      </w:pPr>
      <w:r>
        <w:rPr>
          <w:rFonts w:hint="eastAsia" w:ascii="宋体" w:hAnsi="宋体" w:eastAsia="宋体" w:cs="宋体"/>
          <w:szCs w:val="21"/>
        </w:rPr>
        <w:t>3、在仲裁期间，本合同应继续履行。</w:t>
      </w:r>
    </w:p>
    <w:p w14:paraId="046D43AB">
      <w:pPr>
        <w:widowControl/>
        <w:spacing w:line="460" w:lineRule="exact"/>
        <w:contextualSpacing/>
        <w:jc w:val="left"/>
        <w:rPr>
          <w:rFonts w:hint="eastAsia" w:ascii="宋体" w:hAnsi="宋体" w:eastAsia="宋体" w:cs="宋体"/>
          <w:b/>
          <w:szCs w:val="21"/>
        </w:rPr>
      </w:pPr>
      <w:r>
        <w:rPr>
          <w:rFonts w:hint="eastAsia" w:ascii="宋体" w:hAnsi="宋体" w:eastAsia="宋体" w:cs="宋体"/>
          <w:b/>
          <w:szCs w:val="21"/>
        </w:rPr>
        <w:t>第十五条 合同文件</w:t>
      </w:r>
    </w:p>
    <w:p w14:paraId="6FF06237">
      <w:pPr>
        <w:spacing w:line="460" w:lineRule="exact"/>
        <w:ind w:firstLine="420" w:firstLineChars="200"/>
        <w:contextualSpacing/>
        <w:rPr>
          <w:rFonts w:hint="eastAsia" w:ascii="宋体" w:hAnsi="宋体" w:eastAsia="宋体" w:cs="宋体"/>
          <w:szCs w:val="21"/>
        </w:rPr>
      </w:pPr>
      <w:r>
        <w:rPr>
          <w:rFonts w:hint="eastAsia" w:ascii="宋体" w:hAnsi="宋体" w:eastAsia="宋体" w:cs="宋体"/>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70612423">
      <w:pPr>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1、本合同书</w:t>
      </w:r>
    </w:p>
    <w:p w14:paraId="7068A972">
      <w:pPr>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2、中标通知书</w:t>
      </w:r>
      <w:r>
        <w:rPr>
          <w:rFonts w:hint="eastAsia" w:ascii="宋体" w:hAnsi="宋体" w:eastAsia="宋体" w:cs="宋体"/>
          <w:szCs w:val="21"/>
        </w:rPr>
        <w:tab/>
      </w:r>
    </w:p>
    <w:p w14:paraId="1BE23A6E">
      <w:pPr>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3、协议</w:t>
      </w:r>
    </w:p>
    <w:p w14:paraId="21F70EAC">
      <w:pPr>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4、投标文件(含澄清文件)</w:t>
      </w:r>
    </w:p>
    <w:p w14:paraId="249FA0A6">
      <w:pPr>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5、招标文件(含招标文件补充通知)</w:t>
      </w:r>
    </w:p>
    <w:p w14:paraId="3BF24483">
      <w:pPr>
        <w:widowControl/>
        <w:spacing w:line="460" w:lineRule="exact"/>
        <w:contextualSpacing/>
        <w:jc w:val="left"/>
        <w:rPr>
          <w:rFonts w:hint="eastAsia" w:ascii="宋体" w:hAnsi="宋体" w:eastAsia="宋体" w:cs="宋体"/>
          <w:b/>
          <w:szCs w:val="21"/>
        </w:rPr>
      </w:pPr>
      <w:r>
        <w:rPr>
          <w:rFonts w:hint="eastAsia" w:ascii="宋体" w:hAnsi="宋体" w:eastAsia="宋体" w:cs="宋体"/>
          <w:b/>
          <w:szCs w:val="21"/>
        </w:rPr>
        <w:t>第十六条 合同生效及其他</w:t>
      </w:r>
    </w:p>
    <w:p w14:paraId="24A39304">
      <w:pPr>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1、本合同一式</w:t>
      </w:r>
      <w:r>
        <w:rPr>
          <w:rFonts w:hint="eastAsia" w:ascii="宋体" w:hAnsi="宋体" w:eastAsia="宋体" w:cs="宋体"/>
          <w:szCs w:val="21"/>
          <w:u w:val="single"/>
        </w:rPr>
        <w:t xml:space="preserve">    </w:t>
      </w:r>
      <w:r>
        <w:rPr>
          <w:rFonts w:hint="eastAsia" w:ascii="宋体" w:hAnsi="宋体" w:eastAsia="宋体" w:cs="宋体"/>
          <w:szCs w:val="21"/>
        </w:rPr>
        <w:t>份，甲方持</w:t>
      </w:r>
      <w:r>
        <w:rPr>
          <w:rFonts w:hint="eastAsia" w:ascii="宋体" w:hAnsi="宋体" w:eastAsia="宋体" w:cs="宋体"/>
          <w:szCs w:val="21"/>
          <w:u w:val="single"/>
        </w:rPr>
        <w:t xml:space="preserve">    </w:t>
      </w:r>
      <w:r>
        <w:rPr>
          <w:rFonts w:hint="eastAsia" w:ascii="宋体" w:hAnsi="宋体" w:eastAsia="宋体" w:cs="宋体"/>
          <w:szCs w:val="21"/>
        </w:rPr>
        <w:t>份，乙方持</w:t>
      </w:r>
      <w:r>
        <w:rPr>
          <w:rFonts w:hint="eastAsia" w:ascii="宋体" w:hAnsi="宋体" w:eastAsia="宋体" w:cs="宋体"/>
          <w:szCs w:val="21"/>
          <w:u w:val="single"/>
        </w:rPr>
        <w:t xml:space="preserve">    </w:t>
      </w:r>
      <w:r>
        <w:rPr>
          <w:rFonts w:hint="eastAsia" w:ascii="宋体" w:hAnsi="宋体" w:eastAsia="宋体" w:cs="宋体"/>
          <w:szCs w:val="21"/>
        </w:rPr>
        <w:t>份，本合同甲、乙各方签字并盖章后生效，合同执行完毕后，自动失效（合同的服务承诺则长期有效）。</w:t>
      </w:r>
    </w:p>
    <w:p w14:paraId="61191240">
      <w:pPr>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rPr>
        <w:t>2、甲乙双方因不可抗力导致本合同全部或部分不能履行时，发生不可抗力的一方应当在不可抗力发生后 3 天内书面通知对方，以减轻可能给对方造成的损失。因不可抗力导致本合同全部或部分不能履行时，双方各自承担其因此而造成的损失、损害。</w:t>
      </w:r>
    </w:p>
    <w:p w14:paraId="0B4DC262">
      <w:pPr>
        <w:spacing w:line="460" w:lineRule="exact"/>
        <w:ind w:firstLine="210" w:firstLineChars="100"/>
        <w:contextualSpacing/>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、合同未尽事宜，由甲、乙双方协商签订政府采购补充合同，与原合同具有同等法律效力。</w:t>
      </w:r>
    </w:p>
    <w:p w14:paraId="3F482E9A">
      <w:pPr>
        <w:spacing w:line="460" w:lineRule="exact"/>
        <w:ind w:firstLine="210" w:firstLineChars="100"/>
        <w:contextualSpacing/>
        <w:rPr>
          <w:rFonts w:hint="eastAsia" w:ascii="宋体" w:hAnsi="宋体" w:eastAsia="宋体" w:cs="宋体"/>
          <w:szCs w:val="21"/>
          <w:u w:val="single"/>
        </w:rPr>
      </w:pPr>
      <w:r>
        <w:rPr>
          <w:rFonts w:hint="eastAsia" w:ascii="宋体" w:hAnsi="宋体" w:eastAsia="宋体" w:cs="宋体"/>
          <w:kern w:val="2"/>
          <w:sz w:val="21"/>
          <w:szCs w:val="21"/>
          <w:lang w:val="en-US" w:eastAsia="zh-CN" w:bidi="ar-SA"/>
        </w:rPr>
        <w:t>4、合同签订日期：</w:t>
      </w:r>
      <w:r>
        <w:rPr>
          <w:rFonts w:hint="eastAsia" w:ascii="宋体" w:hAnsi="宋体" w:eastAsia="宋体" w:cs="宋体"/>
          <w:szCs w:val="21"/>
          <w:u w:val="single"/>
        </w:rPr>
        <w:t xml:space="preserve">     年   月   日</w:t>
      </w:r>
    </w:p>
    <w:p w14:paraId="5F0F473F">
      <w:pPr>
        <w:spacing w:line="460" w:lineRule="exact"/>
        <w:ind w:firstLine="210" w:firstLineChars="100"/>
        <w:contextualSpacing/>
        <w:rPr>
          <w:rFonts w:hint="eastAsia" w:ascii="宋体" w:hAnsi="宋体" w:eastAsia="宋体" w:cs="宋体"/>
          <w:szCs w:val="21"/>
          <w:u w:val="single"/>
          <w:lang w:val="en-US" w:eastAsia="zh-CN"/>
        </w:rPr>
      </w:pPr>
    </w:p>
    <w:tbl>
      <w:tblPr>
        <w:tblStyle w:val="2"/>
        <w:tblW w:w="87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78"/>
        <w:gridCol w:w="4277"/>
      </w:tblGrid>
      <w:tr w14:paraId="47945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jc w:val="center"/>
        </w:trPr>
        <w:tc>
          <w:tcPr>
            <w:tcW w:w="4478" w:type="dxa"/>
            <w:noWrap w:val="0"/>
            <w:vAlign w:val="center"/>
          </w:tcPr>
          <w:p w14:paraId="2CEC9D91">
            <w:pPr>
              <w:jc w:val="both"/>
              <w:rPr>
                <w:rFonts w:hint="eastAsia" w:ascii="宋体" w:hAnsi="宋体" w:eastAsia="宋体" w:cs="宋体"/>
                <w:b/>
                <w:szCs w:val="21"/>
                <w:lang w:eastAsia="zh-CN"/>
              </w:rPr>
            </w:pPr>
            <w:r>
              <w:rPr>
                <w:rFonts w:hint="eastAsia" w:ascii="宋体" w:hAnsi="宋体" w:eastAsia="宋体" w:cs="宋体"/>
                <w:b/>
                <w:szCs w:val="21"/>
              </w:rPr>
              <w:t>甲  方</w:t>
            </w:r>
            <w:r>
              <w:rPr>
                <w:rFonts w:hint="eastAsia" w:ascii="宋体" w:hAnsi="宋体" w:eastAsia="宋体" w:cs="宋体"/>
                <w:b/>
                <w:szCs w:val="21"/>
                <w:lang w:eastAsia="zh-CN"/>
              </w:rPr>
              <w:t>（</w:t>
            </w:r>
            <w:r>
              <w:rPr>
                <w:rFonts w:hint="eastAsia" w:ascii="宋体" w:hAnsi="宋体" w:eastAsia="宋体" w:cs="宋体"/>
                <w:b/>
                <w:szCs w:val="21"/>
                <w:lang w:val="en-US" w:eastAsia="zh-CN"/>
              </w:rPr>
              <w:t>采购人</w:t>
            </w:r>
            <w:r>
              <w:rPr>
                <w:rFonts w:hint="eastAsia" w:ascii="宋体" w:hAnsi="宋体" w:eastAsia="宋体" w:cs="宋体"/>
                <w:b/>
                <w:szCs w:val="21"/>
                <w:lang w:eastAsia="zh-CN"/>
              </w:rPr>
              <w:t>）</w:t>
            </w:r>
          </w:p>
        </w:tc>
        <w:tc>
          <w:tcPr>
            <w:tcW w:w="4277" w:type="dxa"/>
            <w:noWrap w:val="0"/>
            <w:vAlign w:val="center"/>
          </w:tcPr>
          <w:p w14:paraId="0FDD02A0">
            <w:pPr>
              <w:jc w:val="both"/>
              <w:rPr>
                <w:rFonts w:hint="eastAsia" w:ascii="宋体" w:hAnsi="宋体" w:eastAsia="宋体" w:cs="宋体"/>
                <w:b/>
                <w:szCs w:val="21"/>
                <w:lang w:eastAsia="zh-CN"/>
              </w:rPr>
            </w:pPr>
            <w:r>
              <w:rPr>
                <w:rFonts w:hint="eastAsia" w:ascii="宋体" w:hAnsi="宋体" w:eastAsia="宋体" w:cs="宋体"/>
                <w:b/>
                <w:szCs w:val="21"/>
              </w:rPr>
              <w:t>乙  方</w:t>
            </w:r>
            <w:r>
              <w:rPr>
                <w:rFonts w:hint="eastAsia" w:ascii="宋体" w:hAnsi="宋体" w:eastAsia="宋体" w:cs="宋体"/>
                <w:b/>
                <w:szCs w:val="21"/>
                <w:lang w:eastAsia="zh-CN"/>
              </w:rPr>
              <w:t>（</w:t>
            </w:r>
            <w:r>
              <w:rPr>
                <w:rFonts w:hint="eastAsia" w:ascii="宋体" w:hAnsi="宋体" w:eastAsia="宋体" w:cs="宋体"/>
                <w:b/>
                <w:szCs w:val="21"/>
                <w:lang w:val="en-US" w:eastAsia="zh-CN"/>
              </w:rPr>
              <w:t>中标供应商</w:t>
            </w:r>
            <w:r>
              <w:rPr>
                <w:rFonts w:hint="eastAsia" w:ascii="宋体" w:hAnsi="宋体" w:eastAsia="宋体" w:cs="宋体"/>
                <w:b/>
                <w:szCs w:val="21"/>
                <w:lang w:eastAsia="zh-CN"/>
              </w:rPr>
              <w:t>）</w:t>
            </w:r>
          </w:p>
        </w:tc>
      </w:tr>
      <w:tr w14:paraId="5163D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478" w:type="dxa"/>
            <w:noWrap w:val="0"/>
            <w:vAlign w:val="center"/>
          </w:tcPr>
          <w:p w14:paraId="7C2D2368">
            <w:pPr>
              <w:jc w:val="both"/>
              <w:rPr>
                <w:rFonts w:hint="eastAsia" w:ascii="宋体" w:hAnsi="宋体" w:eastAsia="宋体" w:cs="宋体"/>
                <w:szCs w:val="21"/>
              </w:rPr>
            </w:pPr>
            <w:r>
              <w:rPr>
                <w:rFonts w:hint="eastAsia" w:ascii="宋体" w:hAnsi="宋体" w:eastAsia="宋体" w:cs="宋体"/>
                <w:szCs w:val="21"/>
                <w:lang w:val="en-US" w:eastAsia="zh-CN"/>
              </w:rPr>
              <w:t>名称：</w:t>
            </w:r>
            <w:r>
              <w:rPr>
                <w:rFonts w:hint="eastAsia" w:ascii="宋体" w:hAnsi="宋体" w:cs="宋体"/>
                <w:szCs w:val="21"/>
                <w:u w:val="single"/>
                <w:lang w:eastAsia="zh-CN"/>
              </w:rPr>
              <w:t>西安高新技术产业开发区农业农村和水务局</w:t>
            </w:r>
            <w:r>
              <w:rPr>
                <w:rFonts w:hint="eastAsia" w:ascii="宋体" w:hAnsi="宋体" w:eastAsia="宋体" w:cs="宋体"/>
                <w:szCs w:val="21"/>
              </w:rPr>
              <w:t>（盖章）</w:t>
            </w:r>
          </w:p>
        </w:tc>
        <w:tc>
          <w:tcPr>
            <w:tcW w:w="4277" w:type="dxa"/>
            <w:noWrap w:val="0"/>
            <w:vAlign w:val="center"/>
          </w:tcPr>
          <w:p w14:paraId="11AF5100">
            <w:pPr>
              <w:jc w:val="both"/>
              <w:rPr>
                <w:rFonts w:hint="eastAsia" w:ascii="宋体" w:hAnsi="宋体" w:eastAsia="宋体" w:cs="宋体"/>
                <w:szCs w:val="21"/>
              </w:rPr>
            </w:pPr>
            <w:r>
              <w:rPr>
                <w:rFonts w:hint="eastAsia" w:ascii="宋体" w:hAnsi="宋体" w:eastAsia="宋体" w:cs="宋体"/>
                <w:szCs w:val="21"/>
                <w:lang w:val="en-US" w:eastAsia="zh-CN"/>
              </w:rPr>
              <w:t>名称：</w:t>
            </w:r>
            <w:r>
              <w:rPr>
                <w:rFonts w:hint="eastAsia" w:ascii="宋体" w:hAnsi="宋体" w:eastAsia="宋体" w:cs="宋体"/>
                <w:szCs w:val="21"/>
                <w:u w:val="single"/>
                <w:lang w:val="en-US" w:eastAsia="zh-CN"/>
              </w:rPr>
              <w:t xml:space="preserve">               </w:t>
            </w:r>
            <w:r>
              <w:rPr>
                <w:rFonts w:hint="eastAsia" w:ascii="宋体" w:hAnsi="宋体" w:eastAsia="宋体" w:cs="宋体"/>
                <w:szCs w:val="21"/>
              </w:rPr>
              <w:t>（盖章）</w:t>
            </w:r>
          </w:p>
        </w:tc>
      </w:tr>
      <w:tr w14:paraId="6CBC8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478" w:type="dxa"/>
            <w:noWrap w:val="0"/>
            <w:vAlign w:val="center"/>
          </w:tcPr>
          <w:p w14:paraId="21A6A244">
            <w:pPr>
              <w:jc w:val="both"/>
              <w:rPr>
                <w:rFonts w:hint="eastAsia" w:ascii="宋体" w:hAnsi="宋体" w:eastAsia="宋体" w:cs="宋体"/>
                <w:szCs w:val="21"/>
              </w:rPr>
            </w:pPr>
            <w:r>
              <w:rPr>
                <w:rFonts w:hint="eastAsia" w:ascii="宋体" w:hAnsi="宋体" w:eastAsia="宋体" w:cs="宋体"/>
                <w:szCs w:val="21"/>
              </w:rPr>
              <w:t>地址：</w:t>
            </w:r>
            <w:r>
              <w:rPr>
                <w:rFonts w:hint="eastAsia" w:ascii="宋体" w:hAnsi="宋体" w:eastAsia="宋体" w:cs="宋体"/>
                <w:szCs w:val="21"/>
                <w:u w:val="single"/>
                <w:lang w:val="en-US" w:eastAsia="zh-CN"/>
              </w:rPr>
              <w:t xml:space="preserve">               </w:t>
            </w:r>
          </w:p>
        </w:tc>
        <w:tc>
          <w:tcPr>
            <w:tcW w:w="4277" w:type="dxa"/>
            <w:noWrap w:val="0"/>
            <w:vAlign w:val="center"/>
          </w:tcPr>
          <w:p w14:paraId="0276DBF4">
            <w:pPr>
              <w:rPr>
                <w:rFonts w:hint="eastAsia" w:ascii="宋体" w:hAnsi="宋体" w:eastAsia="宋体" w:cs="宋体"/>
                <w:szCs w:val="21"/>
              </w:rPr>
            </w:pPr>
            <w:r>
              <w:rPr>
                <w:rFonts w:hint="eastAsia" w:ascii="宋体" w:hAnsi="宋体" w:eastAsia="宋体" w:cs="宋体"/>
                <w:szCs w:val="21"/>
              </w:rPr>
              <w:t>地址：</w:t>
            </w:r>
            <w:r>
              <w:rPr>
                <w:rFonts w:hint="eastAsia" w:ascii="宋体" w:hAnsi="宋体" w:eastAsia="宋体" w:cs="宋体"/>
                <w:szCs w:val="21"/>
                <w:u w:val="single"/>
                <w:lang w:val="en-US" w:eastAsia="zh-CN"/>
              </w:rPr>
              <w:t xml:space="preserve">               </w:t>
            </w:r>
          </w:p>
        </w:tc>
      </w:tr>
      <w:tr w14:paraId="4EB44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478" w:type="dxa"/>
            <w:noWrap w:val="0"/>
            <w:vAlign w:val="center"/>
          </w:tcPr>
          <w:p w14:paraId="1B94F476">
            <w:pPr>
              <w:jc w:val="both"/>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u w:val="single"/>
                <w:lang w:val="en-US" w:eastAsia="zh-CN"/>
              </w:rPr>
              <w:t xml:space="preserve">               </w:t>
            </w:r>
            <w:r>
              <w:rPr>
                <w:rFonts w:hint="eastAsia" w:ascii="宋体" w:hAnsi="宋体" w:eastAsia="宋体" w:cs="宋体"/>
                <w:szCs w:val="21"/>
              </w:rPr>
              <w:t>（签字或盖章）</w:t>
            </w:r>
          </w:p>
        </w:tc>
        <w:tc>
          <w:tcPr>
            <w:tcW w:w="4277" w:type="dxa"/>
            <w:noWrap w:val="0"/>
            <w:vAlign w:val="center"/>
          </w:tcPr>
          <w:p w14:paraId="422CF910">
            <w:pPr>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u w:val="single"/>
                <w:lang w:val="en-US" w:eastAsia="zh-CN"/>
              </w:rPr>
              <w:t xml:space="preserve">               </w:t>
            </w:r>
            <w:r>
              <w:rPr>
                <w:rFonts w:hint="eastAsia" w:ascii="宋体" w:hAnsi="宋体" w:eastAsia="宋体" w:cs="宋体"/>
                <w:szCs w:val="21"/>
              </w:rPr>
              <w:t>（签字或盖章）</w:t>
            </w:r>
          </w:p>
        </w:tc>
      </w:tr>
      <w:tr w14:paraId="59A6C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478" w:type="dxa"/>
            <w:noWrap w:val="0"/>
            <w:vAlign w:val="center"/>
          </w:tcPr>
          <w:p w14:paraId="29AEC676">
            <w:pPr>
              <w:jc w:val="both"/>
              <w:rPr>
                <w:rFonts w:hint="eastAsia" w:ascii="宋体" w:hAnsi="宋体" w:eastAsia="宋体" w:cs="宋体"/>
                <w:szCs w:val="21"/>
              </w:rPr>
            </w:pPr>
            <w:r>
              <w:rPr>
                <w:rFonts w:hint="eastAsia" w:ascii="宋体" w:hAnsi="宋体" w:eastAsia="宋体" w:cs="宋体"/>
                <w:szCs w:val="21"/>
              </w:rPr>
              <w:t>被授权代表：</w:t>
            </w:r>
            <w:r>
              <w:rPr>
                <w:rFonts w:hint="eastAsia" w:ascii="宋体" w:hAnsi="宋体" w:eastAsia="宋体" w:cs="宋体"/>
                <w:szCs w:val="21"/>
                <w:u w:val="single"/>
                <w:lang w:val="en-US" w:eastAsia="zh-CN"/>
              </w:rPr>
              <w:t xml:space="preserve">               </w:t>
            </w:r>
            <w:r>
              <w:rPr>
                <w:rFonts w:hint="eastAsia" w:ascii="宋体" w:hAnsi="宋体" w:eastAsia="宋体" w:cs="宋体"/>
                <w:szCs w:val="21"/>
              </w:rPr>
              <w:t>（签字或盖章）</w:t>
            </w:r>
          </w:p>
        </w:tc>
        <w:tc>
          <w:tcPr>
            <w:tcW w:w="4277" w:type="dxa"/>
            <w:noWrap w:val="0"/>
            <w:vAlign w:val="center"/>
          </w:tcPr>
          <w:p w14:paraId="270C6C9B">
            <w:pPr>
              <w:rPr>
                <w:rFonts w:hint="eastAsia" w:ascii="宋体" w:hAnsi="宋体" w:eastAsia="宋体" w:cs="宋体"/>
                <w:szCs w:val="21"/>
              </w:rPr>
            </w:pPr>
            <w:r>
              <w:rPr>
                <w:rFonts w:hint="eastAsia" w:ascii="宋体" w:hAnsi="宋体" w:eastAsia="宋体" w:cs="宋体"/>
                <w:szCs w:val="21"/>
              </w:rPr>
              <w:t>被授权代表：</w:t>
            </w:r>
            <w:r>
              <w:rPr>
                <w:rFonts w:hint="eastAsia" w:ascii="宋体" w:hAnsi="宋体" w:eastAsia="宋体" w:cs="宋体"/>
                <w:szCs w:val="21"/>
                <w:u w:val="single"/>
                <w:lang w:val="en-US" w:eastAsia="zh-CN"/>
              </w:rPr>
              <w:t xml:space="preserve">               </w:t>
            </w:r>
            <w:r>
              <w:rPr>
                <w:rFonts w:hint="eastAsia" w:ascii="宋体" w:hAnsi="宋体" w:eastAsia="宋体" w:cs="宋体"/>
                <w:szCs w:val="21"/>
              </w:rPr>
              <w:t>（签字或盖章）</w:t>
            </w:r>
          </w:p>
        </w:tc>
      </w:tr>
      <w:tr w14:paraId="73AA8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478" w:type="dxa"/>
            <w:noWrap w:val="0"/>
            <w:vAlign w:val="center"/>
          </w:tcPr>
          <w:p w14:paraId="495F8FEB">
            <w:pPr>
              <w:jc w:val="both"/>
              <w:rPr>
                <w:rFonts w:hint="eastAsia" w:ascii="宋体" w:hAnsi="宋体" w:eastAsia="宋体" w:cs="宋体"/>
                <w:szCs w:val="21"/>
              </w:rPr>
            </w:pPr>
            <w:r>
              <w:rPr>
                <w:rFonts w:hint="eastAsia" w:ascii="宋体" w:hAnsi="宋体" w:eastAsia="宋体" w:cs="宋体"/>
                <w:szCs w:val="21"/>
              </w:rPr>
              <w:t>电 话：</w:t>
            </w:r>
          </w:p>
        </w:tc>
        <w:tc>
          <w:tcPr>
            <w:tcW w:w="4277" w:type="dxa"/>
            <w:noWrap w:val="0"/>
            <w:vAlign w:val="center"/>
          </w:tcPr>
          <w:p w14:paraId="2F3D4321">
            <w:pPr>
              <w:rPr>
                <w:rFonts w:hint="eastAsia" w:ascii="宋体" w:hAnsi="宋体" w:eastAsia="宋体" w:cs="宋体"/>
                <w:szCs w:val="21"/>
              </w:rPr>
            </w:pPr>
            <w:r>
              <w:rPr>
                <w:rFonts w:hint="eastAsia" w:ascii="宋体" w:hAnsi="宋体" w:eastAsia="宋体" w:cs="宋体"/>
                <w:szCs w:val="21"/>
              </w:rPr>
              <w:t xml:space="preserve">电 话： </w:t>
            </w:r>
          </w:p>
        </w:tc>
      </w:tr>
      <w:tr w14:paraId="35A4A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478" w:type="dxa"/>
            <w:noWrap w:val="0"/>
            <w:vAlign w:val="center"/>
          </w:tcPr>
          <w:p w14:paraId="2DBCE4CD">
            <w:pPr>
              <w:ind w:firstLine="420" w:firstLineChars="200"/>
              <w:jc w:val="center"/>
              <w:rPr>
                <w:rFonts w:hint="eastAsia" w:ascii="宋体" w:hAnsi="宋体" w:eastAsia="宋体" w:cs="宋体"/>
                <w:szCs w:val="21"/>
              </w:rPr>
            </w:pPr>
          </w:p>
        </w:tc>
        <w:tc>
          <w:tcPr>
            <w:tcW w:w="4277" w:type="dxa"/>
            <w:noWrap w:val="0"/>
            <w:vAlign w:val="center"/>
          </w:tcPr>
          <w:p w14:paraId="5E361FB2">
            <w:pPr>
              <w:rPr>
                <w:rFonts w:hint="eastAsia" w:ascii="宋体" w:hAnsi="宋体" w:eastAsia="宋体" w:cs="宋体"/>
                <w:szCs w:val="21"/>
              </w:rPr>
            </w:pPr>
            <w:r>
              <w:rPr>
                <w:rFonts w:hint="eastAsia" w:ascii="宋体" w:hAnsi="宋体" w:eastAsia="宋体" w:cs="宋体"/>
                <w:szCs w:val="21"/>
              </w:rPr>
              <w:t xml:space="preserve">开户银行： </w:t>
            </w:r>
          </w:p>
        </w:tc>
      </w:tr>
      <w:tr w14:paraId="7FF0C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478" w:type="dxa"/>
            <w:noWrap w:val="0"/>
            <w:vAlign w:val="center"/>
          </w:tcPr>
          <w:p w14:paraId="0E264474">
            <w:pPr>
              <w:ind w:firstLine="420" w:firstLineChars="200"/>
              <w:jc w:val="center"/>
              <w:rPr>
                <w:rFonts w:hint="eastAsia" w:ascii="宋体" w:hAnsi="宋体" w:eastAsia="宋体" w:cs="宋体"/>
                <w:szCs w:val="21"/>
              </w:rPr>
            </w:pPr>
          </w:p>
        </w:tc>
        <w:tc>
          <w:tcPr>
            <w:tcW w:w="4277" w:type="dxa"/>
            <w:noWrap w:val="0"/>
            <w:vAlign w:val="center"/>
          </w:tcPr>
          <w:p w14:paraId="1F2D026A">
            <w:pPr>
              <w:rPr>
                <w:rFonts w:hint="eastAsia" w:ascii="宋体" w:hAnsi="宋体" w:eastAsia="宋体" w:cs="宋体"/>
                <w:szCs w:val="21"/>
              </w:rPr>
            </w:pPr>
            <w:r>
              <w:rPr>
                <w:rFonts w:hint="eastAsia" w:ascii="宋体" w:hAnsi="宋体" w:eastAsia="宋体" w:cs="宋体"/>
                <w:szCs w:val="21"/>
              </w:rPr>
              <w:t xml:space="preserve">账号： </w:t>
            </w:r>
          </w:p>
        </w:tc>
      </w:tr>
    </w:tbl>
    <w:p w14:paraId="744DDFF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F33BD"/>
    <w:rsid w:val="66DF30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Style w:val="2"/>
      <w:tblCellMar>
        <w:top w:w="0" w:type="dxa"/>
        <w:left w:w="108" w:type="dxa"/>
        <w:bottom w:w="0" w:type="dxa"/>
        <w:right w:w="108" w:type="dxa"/>
      </w:tblCellMar>
    </w:tblPr>
  </w:style>
  <w:style w:type="paragraph" w:customStyle="1" w:styleId="4">
    <w:name w:val="样式 首行缩进:  2 字符"/>
    <w:basedOn w:val="1"/>
    <w:qFormat/>
    <w:uiPriority w:val="0"/>
    <w:pPr>
      <w:spacing w:line="400" w:lineRule="exact"/>
      <w:ind w:firstLine="200" w:firstLineChars="200"/>
    </w:pPr>
    <w:rPr>
      <w:rFonts w:cs="宋体"/>
    </w:rPr>
  </w:style>
  <w:style w:type="paragraph" w:customStyle="1" w:styleId="5">
    <w:name w:val="Other|1"/>
    <w:basedOn w:val="1"/>
    <w:qFormat/>
    <w:uiPriority w:val="0"/>
    <w:pPr>
      <w:spacing w:line="434" w:lineRule="auto"/>
      <w:ind w:firstLine="400"/>
      <w:jc w:val="left"/>
    </w:pPr>
    <w:rPr>
      <w:rFonts w:ascii="宋体" w:hAnsi="宋体" w:cs="宋体"/>
      <w:sz w:val="28"/>
      <w:szCs w:val="28"/>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4900</Words>
  <Characters>4935</Characters>
  <Lines>0</Lines>
  <Paragraphs>0</Paragraphs>
  <TotalTime>0</TotalTime>
  <ScaleCrop>false</ScaleCrop>
  <LinksUpToDate>false</LinksUpToDate>
  <CharactersWithSpaces>5398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2025-05-09T07:11:11Z</dcterms:created>
  <dc:creator>admin</dc:creator>
  <cp:lastModifiedBy>♛『蘇』</cp:lastModifiedBy>
  <dcterms:modified xsi:type="dcterms:W3CDTF">2025-05-09T07:12:37Z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eyJoZGlkIjoiMWQ1MGRhOWJiZGE5NDE3ZTgxMWExYjVhODM5NWVhZmYiLCJ1c2VySWQiOiI0MDYyOTU1MTkifQ==</vt:lpwstr>
  </property>
  <property fmtid="{D5CDD505-2E9C-101B-9397-08002B2CF9AE}" pid="4" name="ICV">
    <vt:lpwstr>A2C7C4A6E6D147BAABA57F4ECB13207E_13</vt:lpwstr>
  </property>
</Properties>
</file>