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版本号：ZZTT-CG-2025-1620250509001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粮食烘干设备建设项目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ZZTT-CG-2025-16</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陕西中正天投项目管理有限公司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陕西中正天投项目管理有限公司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粮食烘干设备建设项目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ZZTT-CG-2025-16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粮食烘干设备建设项目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采购粮食烘干设备9台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采购包1（粮食烘干设备建设项目）：属于专门面向中小企业采购。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2、税收缴纳证明：提供投标截止日期前六个月内任意一个月的纳税证明或完税证明</w:t>
      </w:r>
    </w:p>
    <w:p>
      <w:pPr>
        <w:pStyle w:val="null3"/>
      </w:pPr>
      <w:r>
        <w:rPr>
          <w:rFonts w:ascii="仿宋_GB2312" w:hAnsi="仿宋_GB2312" w:cs="仿宋_GB2312" w:eastAsia="仿宋_GB2312"/>
        </w:rPr>
        <w:t>3、社会保障资金缴纳证明：提供投标截止日期前六个月内任意一个月的社会保障资金缴存单据或社保机构开具的社会保险参保缴费情况证明</w:t>
      </w:r>
    </w:p>
    <w:p>
      <w:pPr>
        <w:pStyle w:val="null3"/>
      </w:pPr>
      <w:r>
        <w:rPr>
          <w:rFonts w:ascii="仿宋_GB2312" w:hAnsi="仿宋_GB2312" w:cs="仿宋_GB2312" w:eastAsia="仿宋_GB2312"/>
        </w:rPr>
        <w:t>4、法定代表人身份证明或法定代表人授权委托书：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p>
      <w:pPr>
        <w:pStyle w:val="null3"/>
      </w:pPr>
      <w:r>
        <w:rPr>
          <w:rFonts w:ascii="仿宋_GB2312" w:hAnsi="仿宋_GB2312" w:cs="仿宋_GB2312" w:eastAsia="仿宋_GB2312"/>
        </w:rPr>
        <w:t>5、信用记录：供应商不得被“信用中国”（www.creditchina.gov.cn）列入重大税收违法失信主体；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6、近三年内在经营活动中无重大违法记录：提供近三年内在经营活动中无重大违法记录的书面声明</w:t>
      </w:r>
    </w:p>
    <w:p>
      <w:pPr>
        <w:pStyle w:val="null3"/>
      </w:pPr>
      <w:r>
        <w:rPr>
          <w:rFonts w:ascii="仿宋_GB2312" w:hAnsi="仿宋_GB2312" w:cs="仿宋_GB2312" w:eastAsia="仿宋_GB2312"/>
        </w:rPr>
        <w:t>7、履约能力：提供具有履行本合同所必需的设备和专业技术能力的说明及承诺</w:t>
      </w:r>
    </w:p>
    <w:p>
      <w:pPr>
        <w:pStyle w:val="null3"/>
      </w:pPr>
      <w:r>
        <w:rPr>
          <w:rFonts w:ascii="仿宋_GB2312" w:hAnsi="仿宋_GB2312" w:cs="仿宋_GB2312" w:eastAsia="仿宋_GB2312"/>
        </w:rPr>
        <w:t>8、本项目不接受联合体磋商：提供非联合体磋商承诺书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锦业路丝路创智谷5号楼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029- 81150274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陕西中正天投项目管理有限公司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陕西省西安市高新区锦业路32号锦业时代B3座1701室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029-89538211/18182691002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参考《国家计委印发〈招标代理服务费管理暂行办法〉的通知》（计价格【2002】1980号）、《国家发展和改革委员会办公厅关于招标代理服务收费有关问题的通知》（发改办价格〔2003〕857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陕西中正天投项目管理有限公司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陕西中正天投项目管理有限公司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陕西中正天投项目管理有限公司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符合行业及国家标准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联系电话：029-89538211</w:t>
      </w:r>
    </w:p>
    <w:p>
      <w:pPr>
        <w:pStyle w:val="null3"/>
      </w:pPr>
      <w:r>
        <w:rPr>
          <w:rFonts w:ascii="仿宋_GB2312" w:hAnsi="仿宋_GB2312" w:cs="仿宋_GB2312" w:eastAsia="仿宋_GB2312"/>
        </w:rPr>
        <w:t>地址：陕西省西安市高新区锦业路32号锦业时代B3座1701室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1、采购粮食烘干设备9台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粮食烘干设备建设项目</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标的名称：粮食烘干设备建设项目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rPr>
              <w:t>结构型式</w:t>
            </w:r>
            <w:r>
              <w:rPr>
                <w:rFonts w:ascii="仿宋_GB2312" w:hAnsi="仿宋_GB2312" w:cs="仿宋_GB2312" w:eastAsia="仿宋_GB2312"/>
                <w:sz w:val="24"/>
              </w:rPr>
              <w:t>：</w:t>
            </w:r>
            <w:r>
              <w:rPr>
                <w:rFonts w:ascii="仿宋_GB2312" w:hAnsi="仿宋_GB2312" w:cs="仿宋_GB2312" w:eastAsia="仿宋_GB2312"/>
                <w:sz w:val="24"/>
              </w:rPr>
              <w:t>平床式</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干燥方式</w:t>
            </w:r>
            <w:r>
              <w:rPr>
                <w:rFonts w:ascii="仿宋_GB2312" w:hAnsi="仿宋_GB2312" w:cs="仿宋_GB2312" w:eastAsia="仿宋_GB2312"/>
                <w:sz w:val="24"/>
              </w:rPr>
              <w:t>：</w:t>
            </w:r>
            <w:r>
              <w:rPr>
                <w:rFonts w:ascii="仿宋_GB2312" w:hAnsi="仿宋_GB2312" w:cs="仿宋_GB2312" w:eastAsia="仿宋_GB2312"/>
                <w:sz w:val="24"/>
              </w:rPr>
              <w:t>间接加热</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干燥机外形尺寸</w:t>
            </w:r>
            <w:r>
              <w:rPr>
                <w:rFonts w:ascii="仿宋_GB2312" w:hAnsi="仿宋_GB2312" w:cs="仿宋_GB2312" w:eastAsia="仿宋_GB2312"/>
                <w:sz w:val="24"/>
              </w:rPr>
              <w:t>(长×宽×高)(mm)</w:t>
            </w:r>
            <w:r>
              <w:rPr>
                <w:rFonts w:ascii="仿宋_GB2312" w:hAnsi="仿宋_GB2312" w:cs="仿宋_GB2312" w:eastAsia="仿宋_GB2312"/>
                <w:sz w:val="24"/>
              </w:rPr>
              <w:t>：</w:t>
            </w:r>
            <w:r>
              <w:rPr>
                <w:rFonts w:ascii="仿宋_GB2312" w:hAnsi="仿宋_GB2312" w:cs="仿宋_GB2312" w:eastAsia="仿宋_GB2312"/>
                <w:sz w:val="24"/>
              </w:rPr>
              <w:t>≥4500*1500*3100</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批处理量</w:t>
            </w:r>
            <w:r>
              <w:rPr>
                <w:rFonts w:ascii="仿宋_GB2312" w:hAnsi="仿宋_GB2312" w:cs="仿宋_GB2312" w:eastAsia="仿宋_GB2312"/>
                <w:sz w:val="24"/>
              </w:rPr>
              <w:t>(t/批)</w:t>
            </w:r>
            <w:r>
              <w:rPr>
                <w:rFonts w:ascii="仿宋_GB2312" w:hAnsi="仿宋_GB2312" w:cs="仿宋_GB2312" w:eastAsia="仿宋_GB2312"/>
                <w:sz w:val="24"/>
              </w:rPr>
              <w:t>：</w:t>
            </w:r>
            <w:r>
              <w:rPr>
                <w:rFonts w:ascii="仿宋_GB2312" w:hAnsi="仿宋_GB2312" w:cs="仿宋_GB2312" w:eastAsia="仿宋_GB2312"/>
                <w:sz w:val="24"/>
              </w:rPr>
              <w:t>≥1.5t/批</w:t>
            </w:r>
          </w:p>
          <w:p>
            <w:pPr>
              <w:pStyle w:val="null3"/>
              <w:numPr>
                <w:ilvl w:val="0"/>
                <w:numId w:val="1"/>
              </w:numPr>
              <w:jc w:val="both"/>
            </w:pPr>
            <w:r>
              <w:rPr>
                <w:rFonts w:ascii="仿宋_GB2312" w:hAnsi="仿宋_GB2312" w:cs="仿宋_GB2312" w:eastAsia="仿宋_GB2312"/>
                <w:sz w:val="24"/>
              </w:rPr>
              <w:t>电机总功率</w:t>
            </w:r>
            <w:r>
              <w:rPr>
                <w:rFonts w:ascii="仿宋_GB2312" w:hAnsi="仿宋_GB2312" w:cs="仿宋_GB2312" w:eastAsia="仿宋_GB2312"/>
                <w:sz w:val="24"/>
              </w:rPr>
              <w:t>：</w:t>
            </w:r>
            <w:r>
              <w:rPr>
                <w:rFonts w:ascii="仿宋_GB2312" w:hAnsi="仿宋_GB2312" w:cs="仿宋_GB2312" w:eastAsia="仿宋_GB2312"/>
                <w:sz w:val="24"/>
              </w:rPr>
              <w:t>≥4.1kw</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燃烧种类</w:t>
            </w:r>
            <w:r>
              <w:rPr>
                <w:rFonts w:ascii="仿宋_GB2312" w:hAnsi="仿宋_GB2312" w:cs="仿宋_GB2312" w:eastAsia="仿宋_GB2312"/>
                <w:sz w:val="24"/>
              </w:rPr>
              <w:t>：</w:t>
            </w:r>
            <w:r>
              <w:rPr>
                <w:rFonts w:ascii="仿宋_GB2312" w:hAnsi="仿宋_GB2312" w:cs="仿宋_GB2312" w:eastAsia="仿宋_GB2312"/>
                <w:sz w:val="24"/>
              </w:rPr>
              <w:t>生物质</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1、乙方应按项目建设要求完成项目建设，并保证甲方工作正常运行。 2、经甲方考评合格后结算合同价款。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满足采购人售后服务要求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2、未按合同要求提供产品或货物质量不能满足技术要求，采购人有权终止合同，并对供方违约行为进行追究，同时按《政府采购法》的有关规定进行处罚。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提供2023年或2024年财务审计报告（成立时间至开标时间不足一年的可提供成立后任意时段的资产负债表）或提供投标截止日期前三个月内其基本存款账户开户银行出具的资信证明。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提供投标截止日期前六个月内任意一个月的纳税证明或完税证明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提供投标截止日期前六个月内任意一个月的社会保障资金缴存单据或社保机构开具的社会保险参保缴费情况证明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单位负责人）参加投标的，须出具法定代表人（单位负责人）身份证明书及身份证复印件。法定代表人（单位负责人）授权委托代理人参加投标的，须出具法定代表人（单位负责人）身份证明书、法定代表人（单位负责人）授权委托书、法定代表人（单位负责人）及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提供非联合体磋商承诺书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产品技术参数表 残疾人福利性单位声明函 中小企业声明函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响应文件的完整性、有效性审查</w:t>
            </w:r>
          </w:p>
        </w:tc>
        <w:tc>
          <w:tcPr>
            <w:tcW w:type="dxa" w:w="3322"/>
          </w:tcPr>
          <w:p>
            <w:pPr>
              <w:pStyle w:val="null3"/>
            </w:pPr>
            <w:r>
              <w:rPr>
                <w:rFonts w:ascii="仿宋_GB2312" w:hAnsi="仿宋_GB2312" w:cs="仿宋_GB2312" w:eastAsia="仿宋_GB2312"/>
              </w:rPr>
              <w:t>（1）磋商响应文件的签署盖章： 按磋商文件要求相应位置加盖公章，法定代表人或其授权代表人的签字齐全并加盖公章； （2）报价唯一：只能有一个有效报价，不得提交选择性报价，且报价不超过采购预算。 （3）对磋商文件响应程度：要求全面响应，不能有任何采购人不能接受的附加条件； （4）磋商有效期：应满足磋商文件中的规定； （5）交货时间、交货地点：应满足磋商文件中要求的时间及地点</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项目组织实施计划完整可行，资金等保障措施可靠，能够保证按期供货，具有明确的项目组织机构及实施方案，评标委员会从以下方面进行比较后赋分。 ①产品运输及供货进度计划（根据产品运输及供货进度计划情况的合理、有效、有针对性，根据响应程度横向打分）。 描述完整、可操作性强、细节描述详细，计（10-15]分； 描述完整，基本可行，计（5-10]分； 描述粗略的计[0-5]分。 ②培训方案：根据培训计划及方案的完整性（包括培训方案、培训计划、培训对象、培训内容等）。 方案内容详细、完整、可行性高计（7-10]分； 方案内容基本完整、有可行性高计（4-7]分； 方案内容粗略一般，可行性低计[0-4]分 ③拟投入本项目的人员安排及责任制度。 人员充足、分工明确、安排合理、责任能够落实到具体人员，能充分保证项目实施计（7-10]分； 人员配备描述及责任制度基本可行，计（4-7]分； 人员配备描述粗略的计[0-4]分。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技术响应及产品质量</w:t>
            </w:r>
          </w:p>
        </w:tc>
        <w:tc>
          <w:tcPr>
            <w:tcW w:type="dxa" w:w="2492"/>
          </w:tcPr>
          <w:p>
            <w:pPr>
              <w:pStyle w:val="null3"/>
            </w:pPr>
            <w:r>
              <w:rPr>
                <w:rFonts w:ascii="仿宋_GB2312" w:hAnsi="仿宋_GB2312" w:cs="仿宋_GB2312" w:eastAsia="仿宋_GB2312"/>
              </w:rPr>
              <w:t>投标产品的技术指标评审： ①技术响应：根据各供应商所提供产品是否满足磋商中文件参数要求，参数完全满足计5分；有负偏离参数一项扣1分，扣完为止（技术指标提供技术支持资料，并在技术偏离表“说明”栏中标明页码，未提供不得分）。 （可提供产品相关资料（例如：包含但不限于厂家授权，产品说明书，出厂配置清单等） ②产品质量：产品质量保证完善，符合国家相关标准或行业标准。供应商针对问题产品的质量跟踪和退换货制定切实可行的服务方案，根据响应程度计0～5分。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供应商所提供的售后服务内容包含但不限于“第三部分 采购内容及要求”中的售后服务要求售后服务组织措施、承诺及保修、可行性强，得（7-10]分； 售后服务组织措施、承诺及保修基本可行，得（4-7]分； 售后服务组织措施、承诺及保修不完整、描述粗略，得[0-4]分。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对供货期限、质保期、付款方式、服务要求等商务要求完全响应的计3分； 每有一项优于磋商文件要求的，每项加 0.5 分，最高加 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供应商2022年1月至今承担过类似项目业绩合同，每个业绩得2.5分，最高得 10分。（以合同签订时间为准，须提供合同复印 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