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版本号：SXHC2025-12720250611001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西安高新区地块实施详细规划及规划条件编制技术审查报告项目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SXHC2025-127</w:t>
      </w:r>
      <w:r>
        <w:br/>
      </w:r>
      <w:r>
        <w:br/>
      </w:r>
      <w:r>
        <w:br/>
      </w:r>
    </w:p>
    <w:p>
      <w:pPr>
        <w:pStyle w:val="null3"/>
        <w:jc w:val="center"/>
        <w:outlineLvl w:val="2"/>
      </w:pPr>
      <w:r>
        <w:rPr>
          <w:rFonts w:ascii="仿宋_GB2312" w:hAnsi="仿宋_GB2312" w:cs="仿宋_GB2312" w:eastAsia="仿宋_GB2312"/>
          <w:sz w:val="28"/>
          <w:b/>
        </w:rPr>
        <w:t>西安高新技术产业开发区自然资源和规划局</w:t>
      </w:r>
    </w:p>
    <w:p>
      <w:pPr>
        <w:pStyle w:val="null3"/>
        <w:jc w:val="center"/>
        <w:outlineLvl w:val="2"/>
      </w:pPr>
      <w:r>
        <w:rPr>
          <w:rFonts w:ascii="仿宋_GB2312" w:hAnsi="仿宋_GB2312" w:cs="仿宋_GB2312" w:eastAsia="仿宋_GB2312"/>
          <w:sz w:val="28"/>
          <w:b/>
        </w:rPr>
        <w:t>陕西华采招标有限公司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陕西华采招标有限公司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西安高新技术产业开发区自然资源和规划局</w:t>
      </w:r>
      <w:r>
        <w:rPr>
          <w:rFonts w:ascii="仿宋_GB2312" w:hAnsi="仿宋_GB2312" w:cs="仿宋_GB2312" w:eastAsia="仿宋_GB2312"/>
        </w:rPr>
        <w:t>委托，拟对</w:t>
      </w:r>
      <w:r>
        <w:rPr>
          <w:rFonts w:ascii="仿宋_GB2312" w:hAnsi="仿宋_GB2312" w:cs="仿宋_GB2312" w:eastAsia="仿宋_GB2312"/>
        </w:rPr>
        <w:t>西安高新区地块实施详细规划及规划条件编制技术审查报告项目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SXHC2025-127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西安高新区地块实施详细规划及规划条件编制技术审查报告项目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根据西安市人民政府办公厅印发的《关于西安市国土空间城镇开发边界内详细规划编制审批管理实施监督暂行规定的通知》（市政办发〔2024〕36号）、《西安市城镇开发边界内详细规划编制审批管理和实施操作流程（暂行）》的通知(市资源发〔2025〕37号)、《关于做好近期详细规划编制审批管理及实施监督相关工作的通知》(市资源发〔2025〕38号)，按照国家、地方行业技术标准、管理规定对规划成果开展技术审查，主要包括成果规范性审查、上位规划符合性、技术标准符合性审查、合理性审查等内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1、具有独立承担民事责任能力：企业法人应提供合法有效的标识有统一社会信用代码的营业执照；事业法人应提供事业单位法人证书；其他组织应提供合法登记证明文件，自然人提供身份证。</w:t>
      </w:r>
    </w:p>
    <w:p>
      <w:pPr>
        <w:pStyle w:val="null3"/>
      </w:pPr>
      <w:r>
        <w:rPr>
          <w:rFonts w:ascii="仿宋_GB2312" w:hAnsi="仿宋_GB2312" w:cs="仿宋_GB2312" w:eastAsia="仿宋_GB2312"/>
        </w:rPr>
        <w:t>2、法定代表人身份证明或法定代表人授权委托书：法定代表人直接参加投标的，须提供法定代表人身份证明；法定代表人授权代表参加投标的，须提供法定代表人授权委托书。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3、企业资质：投标人具备城乡规划编制乙级及以上资质。</w:t>
      </w:r>
    </w:p>
    <w:p>
      <w:pPr>
        <w:pStyle w:val="null3"/>
      </w:pPr>
      <w:r>
        <w:rPr>
          <w:rFonts w:ascii="仿宋_GB2312" w:hAnsi="仿宋_GB2312" w:cs="仿宋_GB2312" w:eastAsia="仿宋_GB2312"/>
        </w:rPr>
        <w:t>4、信誉要求：投标人未被列入“失信被执行人”、“重大税收违法案件当事人名单”和“政府采购严重违法失信行为记录名单”。</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西安高新技术产业开发区自然资源和规划局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陕西省西安市高新区成章路丝路创智谷6号楼510室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710117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029-81150622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陕西华采招标有限公司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西安市高新区锦业路1号绿地领海B座10楼1006室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潘聪、张聪聪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029-68255920-806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考《国家计委关于印发&lt;招标代理服务收费管理暂行办法&gt;的通知》（计价格〔2002〕1980号）及《国家发改委关于降低部分建设项目收费标准规范收费行为等有关问题的通知》（发改价格〔2011〕534号）规定按标准的收取。 代理服务费缴纳信息如下： 银行户名：陕西华采招标有限公司 开户行名称：招商银行陕西自贸试验区西安高新科技支行 行 号：308791011305 账 号：129905942210666 联 系 人：韩工 联系电话：029-68255920-802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西安高新技术产业开发区自然资源和规划局</w:t>
      </w:r>
      <w:r>
        <w:rPr>
          <w:rFonts w:ascii="仿宋_GB2312" w:hAnsi="仿宋_GB2312" w:cs="仿宋_GB2312" w:eastAsia="仿宋_GB2312"/>
        </w:rPr>
        <w:t>和</w:t>
      </w:r>
      <w:r>
        <w:rPr>
          <w:rFonts w:ascii="仿宋_GB2312" w:hAnsi="仿宋_GB2312" w:cs="仿宋_GB2312" w:eastAsia="仿宋_GB2312"/>
        </w:rPr>
        <w:t>陕西华采招标有限公司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西安高新技术产业开发区自然资源和规划局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陕西华采招标有限公司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西安高新技术产业开发区自然资源和规划局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陕西华采招标有限公司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按照招标文件要求及合同约定执行。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联系人：党娜</w:t>
      </w:r>
    </w:p>
    <w:p>
      <w:pPr>
        <w:pStyle w:val="null3"/>
      </w:pPr>
      <w:r>
        <w:rPr>
          <w:rFonts w:ascii="仿宋_GB2312" w:hAnsi="仿宋_GB2312" w:cs="仿宋_GB2312" w:eastAsia="仿宋_GB2312"/>
        </w:rPr>
        <w:t>联系电话：029-68255920转806</w:t>
      </w:r>
    </w:p>
    <w:p>
      <w:pPr>
        <w:pStyle w:val="null3"/>
      </w:pPr>
      <w:r>
        <w:rPr>
          <w:rFonts w:ascii="仿宋_GB2312" w:hAnsi="仿宋_GB2312" w:cs="仿宋_GB2312" w:eastAsia="仿宋_GB2312"/>
        </w:rPr>
        <w:t>地址：西安高新区锦业路1号绿地领海大厦B座10楼1006室</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西安市人民政府办公厅印发的《关于西安市国土空间城镇开发边界内详细规划编制审批管理实施监督暂行规定的通知》（市政办发〔2024〕36号）、《西安市城镇开发边界内详细规划编制审批管理和实施操作流程（暂行）》的通知(市资源发〔2025〕37号)、《关于做好近期详细规划编制审批管理及实施监督相关工作的通知》(市资源发〔2025〕38号)，按照国家、地方行业技术标准、管理规定对规划成果开展技术审查，主要包括成果规范性审查、上位规划符合性、技术标准符合性审查、合理性审查等内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1,600,000.00</w:t>
      </w:r>
    </w:p>
    <w:p>
      <w:pPr>
        <w:pStyle w:val="null3"/>
      </w:pPr>
      <w:r>
        <w:rPr>
          <w:rFonts w:ascii="仿宋_GB2312" w:hAnsi="仿宋_GB2312" w:cs="仿宋_GB2312" w:eastAsia="仿宋_GB2312"/>
        </w:rPr>
        <w:t>采购包最高限价（元）: 1,600,000.00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西安高新区地块实施详细规划及规划条件编制技术审查报告项目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标的名称：西安高新区地块实施详细规划及规划条件编制技术审查报告项目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pPr>
            <w:r>
              <w:rPr>
                <w:rFonts w:ascii="仿宋_GB2312" w:hAnsi="仿宋_GB2312" w:cs="仿宋_GB2312" w:eastAsia="仿宋_GB2312"/>
                <w:b/>
              </w:rPr>
              <w:t>一、服务内容</w:t>
            </w:r>
          </w:p>
          <w:p>
            <w:pPr>
              <w:pStyle w:val="null3"/>
              <w:ind w:firstLine="400"/>
            </w:pPr>
            <w:r>
              <w:rPr>
                <w:rFonts w:ascii="仿宋_GB2312" w:hAnsi="仿宋_GB2312" w:cs="仿宋_GB2312" w:eastAsia="仿宋_GB2312"/>
              </w:rPr>
              <w:t>根据本年度土地征收储备供应计划，并结合实际工作开展情况，委托中标人开展实施详细规划及规划条件编制技术审查工作，委托工作内容包含居住、商业、产业及公益性项目实施详细规划及规划条件编制后的技术审查工作。</w:t>
            </w:r>
          </w:p>
          <w:p>
            <w:pPr>
              <w:pStyle w:val="null3"/>
              <w:ind w:firstLine="400"/>
            </w:pPr>
            <w:r>
              <w:rPr>
                <w:rFonts w:ascii="仿宋_GB2312" w:hAnsi="仿宋_GB2312" w:cs="仿宋_GB2312" w:eastAsia="仿宋_GB2312"/>
              </w:rPr>
              <w:t>根据西安市人民政府办公厅印发的《关于西安市国土空间城镇开发边界内详细规划编制审批管理实施监督暂行规定的通知》（市政办发〔2024〕36 号）、《西安市城镇开发边 界内详细规划编制审批管理和实施操作流程（暂行）》的通知(市资源发〔2025〕37号)、《关于做好近期详细规划编制审批管理及实施监督相关工作的通知》(市资源发〔2025〕38号)，按照国家、地方行业技术标准、管理规定对规划成果开展技术审查，主要包括成果规 范性审查、上位规划符合性、技术标准符合性审查、合理性审查等内容，具体如下：</w:t>
            </w:r>
          </w:p>
          <w:p>
            <w:pPr>
              <w:pStyle w:val="null3"/>
              <w:ind w:firstLine="400"/>
            </w:pPr>
            <w:r>
              <w:rPr>
                <w:rFonts w:ascii="仿宋_GB2312" w:hAnsi="仿宋_GB2312" w:cs="仿宋_GB2312" w:eastAsia="仿宋_GB2312"/>
              </w:rPr>
              <w:t>（一）成果规范性审查</w:t>
            </w:r>
          </w:p>
          <w:p>
            <w:pPr>
              <w:pStyle w:val="null3"/>
              <w:ind w:firstLine="400"/>
            </w:pPr>
            <w:r>
              <w:rPr>
                <w:rFonts w:ascii="仿宋_GB2312" w:hAnsi="仿宋_GB2312" w:cs="仿宋_GB2312" w:eastAsia="仿宋_GB2312"/>
              </w:rPr>
              <w:t>审查规划成果的完整性、规范性、一致性。</w:t>
            </w:r>
          </w:p>
          <w:p>
            <w:pPr>
              <w:pStyle w:val="null3"/>
              <w:ind w:firstLine="400"/>
            </w:pPr>
            <w:r>
              <w:rPr>
                <w:rFonts w:ascii="仿宋_GB2312" w:hAnsi="仿宋_GB2312" w:cs="仿宋_GB2312" w:eastAsia="仿宋_GB2312"/>
              </w:rPr>
              <w:t>（二）上位规划符合性审查</w:t>
            </w:r>
          </w:p>
          <w:p>
            <w:pPr>
              <w:pStyle w:val="null3"/>
              <w:ind w:firstLine="400"/>
            </w:pPr>
            <w:r>
              <w:rPr>
                <w:rFonts w:ascii="仿宋_GB2312" w:hAnsi="仿宋_GB2312" w:cs="仿宋_GB2312" w:eastAsia="仿宋_GB2312"/>
              </w:rPr>
              <w:t>审查上位规划确定的各类控制线、用地布局、约束性指标、重大设施等传导落实情况。</w:t>
            </w:r>
          </w:p>
          <w:p>
            <w:pPr>
              <w:pStyle w:val="null3"/>
              <w:ind w:firstLine="400"/>
            </w:pPr>
            <w:r>
              <w:rPr>
                <w:rFonts w:ascii="仿宋_GB2312" w:hAnsi="仿宋_GB2312" w:cs="仿宋_GB2312" w:eastAsia="仿宋_GB2312"/>
              </w:rPr>
              <w:t>（三）技术标准符合性审查</w:t>
            </w:r>
          </w:p>
          <w:p>
            <w:pPr>
              <w:pStyle w:val="null3"/>
              <w:ind w:firstLine="400"/>
            </w:pPr>
            <w:r>
              <w:rPr>
                <w:rFonts w:ascii="仿宋_GB2312" w:hAnsi="仿宋_GB2312" w:cs="仿宋_GB2312" w:eastAsia="仿宋_GB2312"/>
              </w:rPr>
              <w:t>审查经济技术指标、地块控制指标、配套设施、交通组织、建筑控制线、城市设计等内容是否符合相关技术标准。</w:t>
            </w:r>
          </w:p>
          <w:p>
            <w:pPr>
              <w:pStyle w:val="null3"/>
              <w:ind w:firstLine="400"/>
            </w:pPr>
            <w:r>
              <w:rPr>
                <w:rFonts w:ascii="仿宋_GB2312" w:hAnsi="仿宋_GB2312" w:cs="仿宋_GB2312" w:eastAsia="仿宋_GB2312"/>
              </w:rPr>
              <w:t>（四）合理性审查</w:t>
            </w:r>
          </w:p>
          <w:p>
            <w:pPr>
              <w:pStyle w:val="null3"/>
              <w:ind w:firstLine="400"/>
            </w:pPr>
            <w:r>
              <w:rPr>
                <w:rFonts w:ascii="仿宋_GB2312" w:hAnsi="仿宋_GB2312" w:cs="仿宋_GB2312" w:eastAsia="仿宋_GB2312"/>
              </w:rPr>
              <w:t>审查用地布局合理性、实施合理性、建设意向方案合理性等内容。</w:t>
            </w:r>
          </w:p>
          <w:p>
            <w:pPr>
              <w:pStyle w:val="null3"/>
              <w:ind w:firstLine="400"/>
            </w:pPr>
            <w:r>
              <w:rPr>
                <w:rFonts w:ascii="仿宋_GB2312" w:hAnsi="仿宋_GB2312" w:cs="仿宋_GB2312" w:eastAsia="仿宋_GB2312"/>
              </w:rPr>
              <w:t>（五）结合行业要求及甲方要求开展的其他审查。</w:t>
            </w:r>
          </w:p>
          <w:p>
            <w:pPr>
              <w:pStyle w:val="null3"/>
              <w:ind w:firstLine="402"/>
            </w:pPr>
            <w:r>
              <w:rPr>
                <w:rFonts w:ascii="仿宋_GB2312" w:hAnsi="仿宋_GB2312" w:cs="仿宋_GB2312" w:eastAsia="仿宋_GB2312"/>
                <w:b/>
              </w:rPr>
              <w:t>二、服务要求</w:t>
            </w:r>
          </w:p>
          <w:p>
            <w:pPr>
              <w:pStyle w:val="null3"/>
              <w:ind w:firstLine="400"/>
            </w:pPr>
            <w:r>
              <w:rPr>
                <w:rFonts w:ascii="仿宋_GB2312" w:hAnsi="仿宋_GB2312" w:cs="仿宋_GB2312" w:eastAsia="仿宋_GB2312"/>
              </w:rPr>
              <w:t>（一）投标人须精心组建项目团队，确定项目负责人，并对项目团队的政治素质和业务素质负责。鼓励组成跨领域、跨学科的专家团队联合研究审查。项目组成员须有较强的组织和协调能力，具有较高的理论素养和分析解决问题的能力。</w:t>
            </w:r>
          </w:p>
          <w:p>
            <w:pPr>
              <w:pStyle w:val="null3"/>
              <w:ind w:firstLine="400"/>
            </w:pPr>
            <w:r>
              <w:rPr>
                <w:rFonts w:ascii="仿宋_GB2312" w:hAnsi="仿宋_GB2312" w:cs="仿宋_GB2312" w:eastAsia="仿宋_GB2312"/>
              </w:rPr>
              <w:t>（二）项目负责人必须是该项目实施全过程的真正组织者和指导者，并担负规划成果审查工作，挂名或不担负成果审查工作的，不得作为项目负责人。</w:t>
            </w:r>
          </w:p>
          <w:p>
            <w:pPr>
              <w:pStyle w:val="null3"/>
              <w:ind w:firstLine="400"/>
            </w:pPr>
            <w:r>
              <w:rPr>
                <w:rFonts w:ascii="仿宋_GB2312" w:hAnsi="仿宋_GB2312" w:cs="仿宋_GB2312" w:eastAsia="仿宋_GB2312"/>
              </w:rPr>
              <w:t>（三）项目团队成员应当熟悉审查工作所涉及的相关专项规划规范标准，并有一定规划研究基础，项目实施应紧贴上位政策要求。</w:t>
            </w:r>
          </w:p>
          <w:p>
            <w:pPr>
              <w:pStyle w:val="null3"/>
              <w:ind w:firstLine="400"/>
            </w:pPr>
            <w:r>
              <w:rPr>
                <w:rFonts w:ascii="仿宋_GB2312" w:hAnsi="仿宋_GB2312" w:cs="仿宋_GB2312" w:eastAsia="仿宋_GB2312"/>
              </w:rPr>
              <w:t>（四）项目团队成员及其主要成员履约过程中不得随意更换，确需调整时，须书面提请采购人同意。实际支付进度以财政资金拨付进度为准。</w:t>
            </w:r>
          </w:p>
          <w:p>
            <w:pPr>
              <w:pStyle w:val="null3"/>
              <w:ind w:firstLine="402"/>
            </w:pPr>
            <w:r>
              <w:rPr>
                <w:rFonts w:ascii="仿宋_GB2312" w:hAnsi="仿宋_GB2312" w:cs="仿宋_GB2312" w:eastAsia="仿宋_GB2312"/>
                <w:b/>
              </w:rPr>
              <w:t>三、商务要求</w:t>
            </w:r>
          </w:p>
          <w:p>
            <w:pPr>
              <w:pStyle w:val="null3"/>
              <w:ind w:firstLine="400"/>
            </w:pPr>
            <w:r>
              <w:rPr>
                <w:rFonts w:ascii="仿宋_GB2312" w:hAnsi="仿宋_GB2312" w:cs="仿宋_GB2312" w:eastAsia="仿宋_GB2312"/>
              </w:rPr>
              <w:t>（一）服务期：自合同签订之日起1年。</w:t>
            </w:r>
          </w:p>
          <w:p>
            <w:pPr>
              <w:pStyle w:val="null3"/>
              <w:ind w:firstLine="400"/>
            </w:pPr>
            <w:r>
              <w:rPr>
                <w:rFonts w:ascii="仿宋_GB2312" w:hAnsi="仿宋_GB2312" w:cs="仿宋_GB2312" w:eastAsia="仿宋_GB2312"/>
                <w:color w:val="000000"/>
              </w:rPr>
              <w:t>（二）服务地点：西安市高新区，具体以采购人指定地点为准。</w:t>
            </w:r>
          </w:p>
          <w:p>
            <w:pPr>
              <w:pStyle w:val="null3"/>
              <w:ind w:firstLine="400"/>
            </w:pPr>
            <w:r>
              <w:rPr>
                <w:rFonts w:ascii="仿宋_GB2312" w:hAnsi="仿宋_GB2312" w:cs="仿宋_GB2312" w:eastAsia="仿宋_GB2312"/>
              </w:rPr>
              <w:t>（三）报价形式： 本项目拟采用固定综合单价形式进行采购，计费标准参照《陕西省城乡规划设计计费指导意见》，居住及商业等经营性项目审查综合单价限价为16780元/个；产业及公益性项目审查综合单价限价为16550元/个。</w:t>
            </w:r>
          </w:p>
          <w:p>
            <w:pPr>
              <w:pStyle w:val="null3"/>
              <w:ind w:firstLine="400"/>
            </w:pPr>
            <w:r>
              <w:rPr>
                <w:rFonts w:ascii="仿宋_GB2312" w:hAnsi="仿宋_GB2312" w:cs="仿宋_GB2312" w:eastAsia="仿宋_GB2312"/>
              </w:rPr>
              <w:t>在合同执行过程中，根据具体项目委派情况据实结算，结算金额不超过项目预算160万元。</w:t>
            </w:r>
          </w:p>
          <w:p>
            <w:pPr>
              <w:pStyle w:val="null3"/>
              <w:ind w:firstLine="402"/>
            </w:pPr>
            <w:r>
              <w:rPr>
                <w:rFonts w:ascii="仿宋_GB2312" w:hAnsi="仿宋_GB2312" w:cs="仿宋_GB2312" w:eastAsia="仿宋_GB2312"/>
                <w:b/>
              </w:rPr>
              <w:t>四、其他要求</w:t>
            </w:r>
          </w:p>
          <w:p>
            <w:pPr>
              <w:pStyle w:val="null3"/>
              <w:ind w:firstLine="400"/>
            </w:pPr>
            <w:r>
              <w:rPr>
                <w:rFonts w:ascii="仿宋_GB2312" w:hAnsi="仿宋_GB2312" w:cs="仿宋_GB2312" w:eastAsia="仿宋_GB2312"/>
              </w:rPr>
              <w:t>（一）成果交付要求：中标人向采购人提交成果技术审查报告，并对其质量负责。单个项目中的单个技术审查方案应在5个工作日内完成，最终地块实施详细规划成果技术审查完成，出具《地块实施详细规划成果技术审查报告》。</w:t>
            </w:r>
          </w:p>
          <w:p>
            <w:pPr>
              <w:pStyle w:val="null3"/>
            </w:pPr>
            <w:r>
              <w:rPr>
                <w:rFonts w:ascii="仿宋_GB2312" w:hAnsi="仿宋_GB2312" w:cs="仿宋_GB2312" w:eastAsia="仿宋_GB2312"/>
              </w:rPr>
              <w:t xml:space="preserve">   提交形式：纸质版和电子版。</w:t>
            </w:r>
          </w:p>
          <w:p>
            <w:pPr>
              <w:pStyle w:val="null3"/>
            </w:pPr>
            <w:r>
              <w:rPr>
                <w:rFonts w:ascii="仿宋_GB2312" w:hAnsi="仿宋_GB2312" w:cs="仿宋_GB2312" w:eastAsia="仿宋_GB2312"/>
              </w:rPr>
              <w:t xml:space="preserve">   纸质成果要求：采用 A4 幅面装订，双面印刷，一式伍份。</w:t>
            </w:r>
          </w:p>
          <w:p>
            <w:pPr>
              <w:pStyle w:val="null3"/>
            </w:pPr>
            <w:r>
              <w:rPr>
                <w:rFonts w:ascii="仿宋_GB2312" w:hAnsi="仿宋_GB2312" w:cs="仿宋_GB2312" w:eastAsia="仿宋_GB2312"/>
              </w:rPr>
              <w:t xml:space="preserve">   电子成果要求：采用PDF格式，电子成果内容与上述纸质成果相应。</w:t>
            </w:r>
          </w:p>
          <w:p>
            <w:pPr>
              <w:pStyle w:val="null3"/>
            </w:pPr>
            <w:r>
              <w:rPr>
                <w:rFonts w:ascii="仿宋_GB2312" w:hAnsi="仿宋_GB2312" w:cs="仿宋_GB2312" w:eastAsia="仿宋_GB2312"/>
              </w:rPr>
              <w:t xml:space="preserve">   提交方式：按照采购人指定的地点和方式提交本次工作成果。</w:t>
            </w:r>
          </w:p>
          <w:p>
            <w:pPr>
              <w:pStyle w:val="null3"/>
              <w:jc w:val="both"/>
            </w:pPr>
            <w:r>
              <w:rPr>
                <w:rFonts w:ascii="仿宋_GB2312" w:hAnsi="仿宋_GB2312" w:cs="仿宋_GB2312" w:eastAsia="仿宋_GB2312"/>
              </w:rPr>
              <w:t xml:space="preserve">   （二）服务标准：符合国家、省、市相关现行技术规范、标准及政策文件的要求。</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西安市高新区，具体以采购人指定地点为准。</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工作成果经甲方验收合格后按实际完成量核算相应服务费用，每半年一付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工作成果经甲方验收合格后按实际完成量核算相应服务费用，每半年一付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按照招标文件要求及合同约定执行。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所属行业为：其他未列明行业。（2）因系统格式设定无法更改，支付约定描述以招标文件“拟签订合同文本”中体现的内容为准。（3）中标人在领取成交通知书前，须向采购代理机构提供纸质版投标文件3套（一正两副），且提供的投标文件必须与在陕西省政府采购综合管理平台的项目电子化交易系统中递交的电子投标文件内容一致，纸质版投标文件必须装订成册签字盖章。（4）如招标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投标人需在项目电子化交易系统中按要求上传基本资格条件承诺函并进行电子签章。</w:t>
            </w:r>
          </w:p>
        </w:tc>
        <w:tc>
          <w:tcPr>
            <w:tcW w:type="dxa" w:w="1661"/>
          </w:tcPr>
          <w:p>
            <w:pPr>
              <w:pStyle w:val="null3"/>
            </w:pPr>
            <w:r>
              <w:rPr>
                <w:rFonts w:ascii="仿宋_GB2312" w:hAnsi="仿宋_GB2312" w:cs="仿宋_GB2312" w:eastAsia="仿宋_GB2312"/>
              </w:rPr>
              <w:t>基本资格条件承诺函.docx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企业法人应提供合法有效的标识有统一社会信用代码的营业执照；事业法人应提供事业单位法人证书；其他组织应提供合法登记证明文件，自然人提供身份证。</w:t>
            </w:r>
          </w:p>
        </w:tc>
        <w:tc>
          <w:tcPr>
            <w:tcW w:type="dxa" w:w="1661"/>
          </w:tcPr>
          <w:p>
            <w:pPr>
              <w:pStyle w:val="null3"/>
            </w:pPr>
            <w:r>
              <w:rPr>
                <w:rFonts w:ascii="仿宋_GB2312" w:hAnsi="仿宋_GB2312" w:cs="仿宋_GB2312" w:eastAsia="仿宋_GB2312"/>
              </w:rPr>
              <w:t>具有独立承担民事责任能力.docx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法定代表人身份证明或法定代表人授权委托书.docx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投标人具备城乡规划编制乙级及以上资质。</w:t>
            </w:r>
          </w:p>
        </w:tc>
        <w:tc>
          <w:tcPr>
            <w:tcW w:type="dxa" w:w="1661"/>
          </w:tcPr>
          <w:p>
            <w:pPr>
              <w:pStyle w:val="null3"/>
            </w:pPr>
            <w:r>
              <w:rPr>
                <w:rFonts w:ascii="仿宋_GB2312" w:hAnsi="仿宋_GB2312" w:cs="仿宋_GB2312" w:eastAsia="仿宋_GB2312"/>
              </w:rPr>
              <w:t>企业资质.docx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投标人未被列入“失信被执行人”、“重大税收违法案件当事人名单”和“政府采购严重违法失信行为记录名单”。</w:t>
            </w:r>
          </w:p>
        </w:tc>
        <w:tc>
          <w:tcPr>
            <w:tcW w:type="dxa" w:w="1661"/>
          </w:tcPr>
          <w:p>
            <w:pPr>
              <w:pStyle w:val="null3"/>
            </w:pPr>
            <w:r>
              <w:rPr>
                <w:rFonts w:ascii="仿宋_GB2312" w:hAnsi="仿宋_GB2312" w:cs="仿宋_GB2312" w:eastAsia="仿宋_GB2312"/>
              </w:rPr>
              <w:t>信誉要求.docx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符合招标文件签署盖章要求。</w:t>
            </w:r>
          </w:p>
        </w:tc>
        <w:tc>
          <w:tcPr>
            <w:tcW w:type="dxa" w:w="1661"/>
          </w:tcPr>
          <w:p>
            <w:pPr>
              <w:pStyle w:val="null3"/>
            </w:pPr>
            <w:r>
              <w:rPr>
                <w:rFonts w:ascii="仿宋_GB2312" w:hAnsi="仿宋_GB2312" w:cs="仿宋_GB2312" w:eastAsia="仿宋_GB2312"/>
              </w:rPr>
              <w:t>投标文件封面.docx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（1）投标报价唯一； （2）报价货币符合招标文件要求； （3）未超出采购预算或招标文件规定的最高限价。</w:t>
            </w:r>
          </w:p>
        </w:tc>
        <w:tc>
          <w:tcPr>
            <w:tcW w:type="dxa" w:w="1661"/>
          </w:tcPr>
          <w:p>
            <w:pPr>
              <w:pStyle w:val="null3"/>
            </w:pPr>
            <w:r>
              <w:rPr>
                <w:rFonts w:ascii="仿宋_GB2312" w:hAnsi="仿宋_GB2312" w:cs="仿宋_GB2312" w:eastAsia="仿宋_GB2312"/>
              </w:rPr>
              <w:t>开标一览表 费用组成明细表.docx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投标文件的有效期</w:t>
            </w:r>
          </w:p>
        </w:tc>
        <w:tc>
          <w:tcPr>
            <w:tcW w:type="dxa" w:w="3322"/>
          </w:tcPr>
          <w:p>
            <w:pPr>
              <w:pStyle w:val="null3"/>
            </w:pPr>
            <w:r>
              <w:rPr>
                <w:rFonts w:ascii="仿宋_GB2312" w:hAnsi="仿宋_GB2312" w:cs="仿宋_GB2312" w:eastAsia="仿宋_GB2312"/>
              </w:rPr>
              <w:t>自提交投标文件的截止之日起不少于90个日历日。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响应招标文件合同条款未出现负偏离且响应的内容中未附有采购人不能接受的附加条件。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合同主要条款响应偏离表.docx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项目解读</w:t>
            </w:r>
          </w:p>
        </w:tc>
        <w:tc>
          <w:tcPr>
            <w:tcW w:type="dxa" w:w="2492"/>
          </w:tcPr>
          <w:p>
            <w:pPr>
              <w:pStyle w:val="null3"/>
            </w:pPr>
            <w:r>
              <w:rPr>
                <w:rFonts w:ascii="仿宋_GB2312" w:hAnsi="仿宋_GB2312" w:cs="仿宋_GB2312" w:eastAsia="仿宋_GB2312"/>
              </w:rPr>
              <w:t>内容至少包括①项目基本情况及相关政策解读；②规划成果审查背景分析。 评审标准：项目解读各部分内容全面详细、阐述条理清晰详尽、符合本项目采购需求得6分，每缺一项内容扣3分，评审内容有缺陷的根据情况扣分，扣完为止。 注：评审内容“缺陷”是指：内容粗略、逻辑混乱、描述过于简单、与项目特点不匹配、逻辑漏洞、出现常识性错误、存在不适用项目实际情况的情形或只有标题没有实质性内容等。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审查方案</w:t>
            </w:r>
          </w:p>
        </w:tc>
        <w:tc>
          <w:tcPr>
            <w:tcW w:type="dxa" w:w="2492"/>
          </w:tcPr>
          <w:p>
            <w:pPr>
              <w:pStyle w:val="null3"/>
            </w:pPr>
            <w:r>
              <w:rPr>
                <w:rFonts w:ascii="仿宋_GB2312" w:hAnsi="仿宋_GB2312" w:cs="仿宋_GB2312" w:eastAsia="仿宋_GB2312"/>
              </w:rPr>
              <w:t>内容至少包括①成果规范性审查；②上位规划符合性审查；③技术标准符合性审查；④合理性审查；⑤结合行业要求及甲方要求开展的其他审查等。 评审标准：审查方案各部分内容全面详细、阐述条理清晰详尽、符合本项目采购需求得15分，每缺一项内容扣3分，评审内容有缺陷的根据情况扣分，扣完为止。 注：评审内容“缺陷”是指：内容粗略、逻辑混乱、描述过于简单、与项目特点不匹配、逻辑漏洞、出现常识性错误、存在不适用项目实际情况的情形或只有标题没有实质性内容等。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审查工作方案</w:t>
            </w:r>
          </w:p>
        </w:tc>
        <w:tc>
          <w:tcPr>
            <w:tcW w:type="dxa" w:w="2492"/>
          </w:tcPr>
          <w:p>
            <w:pPr>
              <w:pStyle w:val="null3"/>
            </w:pPr>
            <w:r>
              <w:rPr>
                <w:rFonts w:ascii="仿宋_GB2312" w:hAnsi="仿宋_GB2312" w:cs="仿宋_GB2312" w:eastAsia="仿宋_GB2312"/>
              </w:rPr>
              <w:t>内容至少包括①成果审查重点难点问题分析；②成果审查流程；③成果审查依据的法律法规和技术标准；④成果审查时间控制；⑤智能化审查方案等。 评审标准：成果构成各部分内容全面详细、阐述条理清晰详尽、符合本项目采购需求得20分，每缺一项内容扣4分，评审内容有缺陷的根据情况扣分，扣完为止。 注：评审内容“缺陷”是指：内容粗略、逻辑混乱、描述过于简单、与项目特点不匹配、逻辑漏洞、出现常识性错误、存在不适用项目实际情况的情形或只有标题没有实质性内容等。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项目保障措施</w:t>
            </w:r>
          </w:p>
        </w:tc>
        <w:tc>
          <w:tcPr>
            <w:tcW w:type="dxa" w:w="2492"/>
          </w:tcPr>
          <w:p>
            <w:pPr>
              <w:pStyle w:val="null3"/>
            </w:pPr>
            <w:r>
              <w:rPr>
                <w:rFonts w:ascii="仿宋_GB2312" w:hAnsi="仿宋_GB2312" w:cs="仿宋_GB2312" w:eastAsia="仿宋_GB2312"/>
              </w:rPr>
              <w:t>内容至少包括①项目实施进度目标分析；②提供合理的工作计划及时间节点；③项目进度保障措施；④成果保障措施；⑤突发情况的应急方案等。 评审标准：项目保障措施各部分内容全面详细、阐述条理清晰详尽、符合本项目采购需求得10分，每缺一项内容扣2分，评审内容有缺陷的根据情况扣分，扣完为止。 注：评审内容“缺陷”是指：内容粗略、逻辑混乱、描述过于简单、与项目特点不匹配、逻辑漏洞、出现常识性错误、存在不适用项目实际情况的情形或只有标题没有实质性内容等。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项目保密措施</w:t>
            </w:r>
          </w:p>
        </w:tc>
        <w:tc>
          <w:tcPr>
            <w:tcW w:type="dxa" w:w="2492"/>
          </w:tcPr>
          <w:p>
            <w:pPr>
              <w:pStyle w:val="null3"/>
            </w:pPr>
            <w:r>
              <w:rPr>
                <w:rFonts w:ascii="仿宋_GB2312" w:hAnsi="仿宋_GB2312" w:cs="仿宋_GB2312" w:eastAsia="仿宋_GB2312"/>
              </w:rPr>
              <w:t>内容至少包括①保密手段；②人员保密管理；③保密承诺等。 评审标准：项目保密措施各部分内容全面详细、阐述条理清晰详尽、符合本项目采购需求得9分，每缺一项内容扣3分，评审内容有缺陷的根据情况扣分，扣完为止。 注：评审内容“缺陷”是指：内容粗略、逻辑混乱、描述过于简单、与项目特点不匹配、逻辑漏洞、出现常识性错误、存在不适用项目实际情况的情形或只有标题没有实质性内容等。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项目组织机构</w:t>
            </w:r>
          </w:p>
        </w:tc>
        <w:tc>
          <w:tcPr>
            <w:tcW w:type="dxa" w:w="2492"/>
          </w:tcPr>
          <w:p>
            <w:pPr>
              <w:pStyle w:val="null3"/>
            </w:pPr>
            <w:r>
              <w:rPr>
                <w:rFonts w:ascii="仿宋_GB2312" w:hAnsi="仿宋_GB2312" w:cs="仿宋_GB2312" w:eastAsia="仿宋_GB2312"/>
              </w:rPr>
              <w:t>内容至少包括①团队人员配置清单；②岗位职责安排；③团队管理制度（人员管理、任务委派、奖惩制度等）等。 评审标准：项目组织管理各部分内容全面详细、阐述条理清晰详尽、符合本项目采购需求得6分，每缺一项内容扣2分，评审内容有缺陷的根据情况扣分，扣完为止。 注：评审内容“缺陷”是指：内容粗略、逻辑混乱、描述过于简单、与项目特点不匹配、逻辑漏洞、出现常识性错误、存在不适用项目实际情况的情形或只有标题没有实质性内容等。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项目团队成员</w:t>
            </w:r>
          </w:p>
        </w:tc>
        <w:tc>
          <w:tcPr>
            <w:tcW w:type="dxa" w:w="2492"/>
          </w:tcPr>
          <w:p>
            <w:pPr>
              <w:pStyle w:val="null3"/>
            </w:pPr>
            <w:r>
              <w:rPr>
                <w:rFonts w:ascii="仿宋_GB2312" w:hAnsi="仿宋_GB2312" w:cs="仿宋_GB2312" w:eastAsia="仿宋_GB2312"/>
              </w:rPr>
              <w:t>（1）项目负责人（4分） 具有城市（或城乡）规划专业高级工程师职称且具有国家注册城市（或城乡）规划师资格得4分，未提供不得分。 （2）团队成员（4分） 具有城市（或城乡）规划中级及以上职称或具有国家注册城市（或城乡）规划师资格，且具有城市规划或建筑学专业本科及以上学历，每提供1个完全满足以上要求的人员得1分，此项满分4分，不满足要求不得分。 注：以上人员必须为本单位人员，评审时以提供近三个月的社保缴纳证明复印件、人员毕业证、职称证、注册证等证明材料复印件加盖投标人公章为依据。</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内容至少包括①服务质量；②服务响应时间；③服务期内团队稳定性等。 评审标准：售后服务方案各部分内容全面详细、阐述条理清晰详尽、符合本项目采购需求得6分，每缺一项内容扣2分，评审内容有缺陷的根据情况扣分，扣完为止。 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投标人提供2022年05月01日至今（以合同签订时间为准）的同类审查服务项目业绩，每提供一份得2分，满分10分。 注：投标文件中提供合同复印件加盖投标人公章。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业绩的有关证明材料.docx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满足招标文件内容及技术要求且投标报价最低的投标价为评标基准价，其价格分为满分。 投标报价得分=（评标基准价／投标报价）×价格权值×100。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费用组成明细表.docx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费用组成明细表.docx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详见附件：投标文件封面.docx</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详见附件：费用组成明细表.docx</w:t>
      </w:r>
    </w:p>
    <w:p>
      <w:pPr>
        <w:pStyle w:val="null3"/>
        <w:ind w:firstLine="960"/>
      </w:pPr>
      <w:r>
        <w:rPr>
          <w:rFonts w:ascii="仿宋_GB2312" w:hAnsi="仿宋_GB2312" w:cs="仿宋_GB2312" w:eastAsia="仿宋_GB2312"/>
        </w:rPr>
        <w:t>详见附件：基本资格条件承诺函.docx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详见附件：具有独立承担民事责任能力.docx</w:t>
      </w:r>
    </w:p>
    <w:p>
      <w:pPr>
        <w:pStyle w:val="null3"/>
        <w:ind w:firstLine="960"/>
      </w:pPr>
      <w:r>
        <w:rPr>
          <w:rFonts w:ascii="仿宋_GB2312" w:hAnsi="仿宋_GB2312" w:cs="仿宋_GB2312" w:eastAsia="仿宋_GB2312"/>
        </w:rPr>
        <w:t>详见附件：法定代表人身份证明或法定代表人授权委托书.docx</w:t>
      </w:r>
    </w:p>
    <w:p>
      <w:pPr>
        <w:pStyle w:val="null3"/>
        <w:ind w:firstLine="960"/>
      </w:pPr>
      <w:r>
        <w:rPr>
          <w:rFonts w:ascii="仿宋_GB2312" w:hAnsi="仿宋_GB2312" w:cs="仿宋_GB2312" w:eastAsia="仿宋_GB2312"/>
        </w:rPr>
        <w:t>详见附件：企业资质.docx</w:t>
      </w:r>
    </w:p>
    <w:p>
      <w:pPr>
        <w:pStyle w:val="null3"/>
        <w:ind w:firstLine="960"/>
      </w:pPr>
      <w:r>
        <w:rPr>
          <w:rFonts w:ascii="仿宋_GB2312" w:hAnsi="仿宋_GB2312" w:cs="仿宋_GB2312" w:eastAsia="仿宋_GB2312"/>
        </w:rPr>
        <w:t>详见附件：信誉要求.docx</w:t>
      </w:r>
    </w:p>
    <w:p>
      <w:pPr>
        <w:pStyle w:val="null3"/>
        <w:ind w:firstLine="960"/>
      </w:pPr>
      <w:r>
        <w:rPr>
          <w:rFonts w:ascii="仿宋_GB2312" w:hAnsi="仿宋_GB2312" w:cs="仿宋_GB2312" w:eastAsia="仿宋_GB2312"/>
        </w:rPr>
        <w:t>详见附件：合同主要条款响应偏离表.docx</w:t>
      </w:r>
    </w:p>
    <w:p>
      <w:pPr>
        <w:pStyle w:val="null3"/>
        <w:ind w:firstLine="960"/>
      </w:pPr>
      <w:r>
        <w:rPr>
          <w:rFonts w:ascii="仿宋_GB2312" w:hAnsi="仿宋_GB2312" w:cs="仿宋_GB2312" w:eastAsia="仿宋_GB2312"/>
        </w:rPr>
        <w:t>详见附件：服务方案响应说明.docx</w:t>
      </w:r>
    </w:p>
    <w:p>
      <w:pPr>
        <w:pStyle w:val="null3"/>
        <w:ind w:firstLine="960"/>
      </w:pPr>
      <w:r>
        <w:rPr>
          <w:rFonts w:ascii="仿宋_GB2312" w:hAnsi="仿宋_GB2312" w:cs="仿宋_GB2312" w:eastAsia="仿宋_GB2312"/>
        </w:rPr>
        <w:t>详见附件：业绩的有关证明材料.docx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