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版本号：XDZ2025-94-J-30、XACH2025-05320250613001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锦业二路再生水管网连接工程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XDZ2025-94-J-30、XACH2025-053</w:t>
      </w:r>
      <w:r>
        <w:br/>
      </w:r>
      <w:r>
        <w:br/>
      </w:r>
      <w:r>
        <w:br/>
      </w:r>
    </w:p>
    <w:p>
      <w:pPr>
        <w:pStyle w:val="null3"/>
        <w:jc w:val="center"/>
        <w:outlineLvl w:val="2"/>
      </w:pPr>
      <w:r>
        <w:rPr>
          <w:rFonts w:ascii="仿宋_GB2312" w:hAnsi="仿宋_GB2312" w:cs="仿宋_GB2312" w:eastAsia="仿宋_GB2312"/>
          <w:sz w:val="28"/>
          <w:b/>
        </w:rPr>
        <w:t xml:space="preserve"> 西安高新技术产业开发区公共项目建设管理中心</w:t>
      </w:r>
    </w:p>
    <w:p>
      <w:pPr>
        <w:pStyle w:val="null3"/>
        <w:jc w:val="center"/>
        <w:outlineLvl w:val="2"/>
      </w:pPr>
      <w:r>
        <w:rPr>
          <w:rFonts w:ascii="仿宋_GB2312" w:hAnsi="仿宋_GB2312" w:cs="仿宋_GB2312" w:eastAsia="仿宋_GB2312"/>
          <w:sz w:val="28"/>
          <w:b/>
        </w:rPr>
        <w:t>西安辰和工程咨询有限公司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西安辰和工程咨询有限公司</w:t>
      </w:r>
      <w:r>
        <w:rPr>
          <w:rFonts w:ascii="仿宋_GB2312" w:hAnsi="仿宋_GB2312" w:cs="仿宋_GB2312" w:eastAsia="仿宋_GB2312"/>
        </w:rPr>
        <w:t>（以下简称“代理机构”）受</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委托，拟对</w:t>
      </w:r>
      <w:r>
        <w:rPr>
          <w:rFonts w:ascii="仿宋_GB2312" w:hAnsi="仿宋_GB2312" w:cs="仿宋_GB2312" w:eastAsia="仿宋_GB2312"/>
        </w:rPr>
        <w:t>锦业二路再生水管网连接工程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XDZ2025-94-J-30、XACH2025-053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锦业二路再生水管网连接工程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锦业二路再生水管网连接工程位于锦业二路北侧，西起丈八八路、东至亚迪路，建成后将实现城市客厅区域再生水管网与现状再生水水源连通。该工程管道直径为DN400mm，长度约919.2米。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采购包1（锦业二路再生水管网连接工程）：属于专门面向中小企业采购。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工程及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授权委托书（附法定代表人身份证复印件）及被授权委托人身份证（法定代表人参加磋商只需提供法定代表人身份证）；供应商需在项目电子化交易系统中按要求上传相应证明文件并进行电子签章。</w:t>
      </w:r>
    </w:p>
    <w:p>
      <w:pPr>
        <w:pStyle w:val="null3"/>
      </w:pPr>
      <w:r>
        <w:rPr>
          <w:rFonts w:ascii="仿宋_GB2312" w:hAnsi="仿宋_GB2312" w:cs="仿宋_GB2312" w:eastAsia="仿宋_GB2312"/>
        </w:rPr>
        <w:t>3、供应商基本资格条件承诺函：供应商须满足《中华人民共和国政府采购法》第二十二条规定（提供承诺函）；供应商需在项目电子化交易系统中按要求上传相应证明文件并进行电子签章。</w:t>
      </w:r>
    </w:p>
    <w:p>
      <w:pPr>
        <w:pStyle w:val="null3"/>
      </w:pPr>
      <w:r>
        <w:rPr>
          <w:rFonts w:ascii="仿宋_GB2312" w:hAnsi="仿宋_GB2312" w:cs="仿宋_GB2312" w:eastAsia="仿宋_GB2312"/>
        </w:rPr>
        <w:t>4、资质证书：供应商具有市政公用工程施工总承包三级及以上资质，并具有有效的安全生产许可证；供应商需在项目电子化交易系统中按要求上传相应证明文件并进行电子签章。</w:t>
      </w:r>
    </w:p>
    <w:p>
      <w:pPr>
        <w:pStyle w:val="null3"/>
      </w:pPr>
      <w:r>
        <w:rPr>
          <w:rFonts w:ascii="仿宋_GB2312" w:hAnsi="仿宋_GB2312" w:cs="仿宋_GB2312" w:eastAsia="仿宋_GB2312"/>
        </w:rPr>
        <w:t>5、项目经理：项目经理须具备市政公用工程专业二级及以上注册建造师资格,具有有效的安全生产考核合格证书（建安B证），且未担任其他在建工程项目的项目经理声明；供应商需在项目电子化交易系统中按要求上传相应证明文件并进行电子签章。</w:t>
      </w:r>
    </w:p>
    <w:p>
      <w:pPr>
        <w:pStyle w:val="null3"/>
      </w:pPr>
      <w:r>
        <w:rPr>
          <w:rFonts w:ascii="仿宋_GB2312" w:hAnsi="仿宋_GB2312" w:cs="仿宋_GB2312" w:eastAsia="仿宋_GB2312"/>
        </w:rPr>
        <w:t>6、中小企业声明函：供应商为中小企业的，应提供《中小企业声明函》；供应商为残疾人福利性单位的，应提供《残疾人福利性单位声明函》；供应商为监狱企业的，应提供《监狱企业证明函》；供应商需在项目电子化交易系统中按要求上传相应证明文件并进行电子签章。</w:t>
      </w:r>
    </w:p>
    <w:p>
      <w:pPr>
        <w:pStyle w:val="null3"/>
      </w:pPr>
      <w:r>
        <w:rPr>
          <w:rFonts w:ascii="仿宋_GB2312" w:hAnsi="仿宋_GB2312" w:cs="仿宋_GB2312" w:eastAsia="仿宋_GB2312"/>
        </w:rPr>
        <w:t>7、非联合体磋商：非联合体磋商声明;供应商需在项目电子化交易系统中按要求上传相应证明文件并进行电子签章。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 xml:space="preserve"> 西安高新技术产业开发区公共项目建设管理中心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029-81150249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西安辰和工程咨询有限公司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西安高新区锦业路59号高科智慧园B座四层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齐莎莎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029-82286063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国家计委关于印发&lt;招标代理服务收费管理暂行办法&gt;的通知》（计价格〔2002〕1980号）和发改办价格〔2003〕857号以及发改价格〔2011〕534号文中规定的标准执行，按差额定率累进法收取费用，100万以下按1.0%收取，100万-500万按0.7%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和</w:t>
      </w:r>
      <w:r>
        <w:rPr>
          <w:rFonts w:ascii="仿宋_GB2312" w:hAnsi="仿宋_GB2312" w:cs="仿宋_GB2312" w:eastAsia="仿宋_GB2312"/>
        </w:rPr>
        <w:t>西安辰和工程咨询有限公司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西安辰和工程咨询有限公司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西安辰和工程咨询有限公司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一、符合国家、地方及行业合格标准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联系人：齐莎莎</w:t>
      </w:r>
    </w:p>
    <w:p>
      <w:pPr>
        <w:pStyle w:val="null3"/>
      </w:pPr>
      <w:r>
        <w:rPr>
          <w:rFonts w:ascii="仿宋_GB2312" w:hAnsi="仿宋_GB2312" w:cs="仿宋_GB2312" w:eastAsia="仿宋_GB2312"/>
        </w:rPr>
        <w:t>联系电话：029-82286063</w:t>
      </w:r>
    </w:p>
    <w:p>
      <w:pPr>
        <w:pStyle w:val="null3"/>
      </w:pPr>
      <w:r>
        <w:rPr>
          <w:rFonts w:ascii="仿宋_GB2312" w:hAnsi="仿宋_GB2312" w:cs="仿宋_GB2312" w:eastAsia="仿宋_GB2312"/>
        </w:rPr>
        <w:t>地址：西安高新区锦业路59号高科智慧园B座四层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3,300,000.00</w:t>
      </w:r>
    </w:p>
    <w:p>
      <w:pPr>
        <w:pStyle w:val="null3"/>
      </w:pPr>
      <w:r>
        <w:rPr>
          <w:rFonts w:ascii="仿宋_GB2312" w:hAnsi="仿宋_GB2312" w:cs="仿宋_GB2312" w:eastAsia="仿宋_GB2312"/>
        </w:rPr>
        <w:t>采购包最高限价（元）: 3,300,000.00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锦业二路再生水管网连接工程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3,300,000.00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标的名称：锦业二路再生水管网连接工程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6"/>
            </w:pPr>
            <w:r>
              <w:rPr>
                <w:rFonts w:ascii="仿宋_GB2312" w:hAnsi="仿宋_GB2312" w:cs="仿宋_GB2312" w:eastAsia="仿宋_GB2312"/>
                <w:b/>
              </w:rPr>
              <w:t>一、施工内容</w:t>
            </w:r>
          </w:p>
          <w:p>
            <w:pPr>
              <w:pStyle w:val="null3"/>
              <w:ind w:firstLine="484"/>
            </w:pPr>
            <w:r>
              <w:rPr>
                <w:rFonts w:ascii="仿宋_GB2312" w:hAnsi="仿宋_GB2312" w:cs="仿宋_GB2312" w:eastAsia="仿宋_GB2312"/>
              </w:rPr>
              <w:t>1、锦业二路(丈八八路-亚迪路)再生水管网连接工程位于高新区锦业二路，西起丈八八路，东至亚迪路，与亚迪路已建成再生水管道进行连接，设计管径为DN400mm，全长约919.2米。再生水管道沿现状锦业二路北侧人行道上敷设，采用水平定向钻施工，标准段管位位于锦业二路道路中心线以北16.5米，渠化段管位位于锦业二路道路中心线以北20.5米，管道随道路渠化，施工完成后对现状道路开挖处进行原状恢复。</w:t>
            </w:r>
          </w:p>
          <w:p>
            <w:pPr>
              <w:pStyle w:val="null3"/>
              <w:ind w:firstLine="484"/>
            </w:pPr>
            <w:r>
              <w:rPr>
                <w:rFonts w:ascii="仿宋_GB2312" w:hAnsi="仿宋_GB2312" w:cs="仿宋_GB2312" w:eastAsia="仿宋_GB2312"/>
              </w:rPr>
              <w:t>2、再生水主管材采用聚乙烯PE100级混配料生产管材，耐压等级为1.0MPa，管件亦选用PE100级，耐压等级为1.25MPa配套管件，背压法兰采用过塑钢法兰，局部采用球墨铸铁管及管件，设计工作压力≤0.5MPa。</w:t>
            </w:r>
          </w:p>
          <w:p>
            <w:pPr>
              <w:pStyle w:val="null3"/>
              <w:ind w:firstLine="484"/>
            </w:pPr>
            <w:r>
              <w:rPr>
                <w:rFonts w:ascii="仿宋_GB2312" w:hAnsi="仿宋_GB2312" w:cs="仿宋_GB2312" w:eastAsia="仿宋_GB2312"/>
              </w:rPr>
              <w:t>3、本工程再生水管道与现状燃气管道、国防光缆交叉，施工过程中应当统筹协调本次再生水管道与交叉管线建设的相关工作。工程穿越地铁6号线，施工前应征求地铁管理部门意见，取得许可后方可施工。</w:t>
            </w:r>
          </w:p>
          <w:p>
            <w:pPr>
              <w:pStyle w:val="null3"/>
              <w:ind w:firstLine="486"/>
            </w:pPr>
            <w:r>
              <w:rPr>
                <w:rFonts w:ascii="仿宋_GB2312" w:hAnsi="仿宋_GB2312" w:cs="仿宋_GB2312" w:eastAsia="仿宋_GB2312"/>
                <w:b/>
              </w:rPr>
              <w:t>二、实施地点</w:t>
            </w:r>
            <w:r>
              <w:rPr>
                <w:rFonts w:ascii="仿宋_GB2312" w:hAnsi="仿宋_GB2312" w:cs="仿宋_GB2312" w:eastAsia="仿宋_GB2312"/>
              </w:rPr>
              <w:t>：采购人指定地点</w:t>
            </w:r>
          </w:p>
          <w:p>
            <w:pPr>
              <w:pStyle w:val="null3"/>
              <w:ind w:firstLine="486"/>
            </w:pPr>
            <w:r>
              <w:rPr>
                <w:rFonts w:ascii="仿宋_GB2312" w:hAnsi="仿宋_GB2312" w:cs="仿宋_GB2312" w:eastAsia="仿宋_GB2312"/>
                <w:b/>
              </w:rPr>
              <w:t>三、项目要求：</w:t>
            </w:r>
          </w:p>
          <w:p>
            <w:pPr>
              <w:pStyle w:val="null3"/>
              <w:ind w:firstLine="484"/>
            </w:pPr>
            <w:r>
              <w:rPr>
                <w:rFonts w:ascii="仿宋_GB2312" w:hAnsi="仿宋_GB2312" w:cs="仿宋_GB2312" w:eastAsia="仿宋_GB2312"/>
              </w:rPr>
              <w:t>1、</w:t>
            </w:r>
            <w:r>
              <w:rPr>
                <w:rFonts w:ascii="仿宋_GB2312" w:hAnsi="仿宋_GB2312" w:cs="仿宋_GB2312" w:eastAsia="仿宋_GB2312"/>
              </w:rPr>
              <w:t>工程质量目标:达到国家现行施工验收规范“合格”标准。</w:t>
            </w:r>
          </w:p>
          <w:p>
            <w:pPr>
              <w:pStyle w:val="null3"/>
              <w:ind w:firstLine="484"/>
            </w:pPr>
            <w:r>
              <w:rPr>
                <w:rFonts w:ascii="仿宋_GB2312" w:hAnsi="仿宋_GB2312" w:cs="仿宋_GB2312" w:eastAsia="仿宋_GB2312"/>
              </w:rPr>
              <w:t>2、安全生产目标</w:t>
            </w:r>
            <w:r>
              <w:rPr>
                <w:rFonts w:ascii="仿宋_GB2312" w:hAnsi="仿宋_GB2312" w:cs="仿宋_GB2312" w:eastAsia="仿宋_GB2312"/>
              </w:rPr>
              <w:t>:无伤亡事故、无重大机械事故、无扬尘、无噪音扰民。</w:t>
            </w:r>
          </w:p>
          <w:p>
            <w:pPr>
              <w:pStyle w:val="null3"/>
              <w:ind w:firstLine="526"/>
            </w:pPr>
            <w:r>
              <w:rPr>
                <w:rFonts w:ascii="仿宋_GB2312" w:hAnsi="仿宋_GB2312" w:cs="仿宋_GB2312" w:eastAsia="仿宋_GB2312"/>
                <w:b/>
              </w:rPr>
              <w:t>四</w:t>
            </w:r>
            <w:r>
              <w:rPr>
                <w:rFonts w:ascii="仿宋_GB2312" w:hAnsi="仿宋_GB2312" w:cs="仿宋_GB2312" w:eastAsia="仿宋_GB2312"/>
                <w:b/>
              </w:rPr>
              <w:t>、</w:t>
            </w:r>
            <w:r>
              <w:rPr>
                <w:rFonts w:ascii="仿宋_GB2312" w:hAnsi="仿宋_GB2312" w:cs="仿宋_GB2312" w:eastAsia="仿宋_GB2312"/>
                <w:b/>
              </w:rPr>
              <w:t>工期及质保期</w:t>
            </w:r>
            <w:r>
              <w:rPr>
                <w:rFonts w:ascii="仿宋_GB2312" w:hAnsi="仿宋_GB2312" w:cs="仿宋_GB2312" w:eastAsia="仿宋_GB2312"/>
                <w:b/>
              </w:rPr>
              <w:t>：</w:t>
            </w:r>
          </w:p>
          <w:p>
            <w:pPr>
              <w:pStyle w:val="null3"/>
              <w:ind w:firstLine="484"/>
            </w:pPr>
            <w:r>
              <w:rPr>
                <w:rFonts w:ascii="仿宋_GB2312" w:hAnsi="仿宋_GB2312" w:cs="仿宋_GB2312" w:eastAsia="仿宋_GB2312"/>
              </w:rPr>
              <w:t>1、工期：自施工</w:t>
            </w:r>
            <w:r>
              <w:rPr>
                <w:rFonts w:ascii="仿宋_GB2312" w:hAnsi="仿宋_GB2312" w:cs="仿宋_GB2312" w:eastAsia="仿宋_GB2312"/>
              </w:rPr>
              <w:t>之日起30日历天内完成约定项目</w:t>
            </w:r>
            <w:r>
              <w:rPr>
                <w:rFonts w:ascii="仿宋_GB2312" w:hAnsi="仿宋_GB2312" w:cs="仿宋_GB2312" w:eastAsia="仿宋_GB2312"/>
              </w:rPr>
              <w:t>。</w:t>
            </w:r>
          </w:p>
          <w:p>
            <w:pPr>
              <w:pStyle w:val="null3"/>
              <w:ind w:firstLine="484"/>
            </w:pPr>
            <w:r>
              <w:rPr>
                <w:rFonts w:ascii="仿宋_GB2312" w:hAnsi="仿宋_GB2312" w:cs="仿宋_GB2312" w:eastAsia="仿宋_GB2312"/>
              </w:rPr>
              <w:t>2、质保期</w:t>
            </w:r>
            <w:r>
              <w:rPr>
                <w:rFonts w:ascii="仿宋_GB2312" w:hAnsi="仿宋_GB2312" w:cs="仿宋_GB2312" w:eastAsia="仿宋_GB2312"/>
              </w:rPr>
              <w:t>：自工程</w:t>
            </w:r>
            <w:r>
              <w:rPr>
                <w:rFonts w:ascii="仿宋_GB2312" w:hAnsi="仿宋_GB2312" w:cs="仿宋_GB2312" w:eastAsia="仿宋_GB2312"/>
              </w:rPr>
              <w:t>竣工</w:t>
            </w:r>
            <w:r>
              <w:rPr>
                <w:rFonts w:ascii="仿宋_GB2312" w:hAnsi="仿宋_GB2312" w:cs="仿宋_GB2312" w:eastAsia="仿宋_GB2312"/>
              </w:rPr>
              <w:t>验收合格之日起</w:t>
            </w:r>
            <w:r>
              <w:rPr>
                <w:rFonts w:ascii="仿宋_GB2312" w:hAnsi="仿宋_GB2312" w:cs="仿宋_GB2312" w:eastAsia="仿宋_GB2312"/>
              </w:rPr>
              <w:t>2</w:t>
            </w:r>
            <w:r>
              <w:rPr>
                <w:rFonts w:ascii="仿宋_GB2312" w:hAnsi="仿宋_GB2312" w:cs="仿宋_GB2312" w:eastAsia="仿宋_GB2312"/>
              </w:rPr>
              <w:t>年。</w:t>
            </w:r>
          </w:p>
          <w:p>
            <w:pPr>
              <w:pStyle w:val="null3"/>
              <w:ind w:firstLine="486"/>
            </w:pPr>
            <w:r>
              <w:rPr>
                <w:rFonts w:ascii="仿宋_GB2312" w:hAnsi="仿宋_GB2312" w:cs="仿宋_GB2312" w:eastAsia="仿宋_GB2312"/>
                <w:b/>
              </w:rPr>
              <w:t>五</w:t>
            </w:r>
            <w:r>
              <w:rPr>
                <w:rFonts w:ascii="仿宋_GB2312" w:hAnsi="仿宋_GB2312" w:cs="仿宋_GB2312" w:eastAsia="仿宋_GB2312"/>
                <w:b/>
              </w:rPr>
              <w:t>、安全</w:t>
            </w:r>
            <w:r>
              <w:rPr>
                <w:rFonts w:ascii="仿宋_GB2312" w:hAnsi="仿宋_GB2312" w:cs="仿宋_GB2312" w:eastAsia="仿宋_GB2312"/>
                <w:b/>
              </w:rPr>
              <w:t>技术</w:t>
            </w:r>
            <w:r>
              <w:rPr>
                <w:rFonts w:ascii="仿宋_GB2312" w:hAnsi="仿宋_GB2312" w:cs="仿宋_GB2312" w:eastAsia="仿宋_GB2312"/>
                <w:b/>
              </w:rPr>
              <w:t>要求</w:t>
            </w:r>
          </w:p>
          <w:p>
            <w:pPr>
              <w:pStyle w:val="null3"/>
              <w:ind w:firstLine="484"/>
            </w:pPr>
            <w:r>
              <w:rPr>
                <w:rFonts w:ascii="仿宋_GB2312" w:hAnsi="仿宋_GB2312" w:cs="仿宋_GB2312" w:eastAsia="仿宋_GB2312"/>
              </w:rPr>
              <w:t>遵守工程建设安全生产有关管理规定，严格按安全标准组织施工，采取必要的安全生产措施，消除事故隐患。安全措施不力造成事故责任和发生的费用由成交供应商承担。</w:t>
            </w:r>
          </w:p>
          <w:p>
            <w:pPr>
              <w:pStyle w:val="null3"/>
              <w:ind w:firstLine="486"/>
            </w:pPr>
            <w:r>
              <w:rPr>
                <w:rFonts w:ascii="仿宋_GB2312" w:hAnsi="仿宋_GB2312" w:cs="仿宋_GB2312" w:eastAsia="仿宋_GB2312"/>
                <w:b/>
              </w:rPr>
              <w:t>六</w:t>
            </w:r>
            <w:r>
              <w:rPr>
                <w:rFonts w:ascii="仿宋_GB2312" w:hAnsi="仿宋_GB2312" w:cs="仿宋_GB2312" w:eastAsia="仿宋_GB2312"/>
                <w:b/>
              </w:rPr>
              <w:t>、工程施工基本要求</w:t>
            </w:r>
          </w:p>
          <w:p>
            <w:pPr>
              <w:pStyle w:val="null3"/>
            </w:pPr>
            <w:r>
              <w:rPr>
                <w:rFonts w:ascii="仿宋_GB2312" w:hAnsi="仿宋_GB2312" w:cs="仿宋_GB2312" w:eastAsia="仿宋_GB2312"/>
              </w:rPr>
              <w:t xml:space="preserve">   严格按国家有关规定做到文明施工，规范施工，严格把好各道施工工序的质量，确保工程质量，并按要求如期完成工程建设，编制施工组织设计方案，确保工程按时优质完成，编制总进度计划，合理安排劳动力、物力、财力，尽量做到综合平衡配套施工，确保工程顺利完成。</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《建筑地基基础工程施工质量验收规范》 《给水排水管道工程施工及验收规范》 《混凝土结构工程施工及验收规范》 《建筑工程施工质量验收统一标准》 以及其它相关施工技术规范，未详尽处应满足国家有关规范和规定，所有的规范执行最高规定。</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3.3.1付款方式及依据： ①付款方式：工程竣工验收合格后采购人向供应商支付合同暂定价款的80%，结算审核完成后，支付至结算价款的100%，供应商在缺陷责任期（24个月）内承担质量保修责任。 ②付款依据：采购人出具的验收报告、工程量确认单、供应商提供的等额发票等。 注：工程结算以财政结算审定价款据实结算。 3.3.2本项目磋商总报价为完成本项目磋商文件中所提出的工作范围及要求的全部内容，并达到国家及采购人验收标准而产生的所有费用，磋商报价包括但不限于以下内容：包括人工费、材料费、机械费、措施费、管理费、利润、规费、税金、风险、工程保险费、招标代理服务费、防污治霾费等完成本项目所产生的一切费用。任何错报、漏报由供应商自行负责。 3.3.3清单编制依据：《陕西省建设工程工程量清单计价规则》(2009)、《陕西省建筑装饰工程消耗量定额》(2004)、《陕西省建设工程消耗量定额(2004)补充定额)》《陕西省安装工程消耗量定额》(2004)、《陕西省园林工程消耗量定额》、《陕西省安装工程价目表(2009)》、《陕西省市政工程价目表(2009)》、《陕西省园林工程价目表(2009)》、《陕西省建设工程工程量清单计价费率》(2009)及其配套文件中工程量计算办法。 3.3.4广联达计价软件版本号：GCCP6.4100.23.122。 3.3.5所属行业：建筑业。根据《工业和信息化部、国家统计局、国家发展和改革委员会、财政部关于印发中小企业划型标准规定的通知》（工信部联企业〔2011〕300号）规定的划分标准，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 【采购标的对应的中小企业划分标准所属行业：建筑业。根据《工业和信息化部、国家统计局、国家发展和改革委员会、财政部关于印发中小企业划型标准规定的通知》（工信部联企业〔2011〕300号）规定的划分标准，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工程及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法定代表人授权委托书（附法定代表人身份证复印件）及被授权委托人身份证（法定代表人参加磋商只需提供法定代表人身份证）；供应商需在项目电子化交易系统中按要求上传相应证明文件并进行电子签章。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供应商基本资格条件承诺函</w:t>
            </w:r>
          </w:p>
        </w:tc>
        <w:tc>
          <w:tcPr>
            <w:tcW w:type="dxa" w:w="3322"/>
          </w:tcPr>
          <w:p>
            <w:pPr>
              <w:pStyle w:val="null3"/>
            </w:pPr>
            <w:r>
              <w:rPr>
                <w:rFonts w:ascii="仿宋_GB2312" w:hAnsi="仿宋_GB2312" w:cs="仿宋_GB2312" w:eastAsia="仿宋_GB2312"/>
              </w:rPr>
              <w:t>供应商须满足《中华人民共和国政府采购法》第二十二条规定（提供承诺函）；供应商需在项目电子化交易系统中按要求上传相应证明文件并进行电子签章。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供应商具有市政公用工程施工总承包三级及以上资质，并具有有效的安全生产许可证；供应商需在项目电子化交易系统中按要求上传相应证明文件并进行电子签章。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项目经理须具备市政公用工程专业二级及以上注册建造师资格,具有有效的安全生产考核合格证书（建安B证），且未担任其他在建工程项目的项目经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供应商为中小企业的，应提供《中小企业声明函》；供应商为残疾人福利性单位的，应提供《残疾人福利性单位声明函》；供应商为监狱企业的，应提供《监狱企业证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报价一览表.docx 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报价一览表.docx 已标价工程量清单 中小企业声明函 技术服务合同条款及其他商务要求应答表 承诺书.docx 业绩证明文件.docx 资格证明文件.docx 响应文件封面 残疾人福利性单位声明函 报价函 标的清单 响应函 监狱企业的证明文件 技术标.docx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w:t>
            </w:r>
          </w:p>
        </w:tc>
        <w:tc>
          <w:tcPr>
            <w:tcW w:type="dxa" w:w="3322"/>
          </w:tcPr>
          <w:p>
            <w:pPr>
              <w:pStyle w:val="null3"/>
            </w:pPr>
            <w:r>
              <w:rPr>
                <w:rFonts w:ascii="仿宋_GB2312" w:hAnsi="仿宋_GB2312" w:cs="仿宋_GB2312" w:eastAsia="仿宋_GB2312"/>
              </w:rPr>
              <w:t>响应文件有磋商响应有效期且响应有效期达到磋商文件的要求；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供应商针对同一工程及服务未递交两份或多份内容不同的响应文件，未出现选择性报价；</w:t>
            </w:r>
          </w:p>
        </w:tc>
        <w:tc>
          <w:tcPr>
            <w:tcW w:type="dxa" w:w="1661"/>
          </w:tcPr>
          <w:p>
            <w:pPr>
              <w:pStyle w:val="null3"/>
            </w:pPr>
            <w:r>
              <w:rPr>
                <w:rFonts w:ascii="仿宋_GB2312" w:hAnsi="仿宋_GB2312" w:cs="仿宋_GB2312" w:eastAsia="仿宋_GB2312"/>
              </w:rPr>
              <w:t>报价一览表.docx 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报价一览表.docx 报价函 技术服务合同条款及其他商务要求应答表 标的清单 业绩证明文件.docx 技术标.docx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报价一览表.docx 已标价工程量清单 中小企业声明函 技术服务合同条款及其他商务要求应答表 承诺书.docx 业绩证明文件.docx 资格证明文件.docx 响应文件封面 残疾人福利性单位声明函 报价函 标的清单 响应函 监狱企业的证明文件 技术标.docx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报价一览表.docx 已标价工程量清单 中小企业声明函 技术服务合同条款及其他商务要求应答表 承诺书.docx 业绩证明文件.docx 资格证明文件.docx 响应文件封面 残疾人福利性单位声明函 报价函 标的清单 响应函 监狱企业的证明文件 技术标.docx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w:t>
            </w:r>
          </w:p>
        </w:tc>
        <w:tc>
          <w:tcPr>
            <w:tcW w:type="dxa" w:w="3322"/>
          </w:tcPr>
          <w:p>
            <w:pPr>
              <w:pStyle w:val="null3"/>
            </w:pPr>
            <w:r>
              <w:rPr>
                <w:rFonts w:ascii="仿宋_GB2312" w:hAnsi="仿宋_GB2312" w:cs="仿宋_GB2312" w:eastAsia="仿宋_GB2312"/>
              </w:rPr>
              <w:t>符合《中华人民共和国政府采购法》有关规定和磋商纪律。</w:t>
            </w:r>
          </w:p>
        </w:tc>
        <w:tc>
          <w:tcPr>
            <w:tcW w:type="dxa" w:w="1661"/>
          </w:tcPr>
          <w:p>
            <w:pPr>
              <w:pStyle w:val="null3"/>
            </w:pPr>
            <w:r>
              <w:rPr>
                <w:rFonts w:ascii="仿宋_GB2312" w:hAnsi="仿宋_GB2312" w:cs="仿宋_GB2312" w:eastAsia="仿宋_GB2312"/>
              </w:rPr>
              <w:t>报价一览表.docx 已标价工程量清单 中小企业声明函 技术服务合同条款及其他商务要求应答表 承诺书.docx 业绩证明文件.docx 资格证明文件.docx 响应文件封面 残疾人福利性单位声明函 报价函 标的清单 响应函 监狱企业的证明文件 技术标.docx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方案总体思路清晰、合理、可操作性强、可执行程度强，且能很好推动项目实施得8～12（含）分；方案总体思路基本明确、可行性、合理性高得4～8(含)分；方案思路模糊、可行性、合理性一般得0～4(含)分。]本项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项目经理部组成及劳动力投入</w:t>
            </w:r>
          </w:p>
        </w:tc>
        <w:tc>
          <w:tcPr>
            <w:tcW w:type="dxa" w:w="2492"/>
          </w:tcPr>
          <w:p>
            <w:pPr>
              <w:pStyle w:val="null3"/>
            </w:pPr>
            <w:r>
              <w:rPr>
                <w:rFonts w:ascii="仿宋_GB2312" w:hAnsi="仿宋_GB2312" w:cs="仿宋_GB2312" w:eastAsia="仿宋_GB2312"/>
              </w:rPr>
              <w:t>项目经理部组成及劳动力投入，人员搭配合理，数量充足，经验丰富，证明材料详尽计4～8（含）分，人员搭配较为合理，数量较充足，经验不足，证明材料不够详尽计0～4（含）分，本项满分8分；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施工机械及工器具的配备情况</w:t>
            </w:r>
          </w:p>
        </w:tc>
        <w:tc>
          <w:tcPr>
            <w:tcW w:type="dxa" w:w="2492"/>
          </w:tcPr>
          <w:p>
            <w:pPr>
              <w:pStyle w:val="null3"/>
            </w:pPr>
            <w:r>
              <w:rPr>
                <w:rFonts w:ascii="仿宋_GB2312" w:hAnsi="仿宋_GB2312" w:cs="仿宋_GB2312" w:eastAsia="仿宋_GB2312"/>
              </w:rPr>
              <w:t>施工机械及工器具的配备情况，机械、设备安排合理、完整计4～8（含）分，机械、设备安排简单计0～4（含）分，本项满分8分；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确保本项目质量的技术组织措施</w:t>
            </w:r>
          </w:p>
        </w:tc>
        <w:tc>
          <w:tcPr>
            <w:tcW w:type="dxa" w:w="2492"/>
          </w:tcPr>
          <w:p>
            <w:pPr>
              <w:pStyle w:val="null3"/>
            </w:pPr>
            <w:r>
              <w:rPr>
                <w:rFonts w:ascii="仿宋_GB2312" w:hAnsi="仿宋_GB2312" w:cs="仿宋_GB2312" w:eastAsia="仿宋_GB2312"/>
              </w:rPr>
              <w:t>确保本项目质量的技术组织措施，措施内容科学可行、有针对性且内容详细计4～8（含）分，措施内容较为可行、针对性不强、内容简单计0～4（含）分，本项满分8分；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确保治污减霾和防尘污染的技术组织措施</w:t>
            </w:r>
          </w:p>
        </w:tc>
        <w:tc>
          <w:tcPr>
            <w:tcW w:type="dxa" w:w="2492"/>
          </w:tcPr>
          <w:p>
            <w:pPr>
              <w:pStyle w:val="null3"/>
            </w:pPr>
            <w:r>
              <w:rPr>
                <w:rFonts w:ascii="仿宋_GB2312" w:hAnsi="仿宋_GB2312" w:cs="仿宋_GB2312" w:eastAsia="仿宋_GB2312"/>
              </w:rPr>
              <w:t>确保治污减霾和防尘污染的技术组织措施，措施内容科学可行、有针对性且内容详细计4～8（含）分，措施内容较为可行、针对性不强、内容简单计0～4（含）分，本项满分8分；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确保安全生产和文明施工的技术组织措施</w:t>
            </w:r>
          </w:p>
        </w:tc>
        <w:tc>
          <w:tcPr>
            <w:tcW w:type="dxa" w:w="2492"/>
          </w:tcPr>
          <w:p>
            <w:pPr>
              <w:pStyle w:val="null3"/>
            </w:pPr>
            <w:r>
              <w:rPr>
                <w:rFonts w:ascii="仿宋_GB2312" w:hAnsi="仿宋_GB2312" w:cs="仿宋_GB2312" w:eastAsia="仿宋_GB2312"/>
              </w:rPr>
              <w:t>确保安全生产和文明施工的技术组织措施，措施内容科学可行、有针对性且内容详细计4～8（含）分，措施内容较为可行、针对性不强、内容简单计0～4（含）分，本项满分8分；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施工进度表或施工网络图（进度表或网络图结构清晰、安排科学合理计2～5（含）分；进度表或网络图结构基本清晰、安排合理计0～2（含）分，本项满分5分。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提供供应商2022年以来类似项目业绩合同（以合同签订时间为准），每份计1分，满分5分。（注：以上证明文件在磋商响应文件中附业绩合同扫描件并加盖公章）。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详见附件：技术标.docx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