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版本号：SXHC2025-14020250613001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西电智慧产业园110千伏专用变外线工程（东大段）施工场地清表及垃圾清运项目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SXHC2025-140</w:t>
      </w:r>
      <w:r>
        <w:br/>
      </w:r>
      <w:r>
        <w:br/>
      </w:r>
      <w:r>
        <w:br/>
      </w:r>
    </w:p>
    <w:p>
      <w:pPr>
        <w:pStyle w:val="null3"/>
        <w:jc w:val="center"/>
        <w:outlineLvl w:val="2"/>
      </w:pPr>
      <w:r>
        <w:rPr>
          <w:rFonts w:ascii="仿宋_GB2312" w:hAnsi="仿宋_GB2312" w:cs="仿宋_GB2312" w:eastAsia="仿宋_GB2312"/>
          <w:sz w:val="28"/>
          <w:b/>
        </w:rPr>
        <w:t>西安市长安区东大街道办事处</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西安市长安区东大街道办事处</w:t>
      </w:r>
      <w:r>
        <w:rPr>
          <w:rFonts w:ascii="仿宋_GB2312" w:hAnsi="仿宋_GB2312" w:cs="仿宋_GB2312" w:eastAsia="仿宋_GB2312"/>
        </w:rPr>
        <w:t>委托，拟对</w:t>
      </w:r>
      <w:r>
        <w:rPr>
          <w:rFonts w:ascii="仿宋_GB2312" w:hAnsi="仿宋_GB2312" w:cs="仿宋_GB2312" w:eastAsia="仿宋_GB2312"/>
        </w:rPr>
        <w:t>西电智慧产业园110千伏专用变外线工程（东大段）施工场地清表及垃圾清运项目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SXHC2025-140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西电智慧产业园110千伏专用变外线工程（东大段）施工场地清表及垃圾清运项目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电智慧产业园110千伏专用变外线工程（东大段）施工场地清表及垃圾清运项目位于东大街办庆镇村和郭北村，主要工作内容包括施工场地范围内的地表清理（清表）及垃圾清运，确保后续电力设施施工的顺利进行。清表范围包括线路塔基、电缆沟、临时施工道路等区域，需清除地表植被、杂物、建筑垃圾及其他障碍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采购包1（西电智慧产业园110千伏专用变外线工程（东大段）施工场地清表及垃圾清运项目）：属于专门面向中小企业采购。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2、供应商关联关系声明：供应商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3、企业资质：具有建设行政主管部门颁发的建筑工程施工总承包三级及以上资质，且具备有效的安全生产许可证；</w:t>
      </w:r>
    </w:p>
    <w:p>
      <w:pPr>
        <w:pStyle w:val="null3"/>
      </w:pPr>
      <w:r>
        <w:rPr>
          <w:rFonts w:ascii="仿宋_GB2312" w:hAnsi="仿宋_GB2312" w:cs="仿宋_GB2312" w:eastAsia="仿宋_GB2312"/>
        </w:rPr>
        <w:t>4、项目经理资质：拟派项目经理具备建筑工程专业二级或以上注册建造师证书和安全生产考核合格证（B证），在本单位注册且无在建项目（提供承诺书）；</w:t>
      </w:r>
    </w:p>
    <w:p>
      <w:pPr>
        <w:pStyle w:val="null3"/>
      </w:pPr>
      <w:r>
        <w:rPr>
          <w:rFonts w:ascii="仿宋_GB2312" w:hAnsi="仿宋_GB2312" w:cs="仿宋_GB2312" w:eastAsia="仿宋_GB2312"/>
        </w:rPr>
        <w:t>5、信誉要求：供应商未列入“失信被执行人”、“重大税收违法案件当事人名单”和“政府采购严重违法失信行为记录名单”。供应商基本信息及项目负责人的基本信息在“全国建筑市场监管公共服务平台”可查询且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西安市长安区东大街道办事处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西安市长安区东大街道落庄甲子一号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029-85925898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采购包1：872,815.90元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若按照标准收取不足6000元，按6000元计取。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西安市长安区东大街道办事处</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西安市长安区东大街道办事处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西安市长安区东大街道办事处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根据磋商文件和合同约定执行。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联系人：张瑞娜</w:t>
      </w:r>
    </w:p>
    <w:p>
      <w:pPr>
        <w:pStyle w:val="null3"/>
      </w:pPr>
      <w:r>
        <w:rPr>
          <w:rFonts w:ascii="仿宋_GB2312" w:hAnsi="仿宋_GB2312" w:cs="仿宋_GB2312" w:eastAsia="仿宋_GB2312"/>
        </w:rPr>
        <w:t>联系电话：029-68255920-808</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872,815.90</w:t>
      </w:r>
    </w:p>
    <w:p>
      <w:pPr>
        <w:pStyle w:val="null3"/>
      </w:pPr>
      <w:r>
        <w:rPr>
          <w:rFonts w:ascii="仿宋_GB2312" w:hAnsi="仿宋_GB2312" w:cs="仿宋_GB2312" w:eastAsia="仿宋_GB2312"/>
        </w:rPr>
        <w:t>采购包最高限价（元）: 872,815.90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西电智慧产业园110千伏专用变外线工程（东大段）施工场地清表及垃圾清运</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872,815.90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标的名称：西电智慧产业园110千伏专用变外线工程（东大段）施工场地清表及垃圾清运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一、项目名称</w:t>
            </w:r>
          </w:p>
          <w:p>
            <w:pPr>
              <w:pStyle w:val="null3"/>
              <w:ind w:firstLine="420"/>
              <w:jc w:val="both"/>
            </w:pPr>
            <w:r>
              <w:rPr>
                <w:rFonts w:ascii="仿宋_GB2312" w:hAnsi="仿宋_GB2312" w:cs="仿宋_GB2312" w:eastAsia="仿宋_GB2312"/>
                <w:sz w:val="21"/>
              </w:rPr>
              <w:t>西电智慧产业园</w:t>
            </w:r>
            <w:r>
              <w:rPr>
                <w:rFonts w:ascii="仿宋_GB2312" w:hAnsi="仿宋_GB2312" w:cs="仿宋_GB2312" w:eastAsia="仿宋_GB2312"/>
                <w:sz w:val="21"/>
              </w:rPr>
              <w:t>110千伏专用变外线工程（东大段）施工场地清表及垃圾清运项目</w:t>
            </w:r>
          </w:p>
          <w:p>
            <w:pPr>
              <w:pStyle w:val="null3"/>
              <w:ind w:firstLine="422"/>
              <w:jc w:val="both"/>
            </w:pPr>
            <w:r>
              <w:rPr>
                <w:rFonts w:ascii="仿宋_GB2312" w:hAnsi="仿宋_GB2312" w:cs="仿宋_GB2312" w:eastAsia="仿宋_GB2312"/>
                <w:sz w:val="21"/>
                <w:b/>
              </w:rPr>
              <w:t>二、施工内容</w:t>
            </w:r>
          </w:p>
          <w:p>
            <w:pPr>
              <w:pStyle w:val="null3"/>
              <w:ind w:firstLine="420"/>
              <w:jc w:val="both"/>
            </w:pPr>
            <w:r>
              <w:rPr>
                <w:rFonts w:ascii="仿宋_GB2312" w:hAnsi="仿宋_GB2312" w:cs="仿宋_GB2312" w:eastAsia="仿宋_GB2312"/>
                <w:sz w:val="21"/>
              </w:rPr>
              <w:t>西电智慧产业园</w:t>
            </w:r>
            <w:r>
              <w:rPr>
                <w:rFonts w:ascii="仿宋_GB2312" w:hAnsi="仿宋_GB2312" w:cs="仿宋_GB2312" w:eastAsia="仿宋_GB2312"/>
                <w:sz w:val="21"/>
              </w:rPr>
              <w:t>110千伏专用变外线工程（东大段）施工场地清表及垃圾清运项目位于东大街办庆镇村和郭北村，主要工作内容包括施工场地范围内的地表清理（清表）及垃圾清运，确保后续电力设施施工的顺利进行。清表范围包括线路塔基、电缆沟、临时施工道路等区域，需清除地表植被、杂物、建筑垃圾及其他障碍物。</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rPr>
              <w:t>清表及垃圾外运方量</w:t>
            </w:r>
            <w:r>
              <w:rPr>
                <w:rFonts w:ascii="仿宋_GB2312" w:hAnsi="仿宋_GB2312" w:cs="仿宋_GB2312" w:eastAsia="仿宋_GB2312"/>
                <w:sz w:val="21"/>
              </w:rPr>
              <w:t>7934.69m³。</w:t>
            </w:r>
            <w:r>
              <w:rPr>
                <w:rFonts w:ascii="仿宋_GB2312" w:hAnsi="仿宋_GB2312" w:cs="仿宋_GB2312" w:eastAsia="仿宋_GB2312"/>
                <w:sz w:val="21"/>
              </w:rPr>
              <w:t>距倾倒点距离（㎞）：约</w:t>
            </w:r>
            <w:r>
              <w:rPr>
                <w:rFonts w:ascii="仿宋_GB2312" w:hAnsi="仿宋_GB2312" w:cs="仿宋_GB2312" w:eastAsia="仿宋_GB2312"/>
                <w:sz w:val="21"/>
              </w:rPr>
              <w:t>65㎞。</w:t>
            </w:r>
            <w:r>
              <w:rPr>
                <w:rFonts w:ascii="仿宋_GB2312" w:hAnsi="仿宋_GB2312" w:cs="仿宋_GB2312" w:eastAsia="仿宋_GB2312"/>
                <w:sz w:val="21"/>
              </w:rPr>
              <w:t>单价限价：</w:t>
            </w:r>
            <w:r>
              <w:rPr>
                <w:rFonts w:ascii="仿宋_GB2312" w:hAnsi="仿宋_GB2312" w:cs="仿宋_GB2312" w:eastAsia="仿宋_GB2312"/>
                <w:sz w:val="21"/>
              </w:rPr>
              <w:t>110元/m³。</w:t>
            </w:r>
          </w:p>
          <w:p>
            <w:pPr>
              <w:pStyle w:val="null3"/>
              <w:ind w:firstLine="422"/>
              <w:jc w:val="left"/>
            </w:pPr>
            <w:r>
              <w:rPr>
                <w:rFonts w:ascii="仿宋_GB2312" w:hAnsi="仿宋_GB2312" w:cs="仿宋_GB2312" w:eastAsia="仿宋_GB2312"/>
                <w:sz w:val="21"/>
                <w:b/>
              </w:rPr>
              <w:t>本项目报价方式为全费用综合单价，最终按实际工程量结算。</w:t>
            </w:r>
          </w:p>
          <w:p>
            <w:pPr>
              <w:pStyle w:val="null3"/>
              <w:ind w:firstLine="160"/>
              <w:jc w:val="both"/>
            </w:pPr>
            <w:r>
              <w:rPr>
                <w:rFonts w:ascii="仿宋_GB2312" w:hAnsi="仿宋_GB2312" w:cs="仿宋_GB2312" w:eastAsia="仿宋_GB2312"/>
                <w:sz w:val="21"/>
              </w:rPr>
              <w:t>四、</w:t>
            </w:r>
            <w:r>
              <w:rPr>
                <w:rFonts w:ascii="仿宋_GB2312" w:hAnsi="仿宋_GB2312" w:cs="仿宋_GB2312" w:eastAsia="仿宋_GB2312"/>
                <w:sz w:val="21"/>
              </w:rPr>
              <w:t>工期：</w:t>
            </w:r>
            <w:r>
              <w:rPr>
                <w:rFonts w:ascii="仿宋_GB2312" w:hAnsi="仿宋_GB2312" w:cs="仿宋_GB2312" w:eastAsia="仿宋_GB2312"/>
                <w:sz w:val="21"/>
              </w:rPr>
              <w:t>自合同签订之日起</w:t>
            </w:r>
            <w:r>
              <w:rPr>
                <w:rFonts w:ascii="仿宋_GB2312" w:hAnsi="仿宋_GB2312" w:cs="仿宋_GB2312" w:eastAsia="仿宋_GB2312"/>
                <w:sz w:val="21"/>
              </w:rPr>
              <w:t>30</w:t>
            </w:r>
            <w:r>
              <w:rPr>
                <w:rFonts w:ascii="仿宋_GB2312" w:hAnsi="仿宋_GB2312" w:cs="仿宋_GB2312" w:eastAsia="仿宋_GB2312"/>
                <w:sz w:val="21"/>
              </w:rPr>
              <w:t>日历天。</w:t>
            </w:r>
          </w:p>
          <w:p>
            <w:pPr>
              <w:pStyle w:val="null3"/>
              <w:ind w:firstLine="422"/>
              <w:jc w:val="both"/>
            </w:pPr>
            <w:r>
              <w:rPr>
                <w:rFonts w:ascii="仿宋_GB2312" w:hAnsi="仿宋_GB2312" w:cs="仿宋_GB2312" w:eastAsia="仿宋_GB2312"/>
                <w:sz w:val="21"/>
                <w:b/>
              </w:rPr>
              <w:t>五、工程要求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、质量标准：符合国家现行有关建设工程质量验收规范</w:t>
            </w:r>
            <w:r>
              <w:rPr>
                <w:rFonts w:ascii="仿宋_GB2312" w:hAnsi="仿宋_GB2312" w:cs="仿宋_GB2312" w:eastAsia="仿宋_GB2312"/>
                <w:sz w:val="21"/>
              </w:rPr>
              <w:t>“合格”要求。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、安全生产目标：无伤亡事故、无重大机械事故。</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遵守工程建设安全生产有关管理规定，严格按安全标准组织施工，采取必要的安全生产措施，消除事故隐患。安全措施不力造成事故责任和发生的费用由成交供应单位承担。</w:t>
            </w:r>
          </w:p>
          <w:p>
            <w:pPr>
              <w:pStyle w:val="null3"/>
              <w:ind w:firstLine="422"/>
              <w:jc w:val="both"/>
            </w:pPr>
            <w:r>
              <w:rPr>
                <w:rFonts w:ascii="仿宋_GB2312" w:hAnsi="仿宋_GB2312" w:cs="仿宋_GB2312" w:eastAsia="仿宋_GB2312"/>
                <w:sz w:val="21"/>
                <w:b/>
              </w:rPr>
              <w:t>六、技术要求</w:t>
            </w:r>
          </w:p>
          <w:p>
            <w:pPr>
              <w:pStyle w:val="null3"/>
              <w:ind w:firstLine="422"/>
            </w:pPr>
            <w:r>
              <w:rPr>
                <w:rFonts w:ascii="仿宋_GB2312" w:hAnsi="仿宋_GB2312" w:cs="仿宋_GB2312" w:eastAsia="仿宋_GB2312"/>
                <w:sz w:val="21"/>
                <w:b/>
              </w:rPr>
              <w:t>1、清表作业要求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1）范围确认：根据设计图纸和现场测量，明确清表边界，设置临时标志桩，避免超范围施工。</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2）植被清理：清除地表杂草、灌木、树根等植被，乔木需按园林部门要求移植或报批后砍伐。</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3）根系深度清除至地表以下0.45-1m，防止再生影响施工。</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4）障碍物处理：移除石块、废弃构筑物等硬质障碍物，对地下管线（如通信、给排水）需提前探测并避让或保护。</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5）发现文物或不明埋藏物时立即停工，上报相关部门。</w:t>
            </w:r>
          </w:p>
          <w:p>
            <w:pPr>
              <w:pStyle w:val="null3"/>
              <w:ind w:firstLine="422"/>
            </w:pPr>
            <w:r>
              <w:rPr>
                <w:rFonts w:ascii="仿宋_GB2312" w:hAnsi="仿宋_GB2312" w:cs="仿宋_GB2312" w:eastAsia="仿宋_GB2312"/>
                <w:sz w:val="21"/>
                <w:b/>
              </w:rPr>
              <w:t>2、垃圾清运要求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1）分类处理：可回收垃圾（如金属、塑料）单独存放并交由专业单位回收。</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2）建筑垃圾（混凝土块、砖石等）运至指定消纳场所。</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3）有机垃圾（植被、腐殖土）可集中堆肥或合规处置。</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4）运输规范：运输车辆需密闭覆盖，防止遗撒；出场前冲洗轮胎，避免污染市政道路。</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5）垃圾倾倒点需为政府批准的消纳场，严禁非法倾倒。</w:t>
            </w:r>
          </w:p>
          <w:p>
            <w:pPr>
              <w:pStyle w:val="null3"/>
              <w:ind w:firstLine="422"/>
            </w:pPr>
            <w:r>
              <w:rPr>
                <w:rFonts w:ascii="仿宋_GB2312" w:hAnsi="仿宋_GB2312" w:cs="仿宋_GB2312" w:eastAsia="仿宋_GB2312"/>
                <w:sz w:val="21"/>
                <w:b/>
              </w:rPr>
              <w:t>3、环境保护措施</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1）采取湿法作业（喷淋降尘）减少扬尘，敏感区域设置围挡。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2）避免夜间施工（22:00-6:00），确需连续作业时需办理夜间施工许可。</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3）清表后裸露土体及时覆盖防尘网，防止水土流失。</w:t>
            </w:r>
          </w:p>
          <w:p>
            <w:pPr>
              <w:pStyle w:val="null3"/>
              <w:ind w:firstLine="422"/>
            </w:pPr>
            <w:r>
              <w:rPr>
                <w:rFonts w:ascii="仿宋_GB2312" w:hAnsi="仿宋_GB2312" w:cs="仿宋_GB2312" w:eastAsia="仿宋_GB2312"/>
                <w:sz w:val="21"/>
                <w:b/>
              </w:rPr>
              <w:t>4、安全文明施工</w:t>
            </w:r>
          </w:p>
          <w:p>
            <w:pPr>
              <w:pStyle w:val="null3"/>
              <w:ind w:firstLine="420"/>
            </w:pPr>
            <w:r>
              <w:rPr>
                <w:rFonts w:ascii="仿宋_GB2312" w:hAnsi="仿宋_GB2312" w:cs="仿宋_GB2312" w:eastAsia="仿宋_GB2312"/>
                <w:sz w:val="21"/>
              </w:rPr>
              <w:t>作业人员佩戴安全帽、反光背心，机械操作手持证上岗。现场设置警示牌、导向灯，临近道路时安排交通协管员。严禁焚烧垃圾，配备灭火器材。</w:t>
            </w:r>
          </w:p>
          <w:p>
            <w:pPr>
              <w:pStyle w:val="null3"/>
              <w:ind w:firstLine="422"/>
            </w:pPr>
            <w:r>
              <w:rPr>
                <w:rFonts w:ascii="仿宋_GB2312" w:hAnsi="仿宋_GB2312" w:cs="仿宋_GB2312" w:eastAsia="仿宋_GB2312"/>
                <w:sz w:val="21"/>
                <w:b/>
              </w:rPr>
              <w:t>5、验收标准</w:t>
            </w:r>
          </w:p>
          <w:p>
            <w:pPr>
              <w:pStyle w:val="null3"/>
              <w:ind w:firstLine="420"/>
            </w:pPr>
            <w:r>
              <w:rPr>
                <w:rFonts w:ascii="仿宋_GB2312" w:hAnsi="仿宋_GB2312" w:cs="仿宋_GB2312" w:eastAsia="仿宋_GB2312"/>
                <w:sz w:val="21"/>
              </w:rPr>
              <w:t>清表后场地平整，无残留树根、杂物，标高误差</w:t>
            </w:r>
            <w:r>
              <w:rPr>
                <w:rFonts w:ascii="仿宋_GB2312" w:hAnsi="仿宋_GB2312" w:cs="仿宋_GB2312" w:eastAsia="仿宋_GB2312"/>
                <w:sz w:val="21"/>
              </w:rPr>
              <w:t>≤10cm。垃圾清运完毕，无露天堆放，运输记录完整可追溯。环保部门抽查无投诉。</w:t>
            </w:r>
          </w:p>
          <w:p>
            <w:pPr>
              <w:pStyle w:val="null3"/>
              <w:ind w:firstLine="422"/>
            </w:pPr>
            <w:r>
              <w:rPr>
                <w:rFonts w:ascii="仿宋_GB2312" w:hAnsi="仿宋_GB2312" w:cs="仿宋_GB2312" w:eastAsia="仿宋_GB2312"/>
                <w:sz w:val="21"/>
                <w:b/>
              </w:rPr>
              <w:t>6、其他要求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1）资料管理：留存清表前后影像资料、垃圾清运单据及验收记录。</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2）应急预案：针对塌方、机械伤害等制定应急方案，配备急救设备。</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3）工期控制：根据总进度计划分段完成清表，避免延误后续施工。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符合国家现行有关建设工程质量验收规范“合格”要求。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因系统格式设定无法更改，支付约定描述以磋商文件“拟签订合同文本”中体现的内容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 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供应商关联关系声明.docx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拟派项目经理具备建筑工程专业二级或以上注册建造师证书和安全生产考核合格证（B证），在本单位注册且无在建项目（提供承诺书）；</w:t>
            </w:r>
          </w:p>
        </w:tc>
        <w:tc>
          <w:tcPr>
            <w:tcW w:type="dxa" w:w="1661"/>
          </w:tcPr>
          <w:p>
            <w:pPr>
              <w:pStyle w:val="null3"/>
            </w:pPr>
            <w:r>
              <w:rPr>
                <w:rFonts w:ascii="仿宋_GB2312" w:hAnsi="仿宋_GB2312" w:cs="仿宋_GB2312" w:eastAsia="仿宋_GB2312"/>
              </w:rPr>
              <w:t>项目经理资质.docx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供应商基本信息及项目负责人的基本信息在“全国建筑市场监管公共服务平台”可查询且无不良记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 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合同条款响应偏离表</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自合同签订之日起30日历天</w:t>
            </w:r>
          </w:p>
        </w:tc>
        <w:tc>
          <w:tcPr>
            <w:tcW w:type="dxa" w:w="1661"/>
          </w:tcPr>
          <w:p>
            <w:pPr>
              <w:pStyle w:val="null3"/>
            </w:pPr>
            <w:r>
              <w:rPr>
                <w:rFonts w:ascii="仿宋_GB2312" w:hAnsi="仿宋_GB2312" w:cs="仿宋_GB2312" w:eastAsia="仿宋_GB2312"/>
              </w:rPr>
              <w:t>报价函 标的清单 首次磋商报价表.docx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施工总体方案内容至少包括①施工准备及方法;②施工;③地表垃圾清理措施;④垃圾外运方案；⑤车辆、设备、工具配置明细；⑥安全文明施工、环境保护措施；⑦资料管理措施等。 以上内容专门针对本项目且阐述明晰、全面、合理得28分，每缺一项内容扣4分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施工组织和项目管理机构内容至少包括①项目管理机构图;②岗位安排及职责;③管理制度及相应的协调措施等。 以上内容专门针对本项目且符合本项目实际需求的得9分，每缺一项内容扣3分，若上述内容存在瑕疵，每存在1处瑕疵扣1分，扣完为止。 注：以上提供的人员必须为本公司在职人员。</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内容至少包括①恶劣天气影响应急预案；②针对塌方、机械伤害等制定应急方案等。 以上内容专门针对本项目且阐述明晰、全面、合理得8分，每缺一项内容扣4分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内容至少包括①人员安全保障措施；②设备、车辆安全保障措施；③安全责任划分标准；④安全事故的应对措施等。 以上内容专门针对本项目且阐述明晰、全面、合理得16分，每缺一项内容扣4分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供应商具有2022年1月1日至今同类项目业绩（以合同签订时间为准），响应文件中提供合同复印件加盖供应商公章,每提供一份得3分，满分9分，未提供不计分。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详见附件：项目经理资质.docx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