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企业资质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具有建设行政主管部门颁发的建筑工程施工总承包三级及以上资质，且具备有效的安全生产许可证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2BA26B2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2025-06-17T09:00:08Z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6EF2DE8FB9FF48C0A47A8E97B68A0441_13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