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1E200">
      <w:pPr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40"/>
          <w:szCs w:val="40"/>
        </w:rPr>
        <w:t>全国建筑市场监管公共服务平台截图</w:t>
      </w:r>
      <w:bookmarkEnd w:id="0"/>
    </w:p>
    <w:p w14:paraId="0289BD7F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1583915A">
      <w:pPr>
        <w:ind w:firstLine="560" w:firstLineChars="200"/>
        <w:jc w:val="left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供应商基本信息及项目负责人的基本信息在“全国建筑市场监管公共服务平台”可查询且无不良记录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提供三天内任意时段截图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（以上内容响应文件中提供复印件或扫描件并进行电子签章）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12BA26B2"/>
    <w:rsid w:val="3FDC5E25"/>
    <w:rsid w:val="49F72CE2"/>
    <w:rsid w:val="5842572D"/>
    <w:rsid w:val="6F3225A4"/>
    <w:rsid w:val="711B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78</Characters>
  <Lines>0</Lines>
  <Paragraphs>0</Paragraphs>
  <TotalTime>0</TotalTime>
  <ScaleCrop>false</ScaleCrop>
  <LinksUpToDate>false</LinksUpToDate>
  <CharactersWithSpaces>78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陕西华采招标有限公司</cp:lastModifiedBy>
  <dcterms:modified xsi:type="dcterms:W3CDTF">2025-06-17T09:05:00Z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1A951D4A802640F4B5E6B73795175A21_13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