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F3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highlight w:val="none"/>
          <w:lang w:val="en-US" w:eastAsia="zh-CN" w:bidi="ar-SA"/>
        </w:rPr>
        <w:t>工程量清单</w:t>
      </w:r>
    </w:p>
    <w:tbl>
      <w:tblPr>
        <w:tblStyle w:val="4"/>
        <w:tblW w:w="499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2090"/>
        <w:gridCol w:w="2269"/>
        <w:gridCol w:w="2992"/>
      </w:tblGrid>
      <w:tr w14:paraId="56290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86" w:type="pct"/>
            <w:noWrap w:val="0"/>
            <w:vAlign w:val="center"/>
          </w:tcPr>
          <w:p w14:paraId="198DA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序号</w:t>
            </w:r>
          </w:p>
        </w:tc>
        <w:tc>
          <w:tcPr>
            <w:tcW w:w="1226" w:type="pct"/>
            <w:noWrap w:val="0"/>
            <w:vAlign w:val="center"/>
          </w:tcPr>
          <w:p w14:paraId="6A86C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项目类别</w:t>
            </w:r>
          </w:p>
        </w:tc>
        <w:tc>
          <w:tcPr>
            <w:tcW w:w="1331" w:type="pct"/>
            <w:tcBorders>
              <w:right w:val="single" w:color="auto" w:sz="4" w:space="0"/>
            </w:tcBorders>
            <w:noWrap w:val="0"/>
            <w:vAlign w:val="center"/>
          </w:tcPr>
          <w:p w14:paraId="025C0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工程量</w:t>
            </w:r>
          </w:p>
        </w:tc>
        <w:tc>
          <w:tcPr>
            <w:tcW w:w="1755" w:type="pct"/>
            <w:noWrap w:val="0"/>
            <w:vAlign w:val="center"/>
          </w:tcPr>
          <w:p w14:paraId="52BED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备注</w:t>
            </w:r>
          </w:p>
        </w:tc>
      </w:tr>
      <w:tr w14:paraId="42622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86" w:type="pct"/>
            <w:noWrap w:val="0"/>
            <w:vAlign w:val="center"/>
          </w:tcPr>
          <w:p w14:paraId="765E1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26" w:type="pct"/>
            <w:noWrap w:val="0"/>
            <w:vAlign w:val="center"/>
          </w:tcPr>
          <w:p w14:paraId="6F611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附着物拆除</w:t>
            </w:r>
          </w:p>
        </w:tc>
        <w:tc>
          <w:tcPr>
            <w:tcW w:w="1331" w:type="pct"/>
            <w:tcBorders>
              <w:right w:val="single" w:color="auto" w:sz="4" w:space="0"/>
            </w:tcBorders>
            <w:noWrap w:val="0"/>
            <w:vAlign w:val="center"/>
          </w:tcPr>
          <w:p w14:paraId="57307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6481.30㎡</w:t>
            </w:r>
          </w:p>
        </w:tc>
        <w:tc>
          <w:tcPr>
            <w:tcW w:w="1755" w:type="pct"/>
            <w:noWrap w:val="0"/>
            <w:vAlign w:val="center"/>
          </w:tcPr>
          <w:p w14:paraId="1A496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范围：房屋、围墙</w:t>
            </w:r>
          </w:p>
        </w:tc>
      </w:tr>
      <w:tr w14:paraId="1D9C7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6" w:type="pct"/>
            <w:noWrap w:val="0"/>
            <w:vAlign w:val="center"/>
          </w:tcPr>
          <w:p w14:paraId="6704E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26" w:type="pct"/>
            <w:noWrap w:val="0"/>
            <w:vAlign w:val="center"/>
          </w:tcPr>
          <w:p w14:paraId="6B95C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地面破除</w:t>
            </w:r>
          </w:p>
        </w:tc>
        <w:tc>
          <w:tcPr>
            <w:tcW w:w="1331" w:type="pct"/>
            <w:tcBorders>
              <w:right w:val="single" w:color="auto" w:sz="4" w:space="0"/>
            </w:tcBorders>
            <w:noWrap w:val="0"/>
            <w:vAlign w:val="center"/>
          </w:tcPr>
          <w:p w14:paraId="7254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11028.40㎡</w:t>
            </w:r>
          </w:p>
        </w:tc>
        <w:tc>
          <w:tcPr>
            <w:tcW w:w="1755" w:type="pct"/>
            <w:noWrap w:val="0"/>
            <w:vAlign w:val="center"/>
          </w:tcPr>
          <w:p w14:paraId="2EF60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下挖深度≥0.4m/0.6m2m至黄土裸露，完成场地平整</w:t>
            </w:r>
          </w:p>
        </w:tc>
      </w:tr>
      <w:tr w14:paraId="479D1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6" w:type="pct"/>
            <w:noWrap w:val="0"/>
            <w:vAlign w:val="center"/>
          </w:tcPr>
          <w:p w14:paraId="2C912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26" w:type="pct"/>
            <w:noWrap w:val="0"/>
            <w:vAlign w:val="center"/>
          </w:tcPr>
          <w:p w14:paraId="2A61B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土方内倒</w:t>
            </w:r>
            <w:bookmarkStart w:id="0" w:name="_GoBack"/>
            <w:bookmarkEnd w:id="0"/>
          </w:p>
        </w:tc>
        <w:tc>
          <w:tcPr>
            <w:tcW w:w="1331" w:type="pct"/>
            <w:tcBorders>
              <w:right w:val="single" w:color="auto" w:sz="4" w:space="0"/>
            </w:tcBorders>
            <w:noWrap w:val="0"/>
            <w:vAlign w:val="center"/>
          </w:tcPr>
          <w:p w14:paraId="567F6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14933.60m³</w:t>
            </w:r>
          </w:p>
        </w:tc>
        <w:tc>
          <w:tcPr>
            <w:tcW w:w="1755" w:type="pct"/>
            <w:noWrap w:val="0"/>
            <w:vAlign w:val="center"/>
          </w:tcPr>
          <w:p w14:paraId="2191C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下挖2米后土方内倒进行场地平整，暂按1公里考虑</w:t>
            </w:r>
          </w:p>
        </w:tc>
      </w:tr>
      <w:tr w14:paraId="497E2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6" w:type="pct"/>
            <w:noWrap w:val="0"/>
            <w:vAlign w:val="center"/>
          </w:tcPr>
          <w:p w14:paraId="4B456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226" w:type="pct"/>
            <w:noWrap w:val="0"/>
            <w:vAlign w:val="center"/>
          </w:tcPr>
          <w:p w14:paraId="07540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围墙砌筑</w:t>
            </w:r>
          </w:p>
        </w:tc>
        <w:tc>
          <w:tcPr>
            <w:tcW w:w="1331" w:type="pct"/>
            <w:tcBorders>
              <w:right w:val="single" w:color="auto" w:sz="4" w:space="0"/>
            </w:tcBorders>
            <w:noWrap w:val="0"/>
            <w:vAlign w:val="center"/>
          </w:tcPr>
          <w:p w14:paraId="16F82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569.80m</w:t>
            </w:r>
          </w:p>
        </w:tc>
        <w:tc>
          <w:tcPr>
            <w:tcW w:w="1755" w:type="pct"/>
            <w:noWrap w:val="0"/>
            <w:vAlign w:val="center"/>
          </w:tcPr>
          <w:p w14:paraId="72CC7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478CB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6" w:type="pct"/>
            <w:noWrap w:val="0"/>
            <w:vAlign w:val="center"/>
          </w:tcPr>
          <w:p w14:paraId="42A8D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226" w:type="pct"/>
            <w:noWrap w:val="0"/>
            <w:vAlign w:val="center"/>
          </w:tcPr>
          <w:p w14:paraId="44EA5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建筑垃圾清运</w:t>
            </w:r>
          </w:p>
        </w:tc>
        <w:tc>
          <w:tcPr>
            <w:tcW w:w="1331" w:type="pct"/>
            <w:tcBorders>
              <w:right w:val="single" w:color="auto" w:sz="4" w:space="0"/>
            </w:tcBorders>
            <w:noWrap w:val="0"/>
            <w:vAlign w:val="center"/>
          </w:tcPr>
          <w:p w14:paraId="1BF77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  <w:t>15949.82m³</w:t>
            </w:r>
          </w:p>
        </w:tc>
        <w:tc>
          <w:tcPr>
            <w:tcW w:w="1755" w:type="pct"/>
            <w:noWrap w:val="0"/>
            <w:vAlign w:val="center"/>
          </w:tcPr>
          <w:p w14:paraId="1DBB7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</w:tbl>
    <w:p w14:paraId="0C7485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D12A8"/>
    <w:rsid w:val="2B6C06AA"/>
    <w:rsid w:val="507D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201</Characters>
  <Lines>0</Lines>
  <Paragraphs>0</Paragraphs>
  <TotalTime>1</TotalTime>
  <ScaleCrop>false</ScaleCrop>
  <LinksUpToDate>false</LinksUpToDate>
  <CharactersWithSpaces>201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2025-06-17T09:41:00Z</dcterms:created>
  <dc:creator>陕西华采招标有限公司</dc:creator>
  <cp:lastModifiedBy>陕西华采招标有限公司</cp:lastModifiedBy>
  <dcterms:modified xsi:type="dcterms:W3CDTF">2025-06-17T09:43:43Z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49E493A8CAA8499A89241770CA03EB3E_11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