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版本号：LZBB2025-866（XDZ2025-99-N-62）20250618003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区域空气质量改善试点服务运维项目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LZBB2025-866（XDZ2025-99-N-62）</w:t>
      </w:r>
      <w:r>
        <w:br/>
      </w:r>
      <w:r>
        <w:br/>
      </w:r>
      <w:r>
        <w:br/>
      </w:r>
    </w:p>
    <w:p>
      <w:pPr>
        <w:pStyle w:val="null3"/>
        <w:jc w:val="center"/>
        <w:outlineLvl w:val="2"/>
      </w:pPr>
      <w:r>
        <w:rPr>
          <w:rFonts w:ascii="仿宋_GB2312" w:hAnsi="仿宋_GB2312" w:cs="仿宋_GB2312" w:eastAsia="仿宋_GB2312"/>
          <w:sz w:val="28"/>
          <w:b/>
        </w:rPr>
        <w:t>西安高新技术产业开发区生态环境局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西安高新技术产业开发区生态环境局</w:t>
      </w:r>
      <w:r>
        <w:rPr>
          <w:rFonts w:ascii="仿宋_GB2312" w:hAnsi="仿宋_GB2312" w:cs="仿宋_GB2312" w:eastAsia="仿宋_GB2312"/>
        </w:rPr>
        <w:t>委托，拟对</w:t>
      </w:r>
      <w:r>
        <w:rPr>
          <w:rFonts w:ascii="仿宋_GB2312" w:hAnsi="仿宋_GB2312" w:cs="仿宋_GB2312" w:eastAsia="仿宋_GB2312"/>
        </w:rPr>
        <w:t>区域空气质量改善试点服务运维项目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LZBB2025-866（XDZ2025-99-N-62）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区域空气质量改善试点服务运维项目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本项目拟对西安高新技术产业开发区生态环境局区域空气质量改善试点服务运维项目进行采购，具体详见采购文件。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采购包1（包含对科技路、高新路沿线5处商业 综合体楼顶建设的7套高空降尘系统）：属于专门面向中小企业采购。</w:t>
      </w:r>
    </w:p>
    <w:p>
      <w:pPr>
        <w:pStyle w:val="null3"/>
      </w:pPr>
      <w:r>
        <w:rPr>
          <w:rFonts w:ascii="仿宋_GB2312" w:hAnsi="仿宋_GB2312" w:cs="仿宋_GB2312" w:eastAsia="仿宋_GB2312"/>
        </w:rPr>
        <w:t>采购包2（草堂基地环山公路 与草堂大道十字西北角部署的5套高空和1套低空降尘系统）：属于专门面向中小企业采购。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基本资格条件承诺函：提供《基本资格条件承诺函》；供应商应对承诺内容的真实性、合法性、有效性负责。经调查核实为虚假承诺的，视同为“提供虚假材料谋取中标、成交”的违法行为，依照《中华人民共和国政府采购法》等法律法规追究相应责任。</w:t>
      </w:r>
    </w:p>
    <w:p>
      <w:pPr>
        <w:pStyle w:val="null3"/>
      </w:pPr>
      <w:r>
        <w:rPr>
          <w:rFonts w:ascii="仿宋_GB2312" w:hAnsi="仿宋_GB2312" w:cs="仿宋_GB2312" w:eastAsia="仿宋_GB2312"/>
        </w:rPr>
        <w:t>3、参加政府采购活动前3年内在经营活动中没有重大违法记录的书面声明；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6、授权委托书：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基本资格条件承诺函：提供《基本资格条件承诺函》；供应商应对承诺内容的真实性、合法性、有效性负责。经调查核实为虚假承诺的，视同为“提供虚假材料谋取中标、成交”的违法行为，依照《中华人民共和国政府采购法》等法律法规追究相应责任。</w:t>
      </w:r>
    </w:p>
    <w:p>
      <w:pPr>
        <w:pStyle w:val="null3"/>
      </w:pPr>
      <w:r>
        <w:rPr>
          <w:rFonts w:ascii="仿宋_GB2312" w:hAnsi="仿宋_GB2312" w:cs="仿宋_GB2312" w:eastAsia="仿宋_GB2312"/>
        </w:rPr>
        <w:t>3、参加政府采购活动前3年内在经营活动中没有重大违法记录的书面声明；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6、授权委托书：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陕西省西安市长安区丝路创智谷5号楼4楼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029-88855840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高维、王飞、张波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p>
          <w:p>
            <w:pPr>
              <w:pStyle w:val="null3"/>
            </w:pPr>
            <w:r>
              <w:rPr>
                <w:rFonts w:ascii="仿宋_GB2312" w:hAnsi="仿宋_GB2312" w:cs="仿宋_GB2312" w:eastAsia="仿宋_GB2312"/>
              </w:rPr>
              <w:t>采购包2：340,000.00元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服务类标准计取。2、每包成交单位在领取成交通知书之前，按成交金额为基数须向代理机构支付招标代理服务费。3、招标代理服务费以转账或现金形式缴纳至以下账户： 开户名称：龙寰项目管理咨询有限公司，开户银行：平安银行西安高新路支行，账 号：30201278016843（包1）；30201278016844（包2）。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西安高新技术产业开发区生态环境局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联系人：高维、王飞、张波</w:t>
      </w:r>
    </w:p>
    <w:p>
      <w:pPr>
        <w:pStyle w:val="null3"/>
      </w:pPr>
      <w:r>
        <w:rPr>
          <w:rFonts w:ascii="仿宋_GB2312" w:hAnsi="仿宋_GB2312" w:cs="仿宋_GB2312" w:eastAsia="仿宋_GB2312"/>
        </w:rPr>
        <w:t>联系电话：029-88228899-625</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区域空气质量改善试点服务运维项目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大气污染治理服务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大气污染治理服务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标的名称：大气污染治理服务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为持续改善高新区环境空气质量，综合前期已建成的降尘减</w:t>
            </w:r>
            <w:r>
              <w:rPr>
                <w:rFonts w:ascii="仿宋_GB2312" w:hAnsi="仿宋_GB2312" w:cs="仿宋_GB2312" w:eastAsia="仿宋_GB2312"/>
              </w:rPr>
              <w:t>霾系统运行效果，拟采购高新区区域空气质量改善试点服务运维</w:t>
            </w:r>
            <w:r>
              <w:rPr>
                <w:rFonts w:ascii="仿宋_GB2312" w:hAnsi="仿宋_GB2312" w:cs="仿宋_GB2312" w:eastAsia="仿宋_GB2312"/>
              </w:rPr>
              <w:t>项目，继续发挥该系统改善环境空气质量作用。</w:t>
            </w:r>
            <w:r>
              <w:rPr>
                <w:rFonts w:ascii="仿宋_GB2312" w:hAnsi="仿宋_GB2312" w:cs="仿宋_GB2312" w:eastAsia="仿宋_GB2312"/>
                <w:b/>
              </w:rPr>
              <w:t>包1包含对科技路、高新路沿线</w:t>
            </w:r>
            <w:r>
              <w:rPr>
                <w:rFonts w:ascii="仿宋_GB2312" w:hAnsi="仿宋_GB2312" w:cs="仿宋_GB2312" w:eastAsia="仿宋_GB2312"/>
                <w:b/>
              </w:rPr>
              <w:t>5处商业 综合体楼顶建设的7套高空降尘系统</w:t>
            </w:r>
            <w:r>
              <w:rPr>
                <w:rFonts w:ascii="仿宋_GB2312" w:hAnsi="仿宋_GB2312" w:cs="仿宋_GB2312" w:eastAsia="仿宋_GB2312"/>
              </w:rPr>
              <w:t>的设备保养、水电供给、软件平台维护等。具体运维服务内容如下：</w:t>
            </w:r>
          </w:p>
          <w:p>
            <w:pPr>
              <w:pStyle w:val="null3"/>
            </w:pPr>
            <w:r>
              <w:rPr>
                <w:rFonts w:ascii="仿宋_GB2312" w:hAnsi="仿宋_GB2312" w:cs="仿宋_GB2312" w:eastAsia="仿宋_GB2312"/>
              </w:rPr>
              <w:t>一、软件平台运维服务</w:t>
            </w:r>
          </w:p>
          <w:p>
            <w:pPr>
              <w:pStyle w:val="null3"/>
            </w:pPr>
            <w:r>
              <w:rPr>
                <w:rFonts w:ascii="仿宋_GB2312" w:hAnsi="仿宋_GB2312" w:cs="仿宋_GB2312" w:eastAsia="仿宋_GB2312"/>
              </w:rPr>
              <w:t>建立和优化远程控制平台，分为电脑端</w:t>
            </w:r>
            <w:r>
              <w:rPr>
                <w:rFonts w:ascii="仿宋_GB2312" w:hAnsi="仿宋_GB2312" w:cs="仿宋_GB2312" w:eastAsia="仿宋_GB2312"/>
              </w:rPr>
              <w:t>或</w:t>
            </w:r>
            <w:r>
              <w:rPr>
                <w:rFonts w:ascii="仿宋_GB2312" w:hAnsi="仿宋_GB2312" w:cs="仿宋_GB2312" w:eastAsia="仿宋_GB2312"/>
              </w:rPr>
              <w:t>手机</w:t>
            </w:r>
            <w:r>
              <w:rPr>
                <w:rFonts w:ascii="仿宋_GB2312" w:hAnsi="仿宋_GB2312" w:cs="仿宋_GB2312" w:eastAsia="仿宋_GB2312"/>
              </w:rPr>
              <w:t>APP端，将各点位的信息数据接入平台，开通设备控制通道，通过平台远程控制高、低空降尘减霾喷雾系统，各点位启停比例不低于1:5,通过软件平台实时展示各点位设备启停、运行状态、水电用量统计等情况，平台必须保存喷雾系统近一周左右运行数据以备查阅。</w:t>
            </w:r>
          </w:p>
          <w:p>
            <w:pPr>
              <w:pStyle w:val="null3"/>
            </w:pPr>
            <w:r>
              <w:rPr>
                <w:rFonts w:ascii="仿宋_GB2312" w:hAnsi="仿宋_GB2312" w:cs="仿宋_GB2312" w:eastAsia="仿宋_GB2312"/>
              </w:rPr>
              <w:t>二、硬件设备维护</w:t>
            </w:r>
          </w:p>
          <w:p>
            <w:pPr>
              <w:pStyle w:val="null3"/>
            </w:pPr>
            <w:r>
              <w:rPr>
                <w:rFonts w:ascii="仿宋_GB2312" w:hAnsi="仿宋_GB2312" w:cs="仿宋_GB2312" w:eastAsia="仿宋_GB2312"/>
              </w:rPr>
              <w:t>对已有高空降尘减霾喷雾系统进行日常维护保养，设备异常进行维修等。安排专人专车，定期巡检和实施维护保养。对设备相关喷头、管道、过滤装置的定期清洗和维护，确保雾化喷头通畅，必要时进行更换。对老化器件、电机等进行维修和更换等。</w:t>
            </w:r>
          </w:p>
          <w:p>
            <w:pPr>
              <w:pStyle w:val="null3"/>
            </w:pPr>
            <w:r>
              <w:rPr>
                <w:rFonts w:ascii="仿宋_GB2312" w:hAnsi="仿宋_GB2312" w:cs="仿宋_GB2312" w:eastAsia="仿宋_GB2312"/>
              </w:rPr>
              <w:t>三、水电供给和日常运维服务</w:t>
            </w:r>
          </w:p>
          <w:p>
            <w:pPr>
              <w:pStyle w:val="null3"/>
            </w:pPr>
            <w:r>
              <w:rPr>
                <w:rFonts w:ascii="仿宋_GB2312" w:hAnsi="仿宋_GB2312" w:cs="仿宋_GB2312" w:eastAsia="仿宋_GB2312"/>
              </w:rPr>
              <w:t>设立客服岗位，综合保障各点位设备正常运行。编制日常喷</w:t>
            </w:r>
            <w:r>
              <w:rPr>
                <w:rFonts w:ascii="仿宋_GB2312" w:hAnsi="仿宋_GB2312" w:cs="仿宋_GB2312" w:eastAsia="仿宋_GB2312"/>
              </w:rPr>
              <w:t>雾计划，确保系统正常自动运行，同时可随时进行人工调控、维护。</w:t>
            </w:r>
          </w:p>
          <w:p>
            <w:pPr>
              <w:pStyle w:val="null3"/>
            </w:pPr>
            <w:r>
              <w:rPr>
                <w:rFonts w:ascii="仿宋_GB2312" w:hAnsi="仿宋_GB2312" w:cs="仿宋_GB2312" w:eastAsia="仿宋_GB2312"/>
              </w:rPr>
              <w:t>运维服务应根据要求开展所有部署点位的温度、湿度、风速、风向数据的统计分析服务，并将分析数据与运维情况每月报送建设方</w:t>
            </w:r>
            <w:r>
              <w:rPr>
                <w:rFonts w:ascii="仿宋_GB2312" w:hAnsi="仿宋_GB2312" w:cs="仿宋_GB2312" w:eastAsia="仿宋_GB2312"/>
              </w:rPr>
              <w:t>。</w:t>
            </w:r>
          </w:p>
          <w:p>
            <w:pPr>
              <w:pStyle w:val="null3"/>
            </w:pPr>
            <w:r>
              <w:rPr>
                <w:rFonts w:ascii="仿宋_GB2312" w:hAnsi="仿宋_GB2312" w:cs="仿宋_GB2312" w:eastAsia="仿宋_GB2312"/>
              </w:rPr>
              <w:t>设备水、电使用情况按要求设置用量统计服务，各点位水电</w:t>
            </w:r>
            <w:r>
              <w:rPr>
                <w:rFonts w:ascii="仿宋_GB2312" w:hAnsi="仿宋_GB2312" w:cs="仿宋_GB2312" w:eastAsia="仿宋_GB2312"/>
              </w:rPr>
              <w:t>用量资料需定期核验，便于掌握资源调配使用情况。</w:t>
            </w:r>
          </w:p>
          <w:p>
            <w:pPr>
              <w:pStyle w:val="null3"/>
            </w:pPr>
            <w:r>
              <w:rPr>
                <w:rFonts w:ascii="仿宋_GB2312" w:hAnsi="仿宋_GB2312" w:cs="仿宋_GB2312" w:eastAsia="仿宋_GB2312"/>
              </w:rPr>
              <w:t>四、</w:t>
            </w:r>
            <w:r>
              <w:rPr>
                <w:rFonts w:ascii="仿宋_GB2312" w:hAnsi="仿宋_GB2312" w:cs="仿宋_GB2312" w:eastAsia="仿宋_GB2312"/>
              </w:rPr>
              <w:t>服务期</w:t>
            </w:r>
          </w:p>
          <w:p>
            <w:pPr>
              <w:pStyle w:val="null3"/>
              <w:jc w:val="both"/>
            </w:pPr>
            <w:r>
              <w:rPr>
                <w:rFonts w:ascii="仿宋_GB2312" w:hAnsi="仿宋_GB2312" w:cs="仿宋_GB2312" w:eastAsia="仿宋_GB2312"/>
                <w:sz w:val="21"/>
              </w:rPr>
              <w:t>自</w:t>
            </w:r>
            <w:r>
              <w:rPr>
                <w:rFonts w:ascii="仿宋_GB2312" w:hAnsi="仿宋_GB2312" w:cs="仿宋_GB2312" w:eastAsia="仿宋_GB2312"/>
                <w:sz w:val="21"/>
              </w:rPr>
              <w:t>初验合格之日</w:t>
            </w:r>
            <w:r>
              <w:rPr>
                <w:rFonts w:ascii="仿宋_GB2312" w:hAnsi="仿宋_GB2312" w:cs="仿宋_GB2312" w:eastAsia="仿宋_GB2312"/>
                <w:sz w:val="21"/>
              </w:rPr>
              <w:t>起</w:t>
            </w:r>
            <w:r>
              <w:rPr>
                <w:rFonts w:ascii="仿宋_GB2312" w:hAnsi="仿宋_GB2312" w:cs="仿宋_GB2312" w:eastAsia="仿宋_GB2312"/>
                <w:sz w:val="21"/>
              </w:rPr>
              <w:t>12个月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标的名称：大气污染治理服务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为持续改善高新区环境空气质量，综合前期已建成的降尘减</w:t>
            </w:r>
            <w:r>
              <w:rPr>
                <w:rFonts w:ascii="仿宋_GB2312" w:hAnsi="仿宋_GB2312" w:cs="仿宋_GB2312" w:eastAsia="仿宋_GB2312"/>
              </w:rPr>
              <w:t>霾系统运行效果，拟采购高新区区域空气质量改善试点服务运维</w:t>
            </w:r>
            <w:r>
              <w:rPr>
                <w:rFonts w:ascii="仿宋_GB2312" w:hAnsi="仿宋_GB2312" w:cs="仿宋_GB2312" w:eastAsia="仿宋_GB2312"/>
              </w:rPr>
              <w:t>项目，继续发挥该系统改善环境空气质量作用。</w:t>
            </w:r>
            <w:r>
              <w:rPr>
                <w:rFonts w:ascii="仿宋_GB2312" w:hAnsi="仿宋_GB2312" w:cs="仿宋_GB2312" w:eastAsia="仿宋_GB2312"/>
                <w:b/>
              </w:rPr>
              <w:t>包2草堂基地环山公路与草堂大道十字西北角部署的</w:t>
            </w:r>
            <w:r>
              <w:rPr>
                <w:rFonts w:ascii="仿宋_GB2312" w:hAnsi="仿宋_GB2312" w:cs="仿宋_GB2312" w:eastAsia="仿宋_GB2312"/>
                <w:b/>
              </w:rPr>
              <w:t>5套高空和1套低空降尘系统</w:t>
            </w:r>
            <w:r>
              <w:rPr>
                <w:rFonts w:ascii="仿宋_GB2312" w:hAnsi="仿宋_GB2312" w:cs="仿宋_GB2312" w:eastAsia="仿宋_GB2312"/>
              </w:rPr>
              <w:t>的设备保养、水电供给、软件平台维护等。具体运维服务内容如下：</w:t>
            </w:r>
          </w:p>
          <w:p>
            <w:pPr>
              <w:pStyle w:val="null3"/>
            </w:pPr>
            <w:r>
              <w:rPr>
                <w:rFonts w:ascii="仿宋_GB2312" w:hAnsi="仿宋_GB2312" w:cs="仿宋_GB2312" w:eastAsia="仿宋_GB2312"/>
              </w:rPr>
              <w:t>一、软件平台运维服务</w:t>
            </w:r>
          </w:p>
          <w:p>
            <w:pPr>
              <w:pStyle w:val="null3"/>
            </w:pPr>
            <w:r>
              <w:rPr>
                <w:rFonts w:ascii="仿宋_GB2312" w:hAnsi="仿宋_GB2312" w:cs="仿宋_GB2312" w:eastAsia="仿宋_GB2312"/>
              </w:rPr>
              <w:t>建立和优化远程控制平台，分为电脑端</w:t>
            </w:r>
            <w:r>
              <w:rPr>
                <w:rFonts w:ascii="仿宋_GB2312" w:hAnsi="仿宋_GB2312" w:cs="仿宋_GB2312" w:eastAsia="仿宋_GB2312"/>
              </w:rPr>
              <w:t>或</w:t>
            </w:r>
            <w:r>
              <w:rPr>
                <w:rFonts w:ascii="仿宋_GB2312" w:hAnsi="仿宋_GB2312" w:cs="仿宋_GB2312" w:eastAsia="仿宋_GB2312"/>
              </w:rPr>
              <w:t>手机</w:t>
            </w:r>
            <w:r>
              <w:rPr>
                <w:rFonts w:ascii="仿宋_GB2312" w:hAnsi="仿宋_GB2312" w:cs="仿宋_GB2312" w:eastAsia="仿宋_GB2312"/>
              </w:rPr>
              <w:t>APP端，将各点位的信息数据接入平台，开通设备控制通道，通过平台远程控制高、低空降尘减霾喷雾系统，各点位启停比例不低于1:5,通过软件平台实时展示各点位设备启停、运行状态、水电用量统计 等情况，平台必须保存喷雾系统近一周左右运行数据以备查阅。</w:t>
            </w:r>
          </w:p>
          <w:p>
            <w:pPr>
              <w:pStyle w:val="null3"/>
            </w:pPr>
            <w:r>
              <w:rPr>
                <w:rFonts w:ascii="仿宋_GB2312" w:hAnsi="仿宋_GB2312" w:cs="仿宋_GB2312" w:eastAsia="仿宋_GB2312"/>
              </w:rPr>
              <w:t>二、硬件设备维护</w:t>
            </w:r>
          </w:p>
          <w:p>
            <w:pPr>
              <w:pStyle w:val="null3"/>
            </w:pPr>
            <w:r>
              <w:rPr>
                <w:rFonts w:ascii="仿宋_GB2312" w:hAnsi="仿宋_GB2312" w:cs="仿宋_GB2312" w:eastAsia="仿宋_GB2312"/>
              </w:rPr>
              <w:t>对已有高空降尘减霾喷雾系统进行日常维护保养，设备异常进行维修等。安排专人专车，定期巡检和实施维护保养。对设备相关喷头、管道、过滤装置的定期清洗和维护，确保雾化喷头通畅，必要时进行更换。对老化器件、电机等进行维修和更换等。</w:t>
            </w:r>
          </w:p>
          <w:p>
            <w:pPr>
              <w:pStyle w:val="null3"/>
            </w:pPr>
            <w:r>
              <w:rPr>
                <w:rFonts w:ascii="仿宋_GB2312" w:hAnsi="仿宋_GB2312" w:cs="仿宋_GB2312" w:eastAsia="仿宋_GB2312"/>
              </w:rPr>
              <w:t>三、水电供给和日常运维服务</w:t>
            </w:r>
          </w:p>
          <w:p>
            <w:pPr>
              <w:pStyle w:val="null3"/>
            </w:pPr>
            <w:r>
              <w:rPr>
                <w:rFonts w:ascii="仿宋_GB2312" w:hAnsi="仿宋_GB2312" w:cs="仿宋_GB2312" w:eastAsia="仿宋_GB2312"/>
              </w:rPr>
              <w:t>设立客服岗位，综合保障各点位设备正常运行。编制日常喷雾计划，确保系统正常自动运行，同时可随时进行人工调控、维护。</w:t>
            </w:r>
          </w:p>
          <w:p>
            <w:pPr>
              <w:pStyle w:val="null3"/>
            </w:pPr>
            <w:r>
              <w:rPr>
                <w:rFonts w:ascii="仿宋_GB2312" w:hAnsi="仿宋_GB2312" w:cs="仿宋_GB2312" w:eastAsia="仿宋_GB2312"/>
              </w:rPr>
              <w:t>运维服务应根据要求开展所有部署点位的温度、湿度、风速、风向数据的统计分析服务，并将分析数据与运维情况每月报送建设方。</w:t>
            </w:r>
          </w:p>
          <w:p>
            <w:pPr>
              <w:pStyle w:val="null3"/>
            </w:pPr>
            <w:r>
              <w:rPr>
                <w:rFonts w:ascii="仿宋_GB2312" w:hAnsi="仿宋_GB2312" w:cs="仿宋_GB2312" w:eastAsia="仿宋_GB2312"/>
              </w:rPr>
              <w:t>设备水、电使用情况按要求设置用量统计服务，各点位水电用量资料需定期核验，便于掌握资源调配使用情况。</w:t>
            </w:r>
          </w:p>
          <w:p>
            <w:pPr>
              <w:pStyle w:val="null3"/>
            </w:pPr>
            <w:r>
              <w:rPr>
                <w:rFonts w:ascii="仿宋_GB2312" w:hAnsi="仿宋_GB2312" w:cs="仿宋_GB2312" w:eastAsia="仿宋_GB2312"/>
              </w:rPr>
              <w:t>四、</w:t>
            </w:r>
            <w:r>
              <w:rPr>
                <w:rFonts w:ascii="仿宋_GB2312" w:hAnsi="仿宋_GB2312" w:cs="仿宋_GB2312" w:eastAsia="仿宋_GB2312"/>
              </w:rPr>
              <w:t>服务期</w:t>
            </w:r>
          </w:p>
          <w:p>
            <w:pPr>
              <w:pStyle w:val="null3"/>
              <w:jc w:val="both"/>
            </w:pPr>
            <w:r>
              <w:rPr>
                <w:rFonts w:ascii="仿宋_GB2312" w:hAnsi="仿宋_GB2312" w:cs="仿宋_GB2312" w:eastAsia="仿宋_GB2312"/>
                <w:sz w:val="21"/>
              </w:rPr>
              <w:t>自</w:t>
            </w:r>
            <w:r>
              <w:rPr>
                <w:rFonts w:ascii="仿宋_GB2312" w:hAnsi="仿宋_GB2312" w:cs="仿宋_GB2312" w:eastAsia="仿宋_GB2312"/>
                <w:sz w:val="21"/>
              </w:rPr>
              <w:t>初验合格之日</w:t>
            </w:r>
            <w:r>
              <w:rPr>
                <w:rFonts w:ascii="仿宋_GB2312" w:hAnsi="仿宋_GB2312" w:cs="仿宋_GB2312" w:eastAsia="仿宋_GB2312"/>
                <w:sz w:val="21"/>
              </w:rPr>
              <w:t>起</w:t>
            </w:r>
            <w:r>
              <w:rPr>
                <w:rFonts w:ascii="仿宋_GB2312" w:hAnsi="仿宋_GB2312" w:cs="仿宋_GB2312" w:eastAsia="仿宋_GB2312"/>
                <w:sz w:val="21"/>
              </w:rPr>
              <w:t>12个月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自初验合格之日起12个月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自初验合格之日起12个月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（一）竞争性磋商文件、竞争性磋商响应文件； （二）本合同及附件文本； （三）合同签订时国家及行业现行的标准和技术规范。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（一）竞争性磋商文件、竞争性磋商响应文件； （二）本合同及附件文本； （三）合同签订时国家及行业现行的标准和技术规范。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服务合同签订，经双方确认设备、平台正常运行，符合甲方初验要求后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服务到期经甲方终验合格后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服务合同签订，经双方确认设备、平台正常运行，符合甲方初验要求后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服务到期经甲方终验合格后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2.本项目均属于专门面向中小企业采购。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4.因系统格式限制，合同支付方式为：双方确认设备正常运行并签订服务合同，甲方支付合同总金额40%作为预付款；服务到期项目考核终验合格后，支付合同总金额的60%。 5.为保证项目的进度及质量，供应商可以参与多个采购包但至多中标一个采购包。成为包1的第一候选单位，不能成为包2的第一候选单位。评标时将从包1开始依次评审，若供应商在包1为第一候选单位，在后续采购包中汇总得分仍排序第一，将直接确定排序第二的单位为第一候选单位，以此类推。（即“兼投不兼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提供《基本资格条件承诺函》；供应商应对承诺内容的真实性、合法性、有效性负责。经调查核实为虚假承诺的，视同为“提供虚假材料谋取中标、成交”的违法行为，依照《中华人民共和国政府采购法》等法律法规追究相应责任。</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提供《基本资格条件承诺函》；供应商应对承诺内容的真实性、合法性、有效性负责。经调查核实为虚假承诺的，视同为“提供虚假材料谋取中标、成交”的违法行为，依照《中华人民共和国政府采购法》等法律法规追究相应责任。</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投标时须提供法定代表人授权书、被授权人身份证及本单位的社会保险缴纳证明；法定代表人直接参加投标的须提供其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资格证明材料.docx 响应函 符合性及方案响应.docx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1.技术分析方案</w:t>
            </w:r>
          </w:p>
        </w:tc>
        <w:tc>
          <w:tcPr>
            <w:tcW w:type="dxa" w:w="2492"/>
          </w:tcPr>
          <w:p>
            <w:pPr>
              <w:pStyle w:val="null3"/>
            </w:pPr>
            <w:r>
              <w:rPr>
                <w:rFonts w:ascii="仿宋_GB2312" w:hAnsi="仿宋_GB2312" w:cs="仿宋_GB2312" w:eastAsia="仿宋_GB2312"/>
              </w:rPr>
              <w:t>根据采购技术要求进行响应，提供详细、全面的技术分析，分析应包含：①区域空气质量总体分析、②颗粒物和臭氧污染分析、③气象条件与作业方式调整综合分析（针对不同气象条件和污染水平）等。根据响应情况综合赋分。 每个单项内容详细完整、思路明晰合理、针对性强，得5分； 每个单项内容基本完整、思路基本合理、有一定针对性，得3分； 每个单项内容不完整、思路模糊、针对性不强得1分；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2.运维服务方案</w:t>
            </w:r>
          </w:p>
        </w:tc>
        <w:tc>
          <w:tcPr>
            <w:tcW w:type="dxa" w:w="2492"/>
          </w:tcPr>
          <w:p>
            <w:pPr>
              <w:pStyle w:val="null3"/>
            </w:pPr>
            <w:r>
              <w:rPr>
                <w:rFonts w:ascii="仿宋_GB2312" w:hAnsi="仿宋_GB2312" w:cs="仿宋_GB2312" w:eastAsia="仿宋_GB2312"/>
              </w:rPr>
              <w:t>结合项目实际情况，针对本项目采购需求的服务内容制订切实可行的总体实施方案，方案内容包括但不限于：①运维服务管理体系、②运维服务管理方法和服务保障机制、③软件和硬件维护流程、④日常巡检和分析工作流程。根据响应情况综合赋分。 每个单项内容详细完整、思路科学合理、针对性强、满足服务要求，得5分； 每个单项内容基本完整、思路基本合理，有一定针对性、基本可以满足服务要求，得3分； 每个单项内容不完整、思路模糊，针对性不强、不能满足服务要求，得1分； 未提供相关内容也不得分。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3.服务资源配备</w:t>
            </w:r>
          </w:p>
        </w:tc>
        <w:tc>
          <w:tcPr>
            <w:tcW w:type="dxa" w:w="2492"/>
          </w:tcPr>
          <w:p>
            <w:pPr>
              <w:pStyle w:val="null3"/>
            </w:pPr>
            <w:r>
              <w:rPr>
                <w:rFonts w:ascii="仿宋_GB2312" w:hAnsi="仿宋_GB2312" w:cs="仿宋_GB2312" w:eastAsia="仿宋_GB2312"/>
              </w:rPr>
              <w:t>1、项目负责人：具有环境或工程类专业硕士及以上学位，或具有环境或工程类高级职称的，得3分（须提供身份证、毕业证、学位证或职称证等相关证明材料）。 2、运维实施人员：提供至少1名平台数据员（具备环境或计算机类专业本科及以上学历）及至少1名现场工程人员（具备工程或技术类中级及以上职称，或具备技术岗操作证）得3分，每增加1名人员加1.5分，此项最多得6分（须提供人员身份证、毕业证、职称证或操作证等相关证明材料）。 3.运维车辆：提供至少1辆运维保障车辆，得1分，未提供不得分。（须提供车辆行驶证、车辆保险等证明材料）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4.项目服务质量控制目标及措施</w:t>
            </w:r>
          </w:p>
        </w:tc>
        <w:tc>
          <w:tcPr>
            <w:tcW w:type="dxa" w:w="2492"/>
          </w:tcPr>
          <w:p>
            <w:pPr>
              <w:pStyle w:val="null3"/>
            </w:pPr>
            <w:r>
              <w:rPr>
                <w:rFonts w:ascii="仿宋_GB2312" w:hAnsi="仿宋_GB2312" w:cs="仿宋_GB2312" w:eastAsia="仿宋_GB2312"/>
              </w:rPr>
              <w:t>针对本项目提供质量控制目标及措施，内容包含：①项目质量控制目标、②项目质量保证措施； 每个单项内容全面完整、详细，切实可行的得5分； 每个单项内容基本完整、清晰，基本可行的得3分； 每个单项内容简单、不清晰，不具备可行的，得1分；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5.应急替代方案</w:t>
            </w:r>
          </w:p>
        </w:tc>
        <w:tc>
          <w:tcPr>
            <w:tcW w:type="dxa" w:w="2492"/>
          </w:tcPr>
          <w:p>
            <w:pPr>
              <w:pStyle w:val="null3"/>
            </w:pPr>
            <w:r>
              <w:rPr>
                <w:rFonts w:ascii="仿宋_GB2312" w:hAnsi="仿宋_GB2312" w:cs="仿宋_GB2312" w:eastAsia="仿宋_GB2312"/>
              </w:rPr>
              <w:t>服务设备发生故障或事故，不能正常运行时具有应急替代方案。①应急替代服务的运行机制、②应急替代服务类型、数量等。 每个单项内容详细完整、思路明晰合理、针对性强，得5分； 每个单项内容基本完整、思路基本合理、有一定针对性，得3分； 每个单项内容不完整、思路模糊、针对性不强得1分；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6.创新服务建议</w:t>
            </w:r>
          </w:p>
        </w:tc>
        <w:tc>
          <w:tcPr>
            <w:tcW w:type="dxa" w:w="2492"/>
          </w:tcPr>
          <w:p>
            <w:pPr>
              <w:pStyle w:val="null3"/>
            </w:pPr>
            <w:r>
              <w:rPr>
                <w:rFonts w:ascii="仿宋_GB2312" w:hAnsi="仿宋_GB2312" w:cs="仿宋_GB2312" w:eastAsia="仿宋_GB2312"/>
              </w:rPr>
              <w:t>针对本项目提供合理化建议，对与履行本服务条件有关的环境空气质量情况调研分析（颗粒物和臭氧），结合现场实际情况进行综合分析，并针提出针对性、合理性、创新性的建议。根据响应情况综合赋分。 建议详细具体，具备可行性，并能提升本次服务项目的得（10分）； 建议有亮点，具备有限的操作性并能短期提升服务质量的得（5分）； 提供的方案不全或内容简单得（3分）； 无此项得0分。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7.服务承诺</w:t>
            </w:r>
          </w:p>
        </w:tc>
        <w:tc>
          <w:tcPr>
            <w:tcW w:type="dxa" w:w="2492"/>
          </w:tcPr>
          <w:p>
            <w:pPr>
              <w:pStyle w:val="null3"/>
            </w:pPr>
            <w:r>
              <w:rPr>
                <w:rFonts w:ascii="仿宋_GB2312" w:hAnsi="仿宋_GB2312" w:cs="仿宋_GB2312" w:eastAsia="仿宋_GB2312"/>
              </w:rPr>
              <w:t>针对本项目的服务承诺包含但不限于①时间响应、服务态度、遵守采购人管理制度及考核规章制度办法、②不得随意更换人员，按时完成各类任务等承诺③遵守采购人要求的保密事项及免责声明。按其响应程度进行评分。 服务承诺完善，措施安排详尽，可行性强得5分; 服务承诺基本合理，措施安排基本到位，有一定可行性得3分； 服务承诺不合理，措施安排不到位，可行性不强，得1分；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1.技术分析方案</w:t>
            </w:r>
          </w:p>
        </w:tc>
        <w:tc>
          <w:tcPr>
            <w:tcW w:type="dxa" w:w="2492"/>
          </w:tcPr>
          <w:p>
            <w:pPr>
              <w:pStyle w:val="null3"/>
            </w:pPr>
            <w:r>
              <w:rPr>
                <w:rFonts w:ascii="仿宋_GB2312" w:hAnsi="仿宋_GB2312" w:cs="仿宋_GB2312" w:eastAsia="仿宋_GB2312"/>
              </w:rPr>
              <w:t>根据采购技术要求进行响应，提供详细、全面的技术分析，分析应包含：①区域空气质量总体分析、②颗粒物和臭氧污染分析、③气象条件与作业方式调整综合分析（针对不同气象条件和污染水平）等。根据响应情况综合赋分。 每个单项内容详细完整、思路明晰合理、针对性强，得5分； 每个单项内容基本完整、思路基本合理、有一定针对性，得3分； 每个单项内容不完整、思路模糊、针对性不强得1分；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2.运维服务方案</w:t>
            </w:r>
          </w:p>
        </w:tc>
        <w:tc>
          <w:tcPr>
            <w:tcW w:type="dxa" w:w="2492"/>
          </w:tcPr>
          <w:p>
            <w:pPr>
              <w:pStyle w:val="null3"/>
            </w:pPr>
            <w:r>
              <w:rPr>
                <w:rFonts w:ascii="仿宋_GB2312" w:hAnsi="仿宋_GB2312" w:cs="仿宋_GB2312" w:eastAsia="仿宋_GB2312"/>
              </w:rPr>
              <w:t>结合项目实际情况，针对本项目采购需求的服务内容制订切实可行的总体实施方案，方案内容包括但不限于：①运维服务管理体系、②运维服务管理方法和服务保障机制、③软件和硬件维护流程、④日常巡检和分析工作流程。根据响应情况综合赋分。 每个单项内容详细完整、思路科学合理、针对性强、满足服务要求，得5分； 每个单项内容基本完整、思路基本合理，有一定针对性、基本可以满足服务要求，得3分； 每个单项内容不完整、思路模糊，针对性不强、不能满足服务要求，得1分； 未提供相关内容也不得分。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3.服务资源配备</w:t>
            </w:r>
          </w:p>
        </w:tc>
        <w:tc>
          <w:tcPr>
            <w:tcW w:type="dxa" w:w="2492"/>
          </w:tcPr>
          <w:p>
            <w:pPr>
              <w:pStyle w:val="null3"/>
            </w:pPr>
            <w:r>
              <w:rPr>
                <w:rFonts w:ascii="仿宋_GB2312" w:hAnsi="仿宋_GB2312" w:cs="仿宋_GB2312" w:eastAsia="仿宋_GB2312"/>
              </w:rPr>
              <w:t>1、项目负责人：具有环境或工程类专业硕士及以上学位，或具有环境或工程类高级职称的，得3分（须提供身份证、毕业证、学位证或职称证等相关证明材料）。 2、运维实施人员：提供至少1名平台数据员（具备环境或计算机类专业本科及以上学历）及至少1名现场工程人员（具备工程或技术类中级及以上职称，或具备技术岗操作证）得3分，每增加1名人员加1.5分，此项最多得6分（须提供人员身份证、毕业证、职称证或操作证等相关证明材料）。 3.运维车辆：提供至少1辆运维保障车辆，得1分，未提供不得分。（须提供车辆行驶证、车辆保险等证明材料）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4.项目服务质量控制目标及措施</w:t>
            </w:r>
          </w:p>
        </w:tc>
        <w:tc>
          <w:tcPr>
            <w:tcW w:type="dxa" w:w="2492"/>
          </w:tcPr>
          <w:p>
            <w:pPr>
              <w:pStyle w:val="null3"/>
            </w:pPr>
            <w:r>
              <w:rPr>
                <w:rFonts w:ascii="仿宋_GB2312" w:hAnsi="仿宋_GB2312" w:cs="仿宋_GB2312" w:eastAsia="仿宋_GB2312"/>
              </w:rPr>
              <w:t>针对本项目提供质量控制目标及措施，内容包含：①项目质量控制目标、②项目质量保证措施； 每个单项内容全面完整、详细，切实可行的得5分； 每个单项内容基本完整、清晰，基本可行的得3分； 每个单项内容简单、不清晰，不具备可行的，得1分；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5.应急替代方案</w:t>
            </w:r>
          </w:p>
        </w:tc>
        <w:tc>
          <w:tcPr>
            <w:tcW w:type="dxa" w:w="2492"/>
          </w:tcPr>
          <w:p>
            <w:pPr>
              <w:pStyle w:val="null3"/>
            </w:pPr>
            <w:r>
              <w:rPr>
                <w:rFonts w:ascii="仿宋_GB2312" w:hAnsi="仿宋_GB2312" w:cs="仿宋_GB2312" w:eastAsia="仿宋_GB2312"/>
              </w:rPr>
              <w:t>服务设备发生故障或事故，不能正常运行时具有应急替代方案。①应急替代服务的运行机制、②应急替代服务类型、数量等。 每个单项内容详细完整、思路明晰合理、针对性强，得5分； 每个单项内容基本完整、思路基本合理、有一定针对性，得3分； 每个单项内容不完整、思路模糊、针对性不强得1分；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6.创新服务建议</w:t>
            </w:r>
          </w:p>
        </w:tc>
        <w:tc>
          <w:tcPr>
            <w:tcW w:type="dxa" w:w="2492"/>
          </w:tcPr>
          <w:p>
            <w:pPr>
              <w:pStyle w:val="null3"/>
            </w:pPr>
            <w:r>
              <w:rPr>
                <w:rFonts w:ascii="仿宋_GB2312" w:hAnsi="仿宋_GB2312" w:cs="仿宋_GB2312" w:eastAsia="仿宋_GB2312"/>
              </w:rPr>
              <w:t>针对本项目提供合理化建议，对与履行本服务条件有关的环境空气质量情况调研分析（颗粒物和臭氧），结合现场实际情况进行综合分析，并针提出针对性、合理性、创新性的建议。根据响应情况综合赋分。 建议详细具体，具备可行性，并能提升本次服务项目的得（10分）； 建议有亮点，具备有限的操作性并能短期提升服务质量的得（5分）； 提供的方案不全或内容简单得（3分）； 无此项得0分。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7.服务承诺</w:t>
            </w:r>
          </w:p>
        </w:tc>
        <w:tc>
          <w:tcPr>
            <w:tcW w:type="dxa" w:w="2492"/>
          </w:tcPr>
          <w:p>
            <w:pPr>
              <w:pStyle w:val="null3"/>
            </w:pPr>
            <w:r>
              <w:rPr>
                <w:rFonts w:ascii="仿宋_GB2312" w:hAnsi="仿宋_GB2312" w:cs="仿宋_GB2312" w:eastAsia="仿宋_GB2312"/>
              </w:rPr>
              <w:t>针对本项目的服务承诺包含但不限于①时间响应、服务态度、遵守采购人管理制度及考核规章制度办法、②不得随意更换人员，按时完成各类任务等承诺③遵守采购人要求的保密事项及免责声明。按其响应程度进行评分。 服务承诺完善，措施安排详尽，可行性强得5分; 服务承诺基本合理，措施安排基本到位，有一定可行性得3分； 服务承诺不合理，措施安排不到位，可行性不强，得1分；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符合性及方案响应.docx</w:t>
            </w:r>
          </w:p>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详见附件：符合性及方案响应.docx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详见附件：符合性及方案响应.docx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