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版本号：ZXGJ-YLZB-2025（19）20250619001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西安高新区集贤园老大路应急污水处理站运维服务项目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ZXGJ-YLZB-2025（19）</w:t>
      </w:r>
      <w:r>
        <w:br/>
      </w:r>
      <w:r>
        <w:br/>
      </w:r>
      <w:r>
        <w:br/>
      </w:r>
    </w:p>
    <w:p>
      <w:pPr>
        <w:pStyle w:val="null3"/>
        <w:jc w:val="center"/>
        <w:outlineLvl w:val="2"/>
      </w:pPr>
      <w:r>
        <w:rPr>
          <w:rFonts w:ascii="仿宋_GB2312" w:hAnsi="仿宋_GB2312" w:cs="仿宋_GB2312" w:eastAsia="仿宋_GB2312"/>
          <w:sz w:val="28"/>
          <w:b/>
        </w:rPr>
        <w:t>西安高新技术产业开发区集贤园发展中心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西安高新技术产业开发区集贤园发展中心</w:t>
      </w:r>
      <w:r>
        <w:rPr>
          <w:rFonts w:ascii="仿宋_GB2312" w:hAnsi="仿宋_GB2312" w:cs="仿宋_GB2312" w:eastAsia="仿宋_GB2312"/>
        </w:rPr>
        <w:t>委托，拟对</w:t>
      </w:r>
      <w:r>
        <w:rPr>
          <w:rFonts w:ascii="仿宋_GB2312" w:hAnsi="仿宋_GB2312" w:cs="仿宋_GB2312" w:eastAsia="仿宋_GB2312"/>
        </w:rPr>
        <w:t>西安高新区集贤园老大路应急污水处理站运维服务项目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ZXGJ-YLZB-2025（19）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西安高新区集贤园老大路应急污水处理站运维服务项目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本项目应急处理规模2000m³/d，将采用“临时租赁”一体化污水处理设备+委托运维模式。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采购包1（西安高新区集贤园老大路应急污水处理站运维服务项目）：属于专门面向中小企业采购。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①2023或2024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pPr>
        <w:pStyle w:val="null3"/>
      </w:pPr>
      <w:r>
        <w:rPr>
          <w:rFonts w:ascii="仿宋_GB2312" w:hAnsi="仿宋_GB2312" w:cs="仿宋_GB2312" w:eastAsia="仿宋_GB2312"/>
        </w:rPr>
        <w:t>3、具有履行合同所必需的设备和专业技术能力提供声明文件：具有履行合同所必需的设备和专业技术能力提供声明文件；</w:t>
      </w:r>
    </w:p>
    <w:p>
      <w:pPr>
        <w:pStyle w:val="null3"/>
      </w:pPr>
      <w:r>
        <w:rPr>
          <w:rFonts w:ascii="仿宋_GB2312" w:hAnsi="仿宋_GB2312" w:cs="仿宋_GB2312" w:eastAsia="仿宋_GB2312"/>
        </w:rPr>
        <w:t>4、具有依法缴纳税收的良好记录：提供缴费所属日期为投标截止时间前12个月内任一月份（投标截止时间当月不计入）的增值税（或所得税）缴费凭据或税务机关出具的完税证明，依法免税的单位应提供相关证明材料；</w:t>
      </w:r>
    </w:p>
    <w:p>
      <w:pPr>
        <w:pStyle w:val="null3"/>
      </w:pPr>
      <w:r>
        <w:rPr>
          <w:rFonts w:ascii="仿宋_GB2312" w:hAnsi="仿宋_GB2312" w:cs="仿宋_GB2312" w:eastAsia="仿宋_GB2312"/>
        </w:rPr>
        <w:t>5、具有依法缴纳社会保障资金的良好记录：提供缴费所属日期为投标截止时间前12个月内任一月份（投标截止时间当月不计入）的缴费凭据或社保机关出具的缴费证明；依法不需要缴纳社会保障资金的单位应提供相关证明材料；</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人代表授权书：投标人应授权合法的人员参加投标全过程，其中法定代表人直接参加投标的，须出具法人身份证，并与营业执照上信息一致。法定代表人授权代表参加投标的，须出具法定代表人授权书及被授权人投标截止时间前一个月（投标截止时间当月不计入）的社会保险缴纳证明；</w:t>
      </w:r>
    </w:p>
    <w:p>
      <w:pPr>
        <w:pStyle w:val="null3"/>
      </w:pPr>
      <w:r>
        <w:rPr>
          <w:rFonts w:ascii="仿宋_GB2312" w:hAnsi="仿宋_GB2312" w:cs="仿宋_GB2312" w:eastAsia="仿宋_GB2312"/>
        </w:rPr>
        <w:t>8、信用证明：投标人不得为“信用中国”网站（www.creditchina.gov.cn）和中国政府采购网（www.ccgp.gov.cn）中被列入失信被执行人、重大税收违法失信主体、政府采购严重违法失信行为记录名单的单位；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9、其他要求：单位负责人为同一人或者存在直接控股、管理关系的不同供应商，不得参加本次采购活动。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西安高新技术产业开发区集贤园发展中心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西安市周至县秦创原太周创新产业园2号楼12层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15902994267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代理服务费收费标准：采购代理服务费的金额以成交金额为基数参照原《国家计委关于印发&lt;招标代理服务收费管理暂行办法&gt;的通知》（计价格【2002】1980号）计算标准下浮30%执行。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西安高新技术产业开发区集贤园发展中心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西安高新技术产业开发区集贤园发展中心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西安高新技术产业开发区集贤园发展中心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本项目应急处理规模2000m³/d，将采用“临时租赁”一体化污水处理设备+委托运维模式。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1,999,800.00</w:t>
      </w:r>
    </w:p>
    <w:p>
      <w:pPr>
        <w:pStyle w:val="null3"/>
      </w:pPr>
      <w:r>
        <w:rPr>
          <w:rFonts w:ascii="仿宋_GB2312" w:hAnsi="仿宋_GB2312" w:cs="仿宋_GB2312" w:eastAsia="仿宋_GB2312"/>
        </w:rPr>
        <w:t>采购包最高限价（元）: 1,999,800.00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西安高新区集贤园老大路应急污水处理站运维服务项目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标的名称：西安高新区集贤园老大路应急污水处理站运维服务项目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项目概况</w:t>
            </w:r>
          </w:p>
          <w:p>
            <w:pPr>
              <w:pStyle w:val="null3"/>
              <w:ind w:firstLine="480"/>
              <w:jc w:val="left"/>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应急处理规模</w:t>
            </w:r>
            <w:r>
              <w:rPr>
                <w:rFonts w:ascii="仿宋_GB2312" w:hAnsi="仿宋_GB2312" w:cs="仿宋_GB2312" w:eastAsia="仿宋_GB2312"/>
                <w:sz w:val="24"/>
                <w:color w:val="000000"/>
              </w:rPr>
              <w:t>2</w:t>
            </w:r>
            <w:r>
              <w:rPr>
                <w:rFonts w:ascii="仿宋_GB2312" w:hAnsi="仿宋_GB2312" w:cs="仿宋_GB2312" w:eastAsia="仿宋_GB2312"/>
                <w:sz w:val="24"/>
                <w:color w:val="000000"/>
              </w:rPr>
              <w:t>000m³/d</w:t>
            </w:r>
            <w:r>
              <w:rPr>
                <w:rFonts w:ascii="仿宋_GB2312" w:hAnsi="仿宋_GB2312" w:cs="仿宋_GB2312" w:eastAsia="仿宋_GB2312"/>
                <w:sz w:val="24"/>
                <w:color w:val="000000"/>
              </w:rPr>
              <w:t>，将采用</w:t>
            </w:r>
            <w:r>
              <w:rPr>
                <w:rFonts w:ascii="仿宋_GB2312" w:hAnsi="仿宋_GB2312" w:cs="仿宋_GB2312" w:eastAsia="仿宋_GB2312"/>
                <w:sz w:val="24"/>
                <w:color w:val="000000"/>
              </w:rPr>
              <w:t>“</w:t>
            </w:r>
            <w:r>
              <w:rPr>
                <w:rFonts w:ascii="仿宋_GB2312" w:hAnsi="仿宋_GB2312" w:cs="仿宋_GB2312" w:eastAsia="仿宋_GB2312"/>
                <w:sz w:val="24"/>
                <w:color w:val="000000"/>
              </w:rPr>
              <w:t>临时租赁</w:t>
            </w:r>
            <w:r>
              <w:rPr>
                <w:rFonts w:ascii="仿宋_GB2312" w:hAnsi="仿宋_GB2312" w:cs="仿宋_GB2312" w:eastAsia="仿宋_GB2312"/>
                <w:sz w:val="24"/>
                <w:color w:val="000000"/>
              </w:rPr>
              <w:t>”</w:t>
            </w:r>
            <w:r>
              <w:rPr>
                <w:rFonts w:ascii="仿宋_GB2312" w:hAnsi="仿宋_GB2312" w:cs="仿宋_GB2312" w:eastAsia="仿宋_GB2312"/>
                <w:sz w:val="24"/>
                <w:color w:val="000000"/>
              </w:rPr>
              <w:t>一体化污水处理</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委托</w:t>
            </w:r>
            <w:r>
              <w:rPr>
                <w:rFonts w:ascii="仿宋_GB2312" w:hAnsi="仿宋_GB2312" w:cs="仿宋_GB2312" w:eastAsia="仿宋_GB2312"/>
                <w:sz w:val="24"/>
                <w:color w:val="000000"/>
              </w:rPr>
              <w:t>运维</w:t>
            </w:r>
            <w:r>
              <w:rPr>
                <w:rFonts w:ascii="仿宋_GB2312" w:hAnsi="仿宋_GB2312" w:cs="仿宋_GB2312" w:eastAsia="仿宋_GB2312"/>
                <w:sz w:val="24"/>
                <w:color w:val="000000"/>
              </w:rPr>
              <w:t>模式。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left"/>
            </w:pPr>
            <w:r>
              <w:rPr>
                <w:rFonts w:ascii="仿宋_GB2312" w:hAnsi="仿宋_GB2312" w:cs="仿宋_GB2312" w:eastAsia="仿宋_GB2312"/>
                <w:sz w:val="24"/>
                <w:b/>
              </w:rPr>
              <w:t>二、服务模式</w:t>
            </w:r>
          </w:p>
          <w:p>
            <w:pPr>
              <w:pStyle w:val="null3"/>
              <w:ind w:firstLine="480"/>
              <w:jc w:val="left"/>
            </w:pPr>
            <w:r>
              <w:rPr>
                <w:rFonts w:ascii="仿宋_GB2312" w:hAnsi="仿宋_GB2312" w:cs="仿宋_GB2312" w:eastAsia="仿宋_GB2312"/>
                <w:sz w:val="24"/>
                <w:color w:val="000000"/>
              </w:rPr>
              <w:t>拟建应急污水处理站</w:t>
            </w:r>
            <w:r>
              <w:rPr>
                <w:rFonts w:ascii="仿宋_GB2312" w:hAnsi="仿宋_GB2312" w:cs="仿宋_GB2312" w:eastAsia="仿宋_GB2312"/>
                <w:sz w:val="24"/>
                <w:color w:val="000000"/>
              </w:rPr>
              <w:t>项目地址位于陕西省西安市周至县</w:t>
            </w:r>
            <w:r>
              <w:rPr>
                <w:rFonts w:ascii="仿宋_GB2312" w:hAnsi="仿宋_GB2312" w:cs="仿宋_GB2312" w:eastAsia="仿宋_GB2312"/>
                <w:sz w:val="24"/>
                <w:color w:val="000000"/>
              </w:rPr>
              <w:t>集贤园老大路</w:t>
            </w:r>
            <w:r>
              <w:rPr>
                <w:rFonts w:ascii="仿宋_GB2312" w:hAnsi="仿宋_GB2312" w:cs="仿宋_GB2312" w:eastAsia="仿宋_GB2312"/>
                <w:sz w:val="24"/>
                <w:color w:val="000000"/>
              </w:rPr>
              <w:t>，应急总处理规模为</w:t>
            </w:r>
            <w:r>
              <w:rPr>
                <w:rFonts w:ascii="仿宋_GB2312" w:hAnsi="仿宋_GB2312" w:cs="仿宋_GB2312" w:eastAsia="仿宋_GB2312"/>
                <w:sz w:val="24"/>
                <w:color w:val="000000"/>
              </w:rPr>
              <w:t>2</w:t>
            </w:r>
            <w:r>
              <w:rPr>
                <w:rFonts w:ascii="仿宋_GB2312" w:hAnsi="仿宋_GB2312" w:cs="仿宋_GB2312" w:eastAsia="仿宋_GB2312"/>
                <w:sz w:val="24"/>
                <w:color w:val="000000"/>
              </w:rPr>
              <w:t>000m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/d</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采用设备租赁</w:t>
            </w:r>
            <w:r>
              <w:rPr>
                <w:rFonts w:ascii="仿宋_GB2312" w:hAnsi="仿宋_GB2312" w:cs="仿宋_GB2312" w:eastAsia="仿宋_GB2312"/>
                <w:sz w:val="24"/>
                <w:color w:val="000000"/>
              </w:rPr>
              <w:t>+</w:t>
            </w:r>
            <w:r>
              <w:rPr>
                <w:rFonts w:ascii="仿宋_GB2312" w:hAnsi="仿宋_GB2312" w:cs="仿宋_GB2312" w:eastAsia="仿宋_GB2312"/>
                <w:sz w:val="24"/>
                <w:color w:val="000000"/>
              </w:rPr>
              <w:t>委托运维模式，服务期内，运维单位提供一体化污水处理应急设备，并负责设计、运输、安装、调试、运行、维护等，服务期满后，运维单位负责将污水处理设备进行拆除回收。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进</w:t>
            </w:r>
            <w:r>
              <w:rPr>
                <w:rFonts w:ascii="仿宋_GB2312" w:hAnsi="仿宋_GB2312" w:cs="仿宋_GB2312" w:eastAsia="仿宋_GB2312"/>
                <w:sz w:val="24"/>
                <w:b/>
                <w:color w:val="000000"/>
              </w:rPr>
              <w:t>水水</w:t>
            </w:r>
            <w:r>
              <w:rPr>
                <w:rFonts w:ascii="仿宋_GB2312" w:hAnsi="仿宋_GB2312" w:cs="仿宋_GB2312" w:eastAsia="仿宋_GB2312"/>
                <w:sz w:val="24"/>
                <w:b/>
                <w:color w:val="000000"/>
              </w:rPr>
              <w:t>质情况</w:t>
            </w:r>
            <w:r>
              <w:rPr>
                <w:rFonts w:ascii="仿宋_GB2312" w:hAnsi="仿宋_GB2312" w:cs="仿宋_GB2312" w:eastAsia="仿宋_GB2312"/>
                <w:sz w:val="24"/>
                <w:b/>
                <w:color w:val="000000"/>
              </w:rPr>
              <w:t>、出水要求</w:t>
            </w:r>
          </w:p>
          <w:p>
            <w:pPr>
              <w:pStyle w:val="null3"/>
              <w:ind w:firstLine="482"/>
              <w:jc w:val="left"/>
            </w:pPr>
            <w:r>
              <w:rPr>
                <w:rFonts w:ascii="仿宋_GB2312" w:hAnsi="仿宋_GB2312" w:cs="仿宋_GB2312" w:eastAsia="仿宋_GB2312"/>
                <w:sz w:val="24"/>
                <w:b/>
              </w:rPr>
              <w:t>1、进水水质情况</w:t>
            </w:r>
          </w:p>
          <w:p>
            <w:pPr>
              <w:pStyle w:val="null3"/>
              <w:ind w:firstLine="480"/>
              <w:jc w:val="left"/>
            </w:pPr>
            <w:r>
              <w:rPr>
                <w:rFonts w:ascii="仿宋_GB2312" w:hAnsi="仿宋_GB2312" w:cs="仿宋_GB2312" w:eastAsia="仿宋_GB2312"/>
                <w:sz w:val="24"/>
                <w:color w:val="000000"/>
              </w:rPr>
              <w:t>本项目污水来源主要为：园区及周边居民产生的生活污水的混合污水。其参考进水水质指标如下表：</w:t>
            </w:r>
          </w:p>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1</w:t>
            </w:r>
            <w:r>
              <w:rPr>
                <w:rFonts w:ascii="仿宋_GB2312" w:hAnsi="仿宋_GB2312" w:cs="仿宋_GB2312" w:eastAsia="仿宋_GB2312"/>
                <w:sz w:val="24"/>
              </w:rPr>
              <w:t>：项目进水水质表</w:t>
            </w:r>
          </w:p>
          <w:tbl>
            <w:tblPr>
              <w:tblBorders>
                <w:top w:val="none" w:color="000000" w:sz="4"/>
                <w:left w:val="none" w:color="000000" w:sz="4"/>
                <w:bottom w:val="none" w:color="000000" w:sz="4"/>
                <w:right w:val="none" w:color="000000" w:sz="4"/>
                <w:insideH w:val="none"/>
                <w:insideV w:val="none"/>
              </w:tblBorders>
            </w:tblPr>
            <w:tblGrid>
              <w:gridCol w:w="505"/>
              <w:gridCol w:w="290"/>
              <w:gridCol w:w="290"/>
              <w:gridCol w:w="290"/>
              <w:gridCol w:w="290"/>
              <w:gridCol w:w="290"/>
              <w:gridCol w:w="290"/>
              <w:gridCol w:w="290"/>
            </w:tblGrid>
            <w:tr>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项目</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pH</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CODcr</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BOD</w:t>
                  </w:r>
                  <w:r>
                    <w:rPr>
                      <w:rFonts w:ascii="仿宋_GB2312" w:hAnsi="仿宋_GB2312" w:cs="仿宋_GB2312" w:eastAsia="仿宋_GB2312"/>
                      <w:sz w:val="24"/>
                      <w:vertAlign w:val="subscript"/>
                    </w:rPr>
                    <w:t>5</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SS</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NH3-N</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TN</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TP</w:t>
                  </w:r>
                </w:p>
              </w:tc>
            </w:tr>
            <w:tr>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进水水质</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6-9</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500</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260</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400</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55</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r>
          </w:tbl>
          <w:p>
            <w:pPr>
              <w:pStyle w:val="null3"/>
              <w:spacing w:before="120"/>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、出水水质排放标准</w:t>
            </w:r>
          </w:p>
          <w:p>
            <w:pPr>
              <w:pStyle w:val="null3"/>
              <w:jc w:val="both"/>
            </w:pPr>
            <w:r>
              <w:rPr>
                <w:rFonts w:ascii="仿宋_GB2312" w:hAnsi="仿宋_GB2312" w:cs="仿宋_GB2312" w:eastAsia="仿宋_GB2312"/>
                <w:sz w:val="24"/>
                <w:color w:val="000000"/>
              </w:rPr>
              <w:t>满足《陕西省黄河流域污水综合排放标准》</w:t>
            </w:r>
            <w:r>
              <w:rPr>
                <w:rFonts w:ascii="仿宋_GB2312" w:hAnsi="仿宋_GB2312" w:cs="仿宋_GB2312" w:eastAsia="仿宋_GB2312"/>
                <w:sz w:val="24"/>
                <w:color w:val="000000"/>
              </w:rPr>
              <w:t>DB61/224-2018</w:t>
            </w:r>
            <w:r>
              <w:rPr>
                <w:rFonts w:ascii="仿宋_GB2312" w:hAnsi="仿宋_GB2312" w:cs="仿宋_GB2312" w:eastAsia="仿宋_GB2312"/>
                <w:sz w:val="24"/>
                <w:color w:val="000000"/>
              </w:rPr>
              <w:t>表</w:t>
            </w:r>
            <w:r>
              <w:rPr>
                <w:rFonts w:ascii="仿宋_GB2312" w:hAnsi="仿宋_GB2312" w:cs="仿宋_GB2312" w:eastAsia="仿宋_GB2312"/>
                <w:sz w:val="24"/>
                <w:color w:val="000000"/>
              </w:rPr>
              <w:t>1</w:t>
            </w:r>
            <w:r>
              <w:rPr>
                <w:rFonts w:ascii="仿宋_GB2312" w:hAnsi="仿宋_GB2312" w:cs="仿宋_GB2312" w:eastAsia="仿宋_GB2312"/>
                <w:sz w:val="24"/>
                <w:color w:val="000000"/>
              </w:rPr>
              <w:t>中</w:t>
            </w:r>
            <w:r>
              <w:rPr>
                <w:rFonts w:ascii="仿宋_GB2312" w:hAnsi="仿宋_GB2312" w:cs="仿宋_GB2312" w:eastAsia="仿宋_GB2312"/>
                <w:sz w:val="24"/>
                <w:color w:val="000000"/>
              </w:rPr>
              <w:t>A</w:t>
            </w:r>
            <w:r>
              <w:rPr>
                <w:rFonts w:ascii="仿宋_GB2312" w:hAnsi="仿宋_GB2312" w:cs="仿宋_GB2312" w:eastAsia="仿宋_GB2312"/>
                <w:sz w:val="24"/>
                <w:color w:val="000000"/>
              </w:rPr>
              <w:t>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四、技术服务要求</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、技术规格要求</w:t>
            </w:r>
          </w:p>
          <w:p>
            <w:pPr>
              <w:pStyle w:val="null3"/>
              <w:spacing w:before="120"/>
              <w:jc w:val="center"/>
            </w:pPr>
            <w:r>
              <w:rPr>
                <w:rFonts w:ascii="仿宋_GB2312" w:hAnsi="仿宋_GB2312" w:cs="仿宋_GB2312" w:eastAsia="仿宋_GB2312"/>
                <w:sz w:val="24"/>
              </w:rPr>
              <w:t>表</w:t>
            </w:r>
            <w:r>
              <w:rPr>
                <w:rFonts w:ascii="仿宋_GB2312" w:hAnsi="仿宋_GB2312" w:cs="仿宋_GB2312" w:eastAsia="仿宋_GB2312"/>
                <w:sz w:val="24"/>
              </w:rPr>
              <w:t>2  技术规格要求</w:t>
            </w:r>
          </w:p>
          <w:tbl>
            <w:tblPr>
              <w:tblInd w:type="dxa" w:w="120"/>
              <w:tblBorders>
                <w:top w:val="none" w:color="000000" w:sz="4"/>
                <w:left w:val="none" w:color="000000" w:sz="4"/>
                <w:bottom w:val="none" w:color="000000" w:sz="4"/>
                <w:right w:val="none" w:color="000000" w:sz="4"/>
                <w:insideH w:val="none"/>
                <w:insideV w:val="none"/>
              </w:tblBorders>
            </w:tblPr>
            <w:tblGrid>
              <w:gridCol w:w="203"/>
              <w:gridCol w:w="457"/>
              <w:gridCol w:w="1884"/>
            </w:tblGrid>
            <w:tr>
              <w:tc>
                <w:tcPr>
                  <w:tcW w:type="dxa" w:w="2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b/>
                    </w:rPr>
                    <w:t>序号</w:t>
                  </w:r>
                </w:p>
              </w:tc>
              <w:tc>
                <w:tcPr>
                  <w:tcW w:type="dxa" w:w="4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b/>
                    </w:rPr>
                    <w:t>项目</w:t>
                  </w:r>
                </w:p>
              </w:tc>
              <w:tc>
                <w:tcPr>
                  <w:tcW w:type="dxa" w:w="18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b/>
                    </w:rPr>
                    <w:t>要求</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1</w:t>
                  </w:r>
                </w:p>
              </w:tc>
              <w:tc>
                <w:tcPr>
                  <w:tcW w:type="dxa" w:w="4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处理量</w:t>
                  </w:r>
                </w:p>
              </w:tc>
              <w:tc>
                <w:tcPr>
                  <w:tcW w:type="dxa" w:w="18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center"/>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00</w:t>
                  </w:r>
                  <w:r>
                    <w:rPr>
                      <w:rFonts w:ascii="仿宋_GB2312" w:hAnsi="仿宋_GB2312" w:cs="仿宋_GB2312" w:eastAsia="仿宋_GB2312"/>
                      <w:sz w:val="24"/>
                    </w:rPr>
                    <w:t>吨</w:t>
                  </w:r>
                  <w:r>
                    <w:rPr>
                      <w:rFonts w:ascii="仿宋_GB2312" w:hAnsi="仿宋_GB2312" w:cs="仿宋_GB2312" w:eastAsia="仿宋_GB2312"/>
                      <w:sz w:val="24"/>
                    </w:rPr>
                    <w:t>/</w:t>
                  </w:r>
                  <w:r>
                    <w:rPr>
                      <w:rFonts w:ascii="仿宋_GB2312" w:hAnsi="仿宋_GB2312" w:cs="仿宋_GB2312" w:eastAsia="仿宋_GB2312"/>
                      <w:sz w:val="24"/>
                    </w:rPr>
                    <w:t>日</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2</w:t>
                  </w:r>
                </w:p>
              </w:tc>
              <w:tc>
                <w:tcPr>
                  <w:tcW w:type="dxa" w:w="4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处理工艺</w:t>
                  </w:r>
                </w:p>
              </w:tc>
              <w:tc>
                <w:tcPr>
                  <w:tcW w:type="dxa" w:w="18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center"/>
                  </w:pPr>
                  <w:r>
                    <w:rPr>
                      <w:rFonts w:ascii="仿宋_GB2312" w:hAnsi="仿宋_GB2312" w:cs="仿宋_GB2312" w:eastAsia="仿宋_GB2312"/>
                      <w:sz w:val="24"/>
                    </w:rPr>
                    <w:t>A²/0+MBR</w:t>
                  </w:r>
                  <w:r>
                    <w:rPr>
                      <w:rFonts w:ascii="仿宋_GB2312" w:hAnsi="仿宋_GB2312" w:cs="仿宋_GB2312" w:eastAsia="仿宋_GB2312"/>
                      <w:sz w:val="24"/>
                    </w:rPr>
                    <w:t>工艺</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3</w:t>
                  </w:r>
                </w:p>
              </w:tc>
              <w:tc>
                <w:tcPr>
                  <w:tcW w:type="dxa" w:w="4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设备材质</w:t>
                  </w:r>
                </w:p>
              </w:tc>
              <w:tc>
                <w:tcPr>
                  <w:tcW w:type="dxa" w:w="18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center"/>
                  </w:pPr>
                  <w:r>
                    <w:rPr>
                      <w:rFonts w:ascii="仿宋_GB2312" w:hAnsi="仿宋_GB2312" w:cs="仿宋_GB2312" w:eastAsia="仿宋_GB2312"/>
                      <w:sz w:val="24"/>
                    </w:rPr>
                    <w:t>设备主体采用碳钢防腐材质</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4</w:t>
                  </w:r>
                </w:p>
              </w:tc>
              <w:tc>
                <w:tcPr>
                  <w:tcW w:type="dxa" w:w="4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电源电压</w:t>
                  </w:r>
                </w:p>
              </w:tc>
              <w:tc>
                <w:tcPr>
                  <w:tcW w:type="dxa" w:w="18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center"/>
                  </w:pPr>
                  <w:r>
                    <w:rPr>
                      <w:rFonts w:ascii="仿宋_GB2312" w:hAnsi="仿宋_GB2312" w:cs="仿宋_GB2312" w:eastAsia="仿宋_GB2312"/>
                      <w:sz w:val="24"/>
                    </w:rPr>
                    <w:t>380V</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5</w:t>
                  </w:r>
                </w:p>
              </w:tc>
              <w:tc>
                <w:tcPr>
                  <w:tcW w:type="dxa" w:w="4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安装方式</w:t>
                  </w:r>
                </w:p>
              </w:tc>
              <w:tc>
                <w:tcPr>
                  <w:tcW w:type="dxa" w:w="18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center"/>
                  </w:pPr>
                  <w:r>
                    <w:rPr>
                      <w:rFonts w:ascii="仿宋_GB2312" w:hAnsi="仿宋_GB2312" w:cs="仿宋_GB2312" w:eastAsia="仿宋_GB2312"/>
                      <w:sz w:val="24"/>
                    </w:rPr>
                    <w:t>地上式安装</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6</w:t>
                  </w:r>
                </w:p>
              </w:tc>
              <w:tc>
                <w:tcPr>
                  <w:tcW w:type="dxa" w:w="4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控制要求</w:t>
                  </w:r>
                </w:p>
              </w:tc>
              <w:tc>
                <w:tcPr>
                  <w:tcW w:type="dxa" w:w="18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center"/>
                  </w:pPr>
                  <w:r>
                    <w:rPr>
                      <w:rFonts w:ascii="仿宋_GB2312" w:hAnsi="仿宋_GB2312" w:cs="仿宋_GB2312" w:eastAsia="仿宋_GB2312"/>
                      <w:sz w:val="24"/>
                    </w:rPr>
                    <w:t>全自动运行，可手自动运行切换</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7</w:t>
                  </w:r>
                </w:p>
              </w:tc>
              <w:tc>
                <w:tcPr>
                  <w:tcW w:type="dxa" w:w="4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rPr>
                    <w:t>MBR</w:t>
                  </w:r>
                  <w:r>
                    <w:rPr>
                      <w:rFonts w:ascii="仿宋_GB2312" w:hAnsi="仿宋_GB2312" w:cs="仿宋_GB2312" w:eastAsia="仿宋_GB2312"/>
                      <w:sz w:val="24"/>
                    </w:rPr>
                    <w:t>膜要求</w:t>
                  </w:r>
                </w:p>
              </w:tc>
              <w:tc>
                <w:tcPr>
                  <w:tcW w:type="dxa" w:w="18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4"/>
                    </w:rPr>
                    <w:t>中空纤维帘式膜组件，膜材质：</w:t>
                  </w:r>
                  <w:r>
                    <w:rPr>
                      <w:rFonts w:ascii="仿宋_GB2312" w:hAnsi="仿宋_GB2312" w:cs="仿宋_GB2312" w:eastAsia="仿宋_GB2312"/>
                      <w:sz w:val="24"/>
                    </w:rPr>
                    <w:t>PVDF</w:t>
                  </w:r>
                  <w:r>
                    <w:rPr>
                      <w:rFonts w:ascii="仿宋_GB2312" w:hAnsi="仿宋_GB2312" w:cs="仿宋_GB2312" w:eastAsia="仿宋_GB2312"/>
                      <w:sz w:val="24"/>
                    </w:rPr>
                    <w:t>复合膜</w:t>
                  </w:r>
                  <w:r>
                    <w:rPr>
                      <w:rFonts w:ascii="仿宋_GB2312" w:hAnsi="仿宋_GB2312" w:cs="仿宋_GB2312" w:eastAsia="仿宋_GB2312"/>
                      <w:sz w:val="24"/>
                    </w:rPr>
                    <w:t>(</w:t>
                  </w:r>
                  <w:r>
                    <w:rPr>
                      <w:rFonts w:ascii="仿宋_GB2312" w:hAnsi="仿宋_GB2312" w:cs="仿宋_GB2312" w:eastAsia="仿宋_GB2312"/>
                      <w:sz w:val="24"/>
                    </w:rPr>
                    <w:t>带加强支撑层</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平均膜孔径：</w:t>
                  </w:r>
                  <w:r>
                    <w:rPr>
                      <w:rFonts w:ascii="仿宋_GB2312" w:hAnsi="仿宋_GB2312" w:cs="仿宋_GB2312" w:eastAsia="仿宋_GB2312"/>
                      <w:sz w:val="24"/>
                    </w:rPr>
                    <w:t>≤0.4μm</w:t>
                  </w:r>
                  <w:r>
                    <w:rPr>
                      <w:rFonts w:ascii="仿宋_GB2312" w:hAnsi="仿宋_GB2312" w:cs="仿宋_GB2312" w:eastAsia="仿宋_GB2312"/>
                      <w:sz w:val="24"/>
                    </w:rPr>
                    <w:t>，</w:t>
                  </w:r>
                  <w:r>
                    <w:rPr>
                      <w:rFonts w:ascii="仿宋_GB2312" w:hAnsi="仿宋_GB2312" w:cs="仿宋_GB2312" w:eastAsia="仿宋_GB2312"/>
                      <w:sz w:val="24"/>
                    </w:rPr>
                    <w:t>抗拉强度：</w:t>
                  </w:r>
                  <w:r>
                    <w:rPr>
                      <w:rFonts w:ascii="仿宋_GB2312" w:hAnsi="仿宋_GB2312" w:cs="仿宋_GB2312" w:eastAsia="仿宋_GB2312"/>
                      <w:sz w:val="24"/>
                    </w:rPr>
                    <w:t>≥100N</w:t>
                  </w:r>
                  <w:r>
                    <w:rPr>
                      <w:rFonts w:ascii="仿宋_GB2312" w:hAnsi="仿宋_GB2312" w:cs="仿宋_GB2312" w:eastAsia="仿宋_GB2312"/>
                      <w:sz w:val="24"/>
                    </w:rPr>
                    <w:t>。</w:t>
                  </w:r>
                </w:p>
              </w:tc>
            </w:tr>
          </w:tbl>
          <w:p>
            <w:pPr>
              <w:pStyle w:val="null3"/>
              <w:spacing w:before="120"/>
              <w:ind w:firstLine="482"/>
              <w:jc w:val="both"/>
            </w:pPr>
            <w:r>
              <w:rPr>
                <w:rFonts w:ascii="仿宋_GB2312" w:hAnsi="仿宋_GB2312" w:cs="仿宋_GB2312" w:eastAsia="仿宋_GB2312"/>
                <w:sz w:val="24"/>
                <w:b/>
              </w:rPr>
              <w:t>2、技术服务要求</w:t>
            </w:r>
          </w:p>
          <w:p>
            <w:pPr>
              <w:pStyle w:val="null3"/>
              <w:ind w:firstLine="480"/>
              <w:jc w:val="left"/>
            </w:pPr>
            <w:r>
              <w:rPr>
                <w:rFonts w:ascii="仿宋_GB2312" w:hAnsi="仿宋_GB2312" w:cs="仿宋_GB2312" w:eastAsia="仿宋_GB2312"/>
                <w:sz w:val="24"/>
                <w:color w:val="000000"/>
              </w:rPr>
              <w:t xml:space="preserve">2.1 </w:t>
            </w:r>
            <w:r>
              <w:rPr>
                <w:rFonts w:ascii="仿宋_GB2312" w:hAnsi="仿宋_GB2312" w:cs="仿宋_GB2312" w:eastAsia="仿宋_GB2312"/>
                <w:sz w:val="24"/>
                <w:color w:val="000000"/>
              </w:rPr>
              <w:t>供货：</w:t>
            </w:r>
          </w:p>
          <w:p>
            <w:pPr>
              <w:pStyle w:val="null3"/>
              <w:ind w:firstLine="480"/>
              <w:jc w:val="left"/>
            </w:pPr>
            <w:r>
              <w:rPr>
                <w:rFonts w:ascii="仿宋_GB2312" w:hAnsi="仿宋_GB2312" w:cs="仿宋_GB2312" w:eastAsia="仿宋_GB2312"/>
                <w:sz w:val="24"/>
                <w:color w:val="000000"/>
              </w:rPr>
              <w:t>采购人负责提供场地以及通水、通路、通电。供应商负责污水处理服务所需要的相关设施设备的供货、安装、调试，供应商需自行完成进出水管线铺设、外接电源、污泥管道等配套基础设施。</w:t>
            </w:r>
          </w:p>
          <w:p>
            <w:pPr>
              <w:pStyle w:val="null3"/>
              <w:ind w:firstLine="480"/>
              <w:jc w:val="left"/>
            </w:pP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运营：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供应商负责此次租赁的污水处理设备的日常运营，确保污水处理设施运行正常，出水水质达标排放。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供应商应制订污水处理管理应急预案，确保紧急情况下对污水的妥善处置。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供应商负责污水临时处理设施产生的污泥规范化处理，包括但不限于无害化处置、焚烧处置、园林绿化利用、资源化利用等方式，处置方式需要达到当地环保要求，费用由供应商承担。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供应商应建立完备的检测、记录、存档和报告制度，运行期满将档案资料移交给采购人。</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b/>
              </w:rPr>
              <w:t>运行服务要求</w:t>
            </w:r>
          </w:p>
          <w:p>
            <w:pPr>
              <w:pStyle w:val="null3"/>
              <w:ind w:firstLine="480"/>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在污水处理设备运营期内，供应商确保设备的正常使用，采购人按《陕西省黄河流域污水综合排放标准》</w:t>
            </w:r>
            <w:r>
              <w:rPr>
                <w:rFonts w:ascii="仿宋_GB2312" w:hAnsi="仿宋_GB2312" w:cs="仿宋_GB2312" w:eastAsia="仿宋_GB2312"/>
                <w:sz w:val="24"/>
                <w:color w:val="000000"/>
              </w:rPr>
              <w:t xml:space="preserve">DB61/224-2018 </w:t>
            </w:r>
            <w:r>
              <w:rPr>
                <w:rFonts w:ascii="仿宋_GB2312" w:hAnsi="仿宋_GB2312" w:cs="仿宋_GB2312" w:eastAsia="仿宋_GB2312"/>
                <w:sz w:val="24"/>
                <w:color w:val="000000"/>
              </w:rPr>
              <w:t>表</w:t>
            </w:r>
            <w:r>
              <w:rPr>
                <w:rFonts w:ascii="仿宋_GB2312" w:hAnsi="仿宋_GB2312" w:cs="仿宋_GB2312" w:eastAsia="仿宋_GB2312"/>
                <w:sz w:val="24"/>
                <w:color w:val="000000"/>
              </w:rPr>
              <w:t>1</w:t>
            </w:r>
            <w:r>
              <w:rPr>
                <w:rFonts w:ascii="仿宋_GB2312" w:hAnsi="仿宋_GB2312" w:cs="仿宋_GB2312" w:eastAsia="仿宋_GB2312"/>
                <w:sz w:val="24"/>
                <w:color w:val="000000"/>
              </w:rPr>
              <w:t>中</w:t>
            </w:r>
            <w:r>
              <w:rPr>
                <w:rFonts w:ascii="仿宋_GB2312" w:hAnsi="仿宋_GB2312" w:cs="仿宋_GB2312" w:eastAsia="仿宋_GB2312"/>
                <w:sz w:val="24"/>
                <w:color w:val="000000"/>
              </w:rPr>
              <w:t>A</w:t>
            </w:r>
            <w:r>
              <w:rPr>
                <w:rFonts w:ascii="仿宋_GB2312" w:hAnsi="仿宋_GB2312" w:cs="仿宋_GB2312" w:eastAsia="仿宋_GB2312"/>
                <w:sz w:val="24"/>
                <w:color w:val="000000"/>
              </w:rPr>
              <w:t>标准限制要求，委托第三方检测机构对处理后的污水水质进行检测。</w:t>
            </w:r>
          </w:p>
          <w:p>
            <w:pPr>
              <w:pStyle w:val="null3"/>
              <w:ind w:firstLine="480"/>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在服务期间，如因供应商管理、操作或经营不善等原因造成的人员安全事故、环境安全事故等一系列安全事故问题，均由供应商自行承担。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五、商务要求</w:t>
            </w:r>
          </w:p>
          <w:p>
            <w:pPr>
              <w:pStyle w:val="null3"/>
              <w:ind w:firstLine="482"/>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报价要求</w:t>
            </w:r>
          </w:p>
          <w:p>
            <w:pPr>
              <w:pStyle w:val="null3"/>
              <w:ind w:firstLine="480"/>
              <w:jc w:val="left"/>
            </w:pPr>
            <w:r>
              <w:rPr>
                <w:rFonts w:ascii="仿宋_GB2312" w:hAnsi="仿宋_GB2312" w:cs="仿宋_GB2312" w:eastAsia="仿宋_GB2312"/>
                <w:sz w:val="24"/>
                <w:color w:val="000000"/>
              </w:rPr>
              <w:t>供应商的报价是供应商响应项目要求的全部工作内容的价格体现，包括供应商完成本项目所需的一切费用。</w:t>
            </w:r>
            <w:r>
              <w:rPr>
                <w:rFonts w:ascii="仿宋_GB2312" w:hAnsi="仿宋_GB2312" w:cs="仿宋_GB2312" w:eastAsia="仿宋_GB2312"/>
                <w:sz w:val="24"/>
                <w:color w:val="000000"/>
              </w:rPr>
              <w:t>包含但不限于供应商完成</w:t>
            </w: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所投入</w:t>
            </w:r>
            <w:r>
              <w:rPr>
                <w:rFonts w:ascii="仿宋_GB2312" w:hAnsi="仿宋_GB2312" w:cs="仿宋_GB2312" w:eastAsia="仿宋_GB2312"/>
                <w:sz w:val="24"/>
                <w:color w:val="000000"/>
              </w:rPr>
              <w:t>的一体化</w:t>
            </w:r>
            <w:r>
              <w:rPr>
                <w:rFonts w:ascii="仿宋_GB2312" w:hAnsi="仿宋_GB2312" w:cs="仿宋_GB2312" w:eastAsia="仿宋_GB2312"/>
                <w:sz w:val="24"/>
                <w:color w:val="000000"/>
              </w:rPr>
              <w:t>污水处理设备的设备租赁、运输、安装、调试、运行、维护、污泥处置费、药剂费、人员费、化验费等所有费用，供应商在报价时应充分考虑其风险，中标后不做调整。</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服务期限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设备交付期：自</w:t>
            </w:r>
            <w:r>
              <w:rPr>
                <w:rFonts w:ascii="仿宋_GB2312" w:hAnsi="仿宋_GB2312" w:cs="仿宋_GB2312" w:eastAsia="仿宋_GB2312"/>
                <w:sz w:val="24"/>
                <w:color w:val="000000"/>
              </w:rPr>
              <w:t>合同签订之日</w:t>
            </w:r>
            <w:r>
              <w:rPr>
                <w:rFonts w:ascii="仿宋_GB2312" w:hAnsi="仿宋_GB2312" w:cs="仿宋_GB2312" w:eastAsia="仿宋_GB2312"/>
                <w:sz w:val="24"/>
                <w:color w:val="000000"/>
              </w:rPr>
              <w:t>起</w:t>
            </w:r>
            <w:r>
              <w:rPr>
                <w:rFonts w:ascii="仿宋_GB2312" w:hAnsi="仿宋_GB2312" w:cs="仿宋_GB2312" w:eastAsia="仿宋_GB2312"/>
                <w:sz w:val="24"/>
                <w:color w:val="000000"/>
              </w:rPr>
              <w:t>5</w:t>
            </w:r>
            <w:r>
              <w:rPr>
                <w:rFonts w:ascii="仿宋_GB2312" w:hAnsi="仿宋_GB2312" w:cs="仿宋_GB2312" w:eastAsia="仿宋_GB2312"/>
                <w:sz w:val="24"/>
                <w:color w:val="000000"/>
              </w:rPr>
              <w:t>日历天。</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安装调试期：自</w:t>
            </w:r>
            <w:r>
              <w:rPr>
                <w:rFonts w:ascii="仿宋_GB2312" w:hAnsi="仿宋_GB2312" w:cs="仿宋_GB2312" w:eastAsia="仿宋_GB2312"/>
                <w:sz w:val="24"/>
                <w:color w:val="000000"/>
              </w:rPr>
              <w:t>合同签订</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15</w:t>
            </w:r>
            <w:r>
              <w:rPr>
                <w:rFonts w:ascii="仿宋_GB2312" w:hAnsi="仿宋_GB2312" w:cs="仿宋_GB2312" w:eastAsia="仿宋_GB2312"/>
                <w:sz w:val="24"/>
                <w:color w:val="000000"/>
              </w:rPr>
              <w:t>日历天内，供应商完成安装和清水试车，通过初步验收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水质检测合格期限：自</w:t>
            </w:r>
            <w:r>
              <w:rPr>
                <w:rFonts w:ascii="仿宋_GB2312" w:hAnsi="仿宋_GB2312" w:cs="仿宋_GB2312" w:eastAsia="仿宋_GB2312"/>
                <w:sz w:val="24"/>
                <w:color w:val="000000"/>
              </w:rPr>
              <w:t>合同签订</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25</w:t>
            </w:r>
            <w:r>
              <w:rPr>
                <w:rFonts w:ascii="仿宋_GB2312" w:hAnsi="仿宋_GB2312" w:cs="仿宋_GB2312" w:eastAsia="仿宋_GB2312"/>
                <w:sz w:val="24"/>
                <w:color w:val="000000"/>
              </w:rPr>
              <w:t>日历天内，供应商完成工艺调试，通过水质验收。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期限</w:t>
            </w:r>
          </w:p>
          <w:p>
            <w:pPr>
              <w:pStyle w:val="null3"/>
              <w:ind w:firstLine="480"/>
              <w:jc w:val="left"/>
            </w:pP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个月</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考核及验收要求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初步验收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合同签订后，供应商设备抵运现场并安装</w:t>
            </w:r>
            <w:r>
              <w:rPr>
                <w:rFonts w:ascii="仿宋_GB2312" w:hAnsi="仿宋_GB2312" w:cs="仿宋_GB2312" w:eastAsia="仿宋_GB2312"/>
                <w:sz w:val="24"/>
                <w:color w:val="000000"/>
              </w:rPr>
              <w:t>完毕后，采购人在</w:t>
            </w:r>
            <w:r>
              <w:rPr>
                <w:rFonts w:ascii="仿宋_GB2312" w:hAnsi="仿宋_GB2312" w:cs="仿宋_GB2312" w:eastAsia="仿宋_GB2312"/>
                <w:sz w:val="24"/>
                <w:color w:val="000000"/>
              </w:rPr>
              <w:t>2个工作日内完成项目的初步验收。初步验收包括设备的型号、规格、外观、数量及清水试车等。初步验收合格后，出具初步验收合格确认单，开始起算服务期。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2）考核：服务期内，由采购方组织每三个月进行一次考核，出具阶段性考核表，可采取且不仅限于以下方式：</w:t>
            </w:r>
          </w:p>
          <w:p>
            <w:pPr>
              <w:pStyle w:val="null3"/>
              <w:ind w:firstLine="480"/>
              <w:jc w:val="left"/>
            </w:pPr>
            <w:r>
              <w:rPr>
                <w:rFonts w:ascii="仿宋_GB2312" w:hAnsi="仿宋_GB2312" w:cs="仿宋_GB2312" w:eastAsia="仿宋_GB2312"/>
                <w:sz w:val="24"/>
                <w:color w:val="000000"/>
              </w:rPr>
              <w:t>①对污水处理系统开展定期检查，主要检查出水情况（应无异味、颜色正常），设备运行、维护、监测记录及污泥堆放处置是否规范；</w:t>
            </w:r>
          </w:p>
          <w:p>
            <w:pPr>
              <w:pStyle w:val="null3"/>
              <w:ind w:firstLine="480"/>
              <w:jc w:val="left"/>
            </w:pPr>
            <w:r>
              <w:rPr>
                <w:rFonts w:ascii="仿宋_GB2312" w:hAnsi="仿宋_GB2312" w:cs="仿宋_GB2312" w:eastAsia="仿宋_GB2312"/>
                <w:sz w:val="24"/>
                <w:color w:val="000000"/>
              </w:rPr>
              <w:t>②每季度对污水处理站出水开展 1 次监督性监测，水质应达到服务要求约定的标准。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3）综合验收：服务期满且完成本项目服务内容及要求的所有内容，供应商向采购方提出验收申请，采购方接到供应商验收申请后组织综合验收，验收合格后，出具综合验收合格验收确认单。</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、招标标的及范围</w:t>
            </w:r>
          </w:p>
          <w:p>
            <w:pPr>
              <w:pStyle w:val="null3"/>
              <w:jc w:val="both"/>
            </w:pPr>
            <w:r>
              <w:rPr>
                <w:rFonts w:ascii="仿宋_GB2312" w:hAnsi="仿宋_GB2312" w:cs="仿宋_GB2312" w:eastAsia="仿宋_GB2312"/>
                <w:sz w:val="24"/>
                <w:color w:val="000000"/>
              </w:rPr>
              <w:t xml:space="preserve">  本项目包含</w:t>
            </w:r>
            <w:r>
              <w:rPr>
                <w:rFonts w:ascii="仿宋_GB2312" w:hAnsi="仿宋_GB2312" w:cs="仿宋_GB2312" w:eastAsia="仿宋_GB2312"/>
                <w:sz w:val="24"/>
                <w:color w:val="000000"/>
              </w:rPr>
              <w:t>一体化</w:t>
            </w:r>
            <w:r>
              <w:rPr>
                <w:rFonts w:ascii="仿宋_GB2312" w:hAnsi="仿宋_GB2312" w:cs="仿宋_GB2312" w:eastAsia="仿宋_GB2312"/>
                <w:sz w:val="24"/>
                <w:color w:val="000000"/>
              </w:rPr>
              <w:t>污水处理站（</w:t>
            </w:r>
            <w:r>
              <w:rPr>
                <w:rFonts w:ascii="仿宋_GB2312" w:hAnsi="仿宋_GB2312" w:cs="仿宋_GB2312" w:eastAsia="仿宋_GB2312"/>
                <w:sz w:val="24"/>
                <w:color w:val="000000"/>
              </w:rPr>
              <w:t>2</w:t>
            </w:r>
            <w:r>
              <w:rPr>
                <w:rFonts w:ascii="仿宋_GB2312" w:hAnsi="仿宋_GB2312" w:cs="仿宋_GB2312" w:eastAsia="仿宋_GB2312"/>
                <w:sz w:val="24"/>
                <w:color w:val="000000"/>
              </w:rPr>
              <w:t>000m³/d</w:t>
            </w:r>
            <w:r>
              <w:rPr>
                <w:rFonts w:ascii="仿宋_GB2312" w:hAnsi="仿宋_GB2312" w:cs="仿宋_GB2312" w:eastAsia="仿宋_GB2312"/>
                <w:sz w:val="24"/>
                <w:color w:val="000000"/>
              </w:rPr>
              <w:t>）的设计、施工、建设、设备、安装、调试运维等相关内容，运维服务期为</w:t>
            </w:r>
            <w:r>
              <w:rPr>
                <w:rFonts w:ascii="仿宋_GB2312" w:hAnsi="仿宋_GB2312" w:cs="仿宋_GB2312" w:eastAsia="仿宋_GB2312"/>
                <w:sz w:val="24"/>
                <w:color w:val="000000"/>
              </w:rPr>
              <w:t>自合同签订</w:t>
            </w:r>
            <w:r>
              <w:rPr>
                <w:rFonts w:ascii="仿宋_GB2312" w:hAnsi="仿宋_GB2312" w:cs="仿宋_GB2312" w:eastAsia="仿宋_GB2312"/>
                <w:sz w:val="24"/>
                <w:color w:val="000000"/>
              </w:rPr>
              <w:t>之日起</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依据采购人要求执行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依据国家相关标准、规范及有关技术文件进行质量验收及考核；如国家或行业标准发生变化，运维单位根据法律的规定必须执行。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服务期满三个月且考核合格后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服务期满六个月考核合格且验收通过后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2）未按合同要求提供服务或服务质量不能满足采购人要求，采购人有权终止合同，同时报请政府采购管理部门对其违约行为进行追究。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①2023或2024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具有履行合同所必需的设备和专业技术能力提供声明文件</w:t>
            </w:r>
          </w:p>
        </w:tc>
        <w:tc>
          <w:tcPr>
            <w:tcW w:type="dxa" w:w="3322"/>
          </w:tcPr>
          <w:p>
            <w:pPr>
              <w:pStyle w:val="null3"/>
            </w:pPr>
            <w:r>
              <w:rPr>
                <w:rFonts w:ascii="仿宋_GB2312" w:hAnsi="仿宋_GB2312" w:cs="仿宋_GB2312" w:eastAsia="仿宋_GB2312"/>
              </w:rPr>
              <w:t>具有履行合同所必需的设备和专业技术能力提供声明文件；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提供缴费所属日期为投标截止时间前12个月内任一月份（投标截止时间当月不计入）的增值税（或所得税）缴费凭据或税务机关出具的完税证明，依法免税的单位应提供相关证明材料；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提供缴费所属日期为投标截止时间前12个月内任一月份（投标截止时间当月不计入）的缴费凭据或社保机关出具的缴费证明；依法不需要缴纳社会保障资金的单位应提供相关证明材料；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被授权人投标截止时间前一个月（投标截止时间当月不计入）的社会保险缴纳证明；</w:t>
            </w:r>
          </w:p>
        </w:tc>
        <w:tc>
          <w:tcPr>
            <w:tcW w:type="dxa" w:w="1661"/>
          </w:tcPr>
          <w:p>
            <w:pPr>
              <w:pStyle w:val="null3"/>
            </w:pPr>
            <w:r>
              <w:rPr>
                <w:rFonts w:ascii="仿宋_GB2312" w:hAnsi="仿宋_GB2312" w:cs="仿宋_GB2312" w:eastAsia="仿宋_GB2312"/>
              </w:rPr>
              <w:t>法定代表人身份证明.docx 法人授权委托书.docx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投标人不得为“信用中国”网站（www.creditchina.gov.cn）和中国政府采购网（www.ccgp.gov.cn）中被列入失信被执行人、重大税收违法失信主体、政府采购严重违法失信行为记录名单的单位；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（1）响应文件的签字、盖章：响应文件上法定代表人或其委托代理人的签字齐全并加盖单位公章，公章清晰可见； （2）响应文件格式：应符合响应文件要求； （3）报价唯一：只能有一个有效报价，不得提交选择性报价，且报价不超过招标最高限价。</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分项报价表.docx 残疾人福利性单位声明函 服务方案 法人授权委托书.docx 标的清单 响应函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分项报价表.docx 残疾人福利性单位声明函 服务方案 法人授权委托书.docx 标的清单 响应函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（1）对磋商文件响应程度：服务内容完全响应，不能有任何采购人不能接受的附加条件； （2）服务期：自合同签订之日起6个月； （3）磋商有效期 ：应满足磋商文件中的规定。</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分项报价表.docx 残疾人福利性单位声明函 服务方案 法人授权委托书.docx 标的清单 响应函 类似业绩.docx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提供2022年1月1日以来供应商的类似业绩证明材料（以合同签订时间为准，附合同复印件加盖投标人公章），每份计2分，满分10分。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根据本项目实际编制实施方案，内容须包含：工艺管理控制、设备操作维护保养与检修、污泥处置设施管理、日常水质监测、异常问题的分析及故障诊断与排除等。 方案内容完善，合理性、可行性强，能够有效保证项目的顺利进行和完成得10分；方案内容较完善，合理性、可行性较强，能够保证项目的顺利进行和完成，得7分；方案内容基本完善，有一定的合理性、可行性，得4分；方案存在部分缺陷和不足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日常运维方案</w:t>
            </w:r>
          </w:p>
        </w:tc>
        <w:tc>
          <w:tcPr>
            <w:tcW w:type="dxa" w:w="2492"/>
          </w:tcPr>
          <w:p>
            <w:pPr>
              <w:pStyle w:val="null3"/>
            </w:pPr>
            <w:r>
              <w:rPr>
                <w:rFonts w:ascii="仿宋_GB2312" w:hAnsi="仿宋_GB2312" w:cs="仿宋_GB2312" w:eastAsia="仿宋_GB2312"/>
              </w:rPr>
              <w:t>日常运维方案合理可行，能满足日常工作的要求，运维方案内容准确、全面，思路清晰，逻辑严密，符合本项目实际情况及国家、地方相关规范法规要求且具有很强的实施性得10分；方案内容较准确、清晰，较完善，合理性、可行性较强，能够保证项目的顺利进行和完成，得7分；方案内容基本符合本项目实际情况，具有一定的实施性得4分；方案存在部分缺陷和不足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提供针对本项目的质量控制体系和维护手册，排放标准到达国家相关要求。质量控制措施科学合理、思路技术严谨、能满足本项目服务要求，符合本项目实际情况及国家、地方相关规范法规要求得6分；质量控制措施较合理、基本满足本项目服务要求，基本符合本项目实际情况及国家、地方相关规范法规要求得3分；措施存在部分缺陷和不足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w:t>
            </w:r>
          </w:p>
        </w:tc>
        <w:tc>
          <w:tcPr>
            <w:tcW w:type="dxa" w:w="2492"/>
          </w:tcPr>
          <w:p>
            <w:pPr>
              <w:pStyle w:val="null3"/>
            </w:pPr>
            <w:r>
              <w:rPr>
                <w:rFonts w:ascii="仿宋_GB2312" w:hAnsi="仿宋_GB2312" w:cs="仿宋_GB2312" w:eastAsia="仿宋_GB2312"/>
              </w:rPr>
              <w:t>提供针对本项目的安全生产管理制度、安全防范措施等，要求能保障运维服务的稳定和安全，避免环境污染。制度及措施科学合理，符合实际情况的得6分；基本可行，基本符合本项目实际情况的得3分；存在部分缺陷和不足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现有工艺运行易出现的问题进行分析，明确现有工艺处理过程中的重点、难点等。分析准确、全面详细，符合实际情况的得6分；分析较准确全面，较符合实际情况的得3分；存在部分缺陷和不足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拟投入人员数量配备充足、配置合理科学、专业性强，得6分；人员数量 配备较充足、配置较合理、较专业，得3分；人员数量配备欠充足、配置欠合理、欠专业，得 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检修和保养</w:t>
            </w:r>
          </w:p>
        </w:tc>
        <w:tc>
          <w:tcPr>
            <w:tcW w:type="dxa" w:w="2492"/>
          </w:tcPr>
          <w:p>
            <w:pPr>
              <w:pStyle w:val="null3"/>
            </w:pPr>
            <w:r>
              <w:rPr>
                <w:rFonts w:ascii="仿宋_GB2312" w:hAnsi="仿宋_GB2312" w:cs="仿宋_GB2312" w:eastAsia="仿宋_GB2312"/>
              </w:rPr>
              <w:t>对现有工艺处理过程中所涉及设备的日常检修和保养及运维细则进行详细阐述，阐述准确、全面详细，符合实际情况，合理可行的得6分；阐述基本可行的得3分；存在部分缺陷和不足的得1分；未提供不得分。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检测和检验</w:t>
            </w:r>
          </w:p>
        </w:tc>
        <w:tc>
          <w:tcPr>
            <w:tcW w:type="dxa" w:w="2492"/>
          </w:tcPr>
          <w:p>
            <w:pPr>
              <w:pStyle w:val="null3"/>
            </w:pPr>
            <w:r>
              <w:rPr>
                <w:rFonts w:ascii="仿宋_GB2312" w:hAnsi="仿宋_GB2312" w:cs="仿宋_GB2312" w:eastAsia="仿宋_GB2312"/>
              </w:rPr>
              <w:t>提供检测和检验的具体操作流程及操作规范，内容准确、全面，思路清晰，逻辑严密，符合本项目实际情况及国家、地方相关规范法规要求得6分，内容较准确，基本符合项目情况及国家、地方相关规范法规要求得3分；存在部分缺陷和不足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工艺及技术</w:t>
            </w:r>
          </w:p>
        </w:tc>
        <w:tc>
          <w:tcPr>
            <w:tcW w:type="dxa" w:w="2492"/>
          </w:tcPr>
          <w:p>
            <w:pPr>
              <w:pStyle w:val="null3"/>
            </w:pPr>
            <w:r>
              <w:rPr>
                <w:rFonts w:ascii="仿宋_GB2312" w:hAnsi="仿宋_GB2312" w:cs="仿宋_GB2312" w:eastAsia="仿宋_GB2312"/>
              </w:rPr>
              <w:t>对本项目污水处理工艺及技术的了解 (如工作原理、工艺流程图、步骤及工艺介绍)。分析准确、全面详细，符合实际情况的得6分；分析较准确全面，基本符合实际情况的得3分；存在部分缺陷和不足的得1分；未提供不得分。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应急突发预案措施</w:t>
            </w:r>
          </w:p>
        </w:tc>
        <w:tc>
          <w:tcPr>
            <w:tcW w:type="dxa" w:w="2492"/>
          </w:tcPr>
          <w:p>
            <w:pPr>
              <w:pStyle w:val="null3"/>
            </w:pPr>
            <w:r>
              <w:rPr>
                <w:rFonts w:ascii="仿宋_GB2312" w:hAnsi="仿宋_GB2312" w:cs="仿宋_GB2312" w:eastAsia="仿宋_GB2312"/>
              </w:rPr>
              <w:t>针对本项目提供具体可行的后续服务措施承诺以及出现异常问题 (包括但不限进水异常、出水异常等)后及时响应的应急处置方案。完全响应且逐条详细说明的得6分；完全响应未详细说明的得3分；欠详细响应的得1分；未提供不得分。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健全管理制度</w:t>
            </w:r>
          </w:p>
        </w:tc>
        <w:tc>
          <w:tcPr>
            <w:tcW w:type="dxa" w:w="2492"/>
          </w:tcPr>
          <w:p>
            <w:pPr>
              <w:pStyle w:val="null3"/>
            </w:pPr>
            <w:r>
              <w:rPr>
                <w:rFonts w:ascii="仿宋_GB2312" w:hAnsi="仿宋_GB2312" w:cs="仿宋_GB2312" w:eastAsia="仿宋_GB2312"/>
              </w:rPr>
              <w:t>按照国家相关规定建立健全各项管理制度，包括但不限于设备管理、工艺管理和水质管理、保密管理、岗位职责等。内容准确、全面，思路清晰，逻辑严密，符合本项目实际情况及国家、地方相关规范法规要求得6分； 内容较准确、较符合本项目实际情况及国家、地方相关规范法规要求得3分；方案存在部分缺陷和不足的得1分；未提供不得分。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提升改造或优化工艺的合理化建议：提出合理化建议全面、思路清晰、逻辑严密、提供的实施建议方案切实可行得6分；提出合理化建议较全面、实施建议方案较可行得3分；合理化建议存在部分缺陷 和不足的得1分；未提供不得分。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竞争性磋商文件要求且最后磋商报价最低的磋商报价为评审基准价，其价格分为满分。其他供应商的价格分统一按照下列公式计算：投标总报价得分＝（评审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