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center"/>
        <w:textAlignment w:val="auto"/>
        <w:outlineLvl w:val="0"/>
        <w:rPr>
          <w:rFonts w:hint="eastAsia" w:ascii="宋体" w:hAnsi="宋体" w:eastAsia="宋体" w:cs="宋体"/>
          <w:b/>
          <w:sz w:val="32"/>
          <w:szCs w:val="32"/>
          <w:highlight w:val="none"/>
        </w:rPr>
      </w:pPr>
      <w:r>
        <w:rPr>
          <w:rFonts w:hint="eastAsia" w:ascii="宋体" w:hAnsi="宋体" w:eastAsia="宋体" w:cs="宋体"/>
          <w:b/>
          <w:sz w:val="32"/>
          <w:szCs w:val="32"/>
          <w:highlight w:val="none"/>
        </w:rPr>
        <w:t>合同格式</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委托方（以下简称甲方）： </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承接方（以下简称乙方）：                        </w:t>
      </w:r>
    </w:p>
    <w:p>
      <w:pPr>
        <w:pStyle w:val="11"/>
        <w:pageBreakBefore w:val="0"/>
        <w:kinsoku/>
        <w:wordWrap/>
        <w:overflowPunct/>
        <w:topLinePunct w:val="0"/>
        <w:autoSpaceDE/>
        <w:autoSpaceDN/>
        <w:bidi w:val="0"/>
        <w:adjustRightInd/>
        <w:spacing w:before="156" w:beforeLines="50"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根据《中华人民共和国政府采购法》及实施条例、《中华人民共和国民法典》和甲方</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i w:val="0"/>
          <w:iCs w:val="0"/>
          <w:sz w:val="24"/>
          <w:szCs w:val="24"/>
          <w:highlight w:val="none"/>
          <w:u w:val="single"/>
        </w:rPr>
        <w:t>（</w:t>
      </w:r>
      <w:r>
        <w:rPr>
          <w:rFonts w:hint="eastAsia" w:asciiTheme="minorEastAsia" w:hAnsiTheme="minorEastAsia" w:eastAsiaTheme="minorEastAsia" w:cstheme="minorEastAsia"/>
          <w:i/>
          <w:iCs/>
          <w:sz w:val="24"/>
          <w:szCs w:val="24"/>
          <w:highlight w:val="none"/>
          <w:u w:val="single"/>
        </w:rPr>
        <w:t>采购项目名称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i/>
          <w:iCs/>
          <w:sz w:val="24"/>
          <w:szCs w:val="24"/>
          <w:highlight w:val="none"/>
        </w:rPr>
        <w:t>采购项目编号：</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sz w:val="24"/>
          <w:szCs w:val="24"/>
          <w:highlight w:val="none"/>
        </w:rPr>
        <w:t>）的</w:t>
      </w:r>
      <w:r>
        <w:rPr>
          <w:rFonts w:hint="eastAsia" w:asciiTheme="minorEastAsia" w:hAnsiTheme="minorEastAsia" w:eastAsiaTheme="minorEastAsia" w:cstheme="minorEastAsia"/>
          <w:sz w:val="24"/>
          <w:szCs w:val="24"/>
          <w:highlight w:val="none"/>
          <w:lang w:val="en-US" w:eastAsia="zh-CN"/>
        </w:rPr>
        <w:t>竞争性磋商</w:t>
      </w:r>
      <w:r>
        <w:rPr>
          <w:rFonts w:hint="eastAsia" w:asciiTheme="minorEastAsia" w:hAnsiTheme="minorEastAsia" w:eastAsiaTheme="minorEastAsia" w:cstheme="minorEastAsia"/>
          <w:sz w:val="24"/>
          <w:szCs w:val="24"/>
          <w:highlight w:val="none"/>
        </w:rPr>
        <w:t>文件、</w:t>
      </w:r>
      <w:r>
        <w:rPr>
          <w:rFonts w:hint="eastAsia" w:asciiTheme="minorEastAsia" w:hAnsiTheme="minorEastAsia" w:eastAsiaTheme="minorEastAsia" w:cstheme="minorEastAsia"/>
          <w:sz w:val="24"/>
          <w:szCs w:val="24"/>
          <w:highlight w:val="none"/>
          <w:lang w:val="en-US" w:eastAsia="zh-CN"/>
        </w:rPr>
        <w:t>响应</w:t>
      </w:r>
      <w:r>
        <w:rPr>
          <w:rFonts w:hint="eastAsia" w:asciiTheme="minorEastAsia" w:hAnsiTheme="minorEastAsia" w:eastAsiaTheme="minorEastAsia" w:cstheme="minorEastAsia"/>
          <w:sz w:val="24"/>
          <w:szCs w:val="24"/>
          <w:highlight w:val="none"/>
        </w:rPr>
        <w:t>文件等有关规定，为确保甲方采购项目的顺利实施，甲、乙双方在平等自愿原则下签订本合同，并共同遵守如下条款：</w:t>
      </w:r>
    </w:p>
    <w:p>
      <w:pPr>
        <w:pStyle w:val="11"/>
        <w:pageBreakBefore w:val="0"/>
        <w:kinsoku/>
        <w:wordWrap/>
        <w:overflowPunct/>
        <w:topLinePunct w:val="0"/>
        <w:autoSpaceDE/>
        <w:autoSpaceDN/>
        <w:bidi w:val="0"/>
        <w:adjustRightInd/>
        <w:spacing w:before="156" w:before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第一条 合同标的及数量</w:t>
      </w:r>
    </w:p>
    <w:p>
      <w:pPr>
        <w:pStyle w:val="11"/>
        <w:pageBreakBefore w:val="0"/>
        <w:widowControl/>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乙方向甲方提供下列货物（产品）：</w:t>
      </w:r>
    </w:p>
    <w:p>
      <w:pPr>
        <w:pStyle w:val="5"/>
        <w:pageBreakBefore w:val="0"/>
        <w:widowControl/>
        <w:kinsoku/>
        <w:wordWrap/>
        <w:overflowPunct/>
        <w:topLinePunct w:val="0"/>
        <w:autoSpaceDE/>
        <w:autoSpaceDN/>
        <w:bidi w:val="0"/>
        <w:adjustRightInd/>
        <w:spacing w:line="360" w:lineRule="auto"/>
        <w:ind w:firstLine="482"/>
        <w:jc w:val="center"/>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供货一览表</w:t>
      </w:r>
    </w:p>
    <w:tbl>
      <w:tblPr>
        <w:tblStyle w:val="7"/>
        <w:tblpPr w:leftFromText="180" w:rightFromText="180" w:vertAnchor="text" w:horzAnchor="margin" w:tblpXSpec="center" w:tblpY="309"/>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1134"/>
        <w:gridCol w:w="1134"/>
        <w:gridCol w:w="1249"/>
        <w:gridCol w:w="675"/>
        <w:gridCol w:w="1134"/>
        <w:gridCol w:w="675"/>
        <w:gridCol w:w="1363"/>
        <w:gridCol w:w="124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368" w:type="pct"/>
            <w:tcBorders>
              <w:top w:val="single" w:color="auto" w:sz="12" w:space="0"/>
              <w:left w:val="single" w:color="auto" w:sz="12" w:space="0"/>
              <w:bottom w:val="single" w:color="auto" w:sz="4" w:space="0"/>
              <w:right w:val="single" w:color="auto" w:sz="4" w:space="0"/>
            </w:tcBorders>
            <w:noWrap/>
            <w:vAlign w:val="center"/>
          </w:tcPr>
          <w:p>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0" w:name="_Toc8098"/>
            <w:bookmarkStart w:id="1" w:name="_Toc731"/>
            <w:bookmarkStart w:id="2" w:name="_Toc30936"/>
            <w:bookmarkStart w:id="3" w:name="_Toc12862"/>
            <w:bookmarkStart w:id="4" w:name="_Toc11029"/>
            <w:r>
              <w:rPr>
                <w:rFonts w:hint="eastAsia" w:asciiTheme="minorEastAsia" w:hAnsiTheme="minorEastAsia" w:eastAsiaTheme="minorEastAsia" w:cstheme="minorEastAsia"/>
                <w:color w:val="000000"/>
                <w:kern w:val="2"/>
                <w:sz w:val="24"/>
                <w:szCs w:val="24"/>
                <w:highlight w:val="none"/>
              </w:rPr>
              <w:t>序号</w:t>
            </w:r>
            <w:bookmarkEnd w:id="0"/>
            <w:bookmarkEnd w:id="1"/>
            <w:bookmarkEnd w:id="2"/>
            <w:bookmarkEnd w:id="3"/>
            <w:bookmarkEnd w:id="4"/>
          </w:p>
        </w:tc>
        <w:tc>
          <w:tcPr>
            <w:tcW w:w="628" w:type="pct"/>
            <w:tcBorders>
              <w:top w:val="single" w:color="auto" w:sz="12" w:space="0"/>
              <w:left w:val="single" w:color="auto" w:sz="4" w:space="0"/>
              <w:bottom w:val="single" w:color="auto" w:sz="4" w:space="0"/>
              <w:right w:val="single" w:color="auto" w:sz="4" w:space="0"/>
            </w:tcBorders>
            <w:noWrap/>
            <w:vAlign w:val="center"/>
          </w:tcPr>
          <w:p>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5" w:name="_Toc14606"/>
            <w:bookmarkStart w:id="6" w:name="_Toc18138"/>
            <w:bookmarkStart w:id="7" w:name="_Toc11846"/>
            <w:bookmarkStart w:id="8" w:name="_Toc10937"/>
            <w:bookmarkStart w:id="9" w:name="_Toc12848"/>
            <w:r>
              <w:rPr>
                <w:rFonts w:hint="eastAsia" w:asciiTheme="minorEastAsia" w:hAnsiTheme="minorEastAsia" w:eastAsiaTheme="minorEastAsia" w:cstheme="minorEastAsia"/>
                <w:color w:val="000000"/>
                <w:kern w:val="2"/>
                <w:sz w:val="24"/>
                <w:szCs w:val="24"/>
                <w:highlight w:val="none"/>
              </w:rPr>
              <w:t>货物名称</w:t>
            </w:r>
            <w:bookmarkEnd w:id="5"/>
            <w:bookmarkEnd w:id="6"/>
            <w:bookmarkEnd w:id="7"/>
            <w:bookmarkEnd w:id="8"/>
            <w:bookmarkEnd w:id="9"/>
          </w:p>
        </w:tc>
        <w:tc>
          <w:tcPr>
            <w:tcW w:w="663" w:type="pct"/>
            <w:tcBorders>
              <w:top w:val="single" w:color="auto" w:sz="12" w:space="0"/>
              <w:left w:val="single" w:color="auto" w:sz="4" w:space="0"/>
              <w:bottom w:val="single" w:color="auto" w:sz="4" w:space="0"/>
              <w:right w:val="single" w:color="auto" w:sz="4" w:space="0"/>
            </w:tcBorders>
            <w:noWrap/>
            <w:vAlign w:val="center"/>
          </w:tcPr>
          <w:p>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0" w:name="_Toc11018"/>
            <w:bookmarkStart w:id="11" w:name="_Toc30052"/>
            <w:bookmarkStart w:id="12" w:name="_Toc10792"/>
            <w:bookmarkStart w:id="13" w:name="_Toc32341"/>
            <w:bookmarkStart w:id="14" w:name="_Toc24749"/>
            <w:r>
              <w:rPr>
                <w:rFonts w:hint="eastAsia" w:asciiTheme="minorEastAsia" w:hAnsiTheme="minorEastAsia" w:eastAsiaTheme="minorEastAsia" w:cstheme="minorEastAsia"/>
                <w:color w:val="000000"/>
                <w:kern w:val="2"/>
                <w:sz w:val="24"/>
                <w:szCs w:val="24"/>
                <w:highlight w:val="none"/>
              </w:rPr>
              <w:t>品目代码</w:t>
            </w:r>
            <w:bookmarkEnd w:id="10"/>
            <w:bookmarkEnd w:id="11"/>
            <w:bookmarkEnd w:id="12"/>
            <w:bookmarkEnd w:id="13"/>
            <w:bookmarkEnd w:id="14"/>
          </w:p>
        </w:tc>
        <w:tc>
          <w:tcPr>
            <w:tcW w:w="699" w:type="pct"/>
            <w:tcBorders>
              <w:top w:val="single" w:color="auto" w:sz="12" w:space="0"/>
              <w:left w:val="single" w:color="auto" w:sz="4" w:space="0"/>
              <w:bottom w:val="single" w:color="auto" w:sz="4" w:space="0"/>
              <w:right w:val="single" w:color="auto" w:sz="4" w:space="0"/>
            </w:tcBorders>
            <w:noWrap/>
            <w:vAlign w:val="center"/>
          </w:tcPr>
          <w:p>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5" w:name="_Toc18279"/>
            <w:bookmarkStart w:id="16" w:name="_Toc23775"/>
            <w:bookmarkStart w:id="17" w:name="_Toc2505"/>
            <w:bookmarkStart w:id="18" w:name="_Toc31993"/>
            <w:bookmarkStart w:id="19" w:name="_Toc30994"/>
            <w:r>
              <w:rPr>
                <w:rFonts w:hint="eastAsia" w:asciiTheme="minorEastAsia" w:hAnsiTheme="minorEastAsia" w:eastAsiaTheme="minorEastAsia" w:cstheme="minorEastAsia"/>
                <w:color w:val="000000"/>
                <w:kern w:val="2"/>
                <w:sz w:val="24"/>
                <w:szCs w:val="24"/>
                <w:highlight w:val="none"/>
              </w:rPr>
              <w:t>品牌/型号</w:t>
            </w:r>
            <w:bookmarkEnd w:id="15"/>
            <w:bookmarkEnd w:id="16"/>
            <w:bookmarkEnd w:id="17"/>
            <w:bookmarkEnd w:id="18"/>
            <w:bookmarkEnd w:id="19"/>
          </w:p>
        </w:tc>
        <w:tc>
          <w:tcPr>
            <w:tcW w:w="432" w:type="pct"/>
            <w:tcBorders>
              <w:top w:val="single" w:color="auto" w:sz="12" w:space="0"/>
              <w:left w:val="single" w:color="auto" w:sz="4" w:space="0"/>
              <w:bottom w:val="single" w:color="auto" w:sz="4" w:space="0"/>
              <w:right w:val="single" w:color="auto" w:sz="4" w:space="0"/>
            </w:tcBorders>
            <w:noWrap/>
            <w:vAlign w:val="center"/>
          </w:tcPr>
          <w:p>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0" w:name="_Toc19146"/>
            <w:bookmarkStart w:id="21" w:name="_Toc28515"/>
            <w:bookmarkStart w:id="22" w:name="_Toc16809"/>
            <w:bookmarkStart w:id="23" w:name="_Toc8038"/>
            <w:bookmarkStart w:id="24" w:name="_Toc20736"/>
            <w:r>
              <w:rPr>
                <w:rFonts w:hint="eastAsia" w:asciiTheme="minorEastAsia" w:hAnsiTheme="minorEastAsia" w:eastAsiaTheme="minorEastAsia" w:cstheme="minorEastAsia"/>
                <w:color w:val="000000"/>
                <w:kern w:val="2"/>
                <w:sz w:val="24"/>
                <w:szCs w:val="24"/>
                <w:highlight w:val="none"/>
              </w:rPr>
              <w:t>规格</w:t>
            </w:r>
            <w:bookmarkEnd w:id="20"/>
            <w:bookmarkEnd w:id="21"/>
            <w:bookmarkEnd w:id="22"/>
            <w:bookmarkEnd w:id="23"/>
            <w:bookmarkEnd w:id="24"/>
          </w:p>
        </w:tc>
        <w:tc>
          <w:tcPr>
            <w:tcW w:w="443" w:type="pct"/>
            <w:tcBorders>
              <w:top w:val="single" w:color="auto" w:sz="12" w:space="0"/>
              <w:left w:val="single" w:color="auto" w:sz="4" w:space="0"/>
              <w:bottom w:val="single" w:color="auto" w:sz="4" w:space="0"/>
              <w:right w:val="single" w:color="auto" w:sz="4" w:space="0"/>
            </w:tcBorders>
            <w:noWrap/>
            <w:vAlign w:val="center"/>
          </w:tcPr>
          <w:p>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5" w:name="_Toc9385"/>
            <w:bookmarkStart w:id="26" w:name="_Toc8453"/>
            <w:bookmarkStart w:id="27" w:name="_Toc21245"/>
            <w:bookmarkStart w:id="28" w:name="_Toc13868"/>
            <w:bookmarkStart w:id="29" w:name="_Toc12530"/>
            <w:r>
              <w:rPr>
                <w:rFonts w:hint="eastAsia" w:asciiTheme="minorEastAsia" w:hAnsiTheme="minorEastAsia" w:eastAsiaTheme="minorEastAsia" w:cstheme="minorEastAsia"/>
                <w:color w:val="000000"/>
                <w:kern w:val="2"/>
                <w:sz w:val="24"/>
                <w:szCs w:val="24"/>
                <w:highlight w:val="none"/>
              </w:rPr>
              <w:t>计量单位</w:t>
            </w:r>
            <w:bookmarkEnd w:id="25"/>
            <w:bookmarkEnd w:id="26"/>
            <w:bookmarkEnd w:id="27"/>
            <w:bookmarkEnd w:id="28"/>
            <w:bookmarkEnd w:id="29"/>
          </w:p>
        </w:tc>
        <w:tc>
          <w:tcPr>
            <w:tcW w:w="361" w:type="pct"/>
            <w:tcBorders>
              <w:top w:val="single" w:color="auto" w:sz="12" w:space="0"/>
              <w:left w:val="single" w:color="auto" w:sz="4" w:space="0"/>
              <w:bottom w:val="single" w:color="auto" w:sz="4" w:space="0"/>
              <w:right w:val="single" w:color="auto" w:sz="4" w:space="0"/>
            </w:tcBorders>
            <w:noWrap/>
            <w:vAlign w:val="center"/>
          </w:tcPr>
          <w:p>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0" w:name="_Toc2753"/>
            <w:bookmarkStart w:id="31" w:name="_Toc25464"/>
            <w:bookmarkStart w:id="32" w:name="_Toc13771"/>
            <w:bookmarkStart w:id="33" w:name="_Toc31770"/>
            <w:bookmarkStart w:id="34" w:name="_Toc26700"/>
            <w:r>
              <w:rPr>
                <w:rFonts w:hint="eastAsia" w:asciiTheme="minorEastAsia" w:hAnsiTheme="minorEastAsia" w:eastAsiaTheme="minorEastAsia" w:cstheme="minorEastAsia"/>
                <w:color w:val="000000"/>
                <w:kern w:val="2"/>
                <w:sz w:val="24"/>
                <w:szCs w:val="24"/>
                <w:highlight w:val="none"/>
              </w:rPr>
              <w:t>数量</w:t>
            </w:r>
            <w:bookmarkEnd w:id="30"/>
            <w:bookmarkEnd w:id="31"/>
            <w:bookmarkEnd w:id="32"/>
            <w:bookmarkEnd w:id="33"/>
            <w:bookmarkEnd w:id="34"/>
          </w:p>
        </w:tc>
        <w:tc>
          <w:tcPr>
            <w:tcW w:w="538" w:type="pct"/>
            <w:tcBorders>
              <w:top w:val="single" w:color="auto" w:sz="12" w:space="0"/>
              <w:left w:val="single" w:color="auto" w:sz="4" w:space="0"/>
              <w:bottom w:val="single" w:color="auto" w:sz="4" w:space="0"/>
              <w:right w:val="single" w:color="auto" w:sz="4" w:space="0"/>
            </w:tcBorders>
            <w:noWrap/>
            <w:vAlign w:val="center"/>
          </w:tcPr>
          <w:p>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5" w:name="_Toc8363"/>
            <w:bookmarkStart w:id="36" w:name="_Toc13068"/>
            <w:bookmarkStart w:id="37" w:name="_Toc18214"/>
            <w:bookmarkStart w:id="38" w:name="_Toc1099"/>
            <w:bookmarkStart w:id="39" w:name="_Toc12281"/>
            <w:r>
              <w:rPr>
                <w:rFonts w:hint="eastAsia" w:asciiTheme="minorEastAsia" w:hAnsiTheme="minorEastAsia" w:eastAsiaTheme="minorEastAsia" w:cstheme="minorEastAsia"/>
                <w:color w:val="000000"/>
                <w:kern w:val="2"/>
                <w:sz w:val="24"/>
                <w:szCs w:val="24"/>
                <w:highlight w:val="none"/>
              </w:rPr>
              <w:t>单价（元）</w:t>
            </w:r>
            <w:bookmarkEnd w:id="35"/>
            <w:bookmarkEnd w:id="36"/>
            <w:bookmarkEnd w:id="37"/>
            <w:bookmarkEnd w:id="38"/>
            <w:bookmarkEnd w:id="39"/>
          </w:p>
        </w:tc>
        <w:tc>
          <w:tcPr>
            <w:tcW w:w="862" w:type="pct"/>
            <w:tcBorders>
              <w:top w:val="single" w:color="auto" w:sz="12" w:space="0"/>
              <w:left w:val="single" w:color="auto" w:sz="4" w:space="0"/>
              <w:bottom w:val="single" w:color="auto" w:sz="4" w:space="0"/>
              <w:right w:val="single" w:color="auto" w:sz="12" w:space="0"/>
            </w:tcBorders>
            <w:noWrap/>
            <w:vAlign w:val="center"/>
          </w:tcPr>
          <w:p>
            <w:pPr>
              <w:pageBreakBefore w:val="0"/>
              <w:kinsoku/>
              <w:wordWrap/>
              <w:overflowPunct/>
              <w:topLinePunct w:val="0"/>
              <w:autoSpaceDE/>
              <w:autoSpaceDN/>
              <w:bidi w:val="0"/>
              <w:adjustRightInd/>
              <w:spacing w:before="0"/>
              <w:ind w:left="207" w:hanging="235" w:hangingChars="98"/>
              <w:jc w:val="both"/>
              <w:outlineLvl w:val="9"/>
              <w:rPr>
                <w:rFonts w:hint="eastAsia" w:asciiTheme="minorEastAsia" w:hAnsiTheme="minorEastAsia" w:eastAsiaTheme="minorEastAsia" w:cstheme="minorEastAsia"/>
                <w:color w:val="000000"/>
                <w:kern w:val="2"/>
                <w:sz w:val="24"/>
                <w:szCs w:val="24"/>
                <w:highlight w:val="none"/>
              </w:rPr>
            </w:pPr>
            <w:bookmarkStart w:id="40" w:name="_Toc30167"/>
            <w:bookmarkStart w:id="41" w:name="_Toc32252"/>
            <w:bookmarkStart w:id="42" w:name="_Toc23208"/>
            <w:bookmarkStart w:id="43" w:name="_Toc16235"/>
            <w:bookmarkStart w:id="44" w:name="_Toc3069"/>
            <w:r>
              <w:rPr>
                <w:rFonts w:hint="eastAsia" w:asciiTheme="minorEastAsia" w:hAnsiTheme="minorEastAsia" w:eastAsiaTheme="minorEastAsia" w:cstheme="minorEastAsia"/>
                <w:color w:val="000000"/>
                <w:kern w:val="2"/>
                <w:sz w:val="24"/>
                <w:szCs w:val="24"/>
                <w:highlight w:val="none"/>
              </w:rPr>
              <w:t>金额 (元)</w:t>
            </w:r>
            <w:bookmarkEnd w:id="40"/>
            <w:bookmarkEnd w:id="41"/>
            <w:bookmarkEnd w:id="42"/>
            <w:bookmarkEnd w:id="43"/>
            <w:bookmarkEnd w:id="44"/>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68" w:type="pct"/>
            <w:tcBorders>
              <w:top w:val="single" w:color="auto" w:sz="4" w:space="0"/>
              <w:left w:val="single" w:color="auto" w:sz="12"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368" w:type="pct"/>
            <w:tcBorders>
              <w:top w:val="single" w:color="auto" w:sz="4" w:space="0"/>
              <w:left w:val="single" w:color="auto" w:sz="12"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368" w:type="pct"/>
            <w:tcBorders>
              <w:top w:val="single" w:color="auto" w:sz="4" w:space="0"/>
              <w:left w:val="single" w:color="auto" w:sz="12" w:space="0"/>
              <w:bottom w:val="single" w:color="auto" w:sz="12" w:space="0"/>
              <w:right w:val="single" w:color="auto" w:sz="4" w:space="0"/>
            </w:tcBorders>
            <w:noWrap/>
            <w:vAlign w:val="top"/>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12" w:space="0"/>
              <w:right w:val="single" w:color="auto" w:sz="4" w:space="0"/>
            </w:tcBorders>
            <w:noWrap/>
            <w:vAlign w:val="center"/>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45" w:name="_Toc29310"/>
            <w:bookmarkStart w:id="46" w:name="_Toc19124"/>
            <w:bookmarkStart w:id="47" w:name="_Toc32106"/>
            <w:bookmarkStart w:id="48" w:name="_Toc19191"/>
            <w:bookmarkStart w:id="49" w:name="_Toc21829"/>
            <w:r>
              <w:rPr>
                <w:rFonts w:hint="eastAsia" w:asciiTheme="minorEastAsia" w:hAnsiTheme="minorEastAsia" w:eastAsiaTheme="minorEastAsia" w:cstheme="minorEastAsia"/>
                <w:color w:val="000000"/>
                <w:kern w:val="2"/>
                <w:sz w:val="24"/>
                <w:szCs w:val="24"/>
                <w:highlight w:val="none"/>
              </w:rPr>
              <w:t>合计</w:t>
            </w:r>
            <w:bookmarkEnd w:id="45"/>
            <w:bookmarkEnd w:id="46"/>
            <w:bookmarkEnd w:id="47"/>
            <w:bookmarkEnd w:id="48"/>
            <w:bookmarkEnd w:id="49"/>
          </w:p>
        </w:tc>
        <w:tc>
          <w:tcPr>
            <w:tcW w:w="2600" w:type="pct"/>
            <w:gridSpan w:val="5"/>
            <w:tcBorders>
              <w:top w:val="single" w:color="auto" w:sz="4" w:space="0"/>
              <w:left w:val="single" w:color="auto" w:sz="4" w:space="0"/>
              <w:bottom w:val="single" w:color="auto" w:sz="12" w:space="0"/>
              <w:right w:val="single" w:color="auto" w:sz="4" w:space="0"/>
            </w:tcBorders>
            <w:noWrap/>
            <w:vAlign w:val="center"/>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0" w:name="_Toc17082"/>
            <w:bookmarkStart w:id="51" w:name="_Toc14595"/>
            <w:bookmarkStart w:id="52" w:name="_Toc4152"/>
            <w:bookmarkStart w:id="53" w:name="_Toc25331"/>
            <w:bookmarkStart w:id="54" w:name="_Toc2960"/>
            <w:r>
              <w:rPr>
                <w:rFonts w:hint="eastAsia" w:asciiTheme="minorEastAsia" w:hAnsiTheme="minorEastAsia" w:eastAsiaTheme="minorEastAsia" w:cstheme="minorEastAsia"/>
                <w:color w:val="000000"/>
                <w:kern w:val="2"/>
                <w:sz w:val="24"/>
                <w:szCs w:val="24"/>
                <w:highlight w:val="none"/>
              </w:rPr>
              <w:t>大写</w:t>
            </w:r>
            <w:bookmarkEnd w:id="50"/>
            <w:bookmarkEnd w:id="51"/>
            <w:bookmarkEnd w:id="52"/>
            <w:bookmarkEnd w:id="53"/>
            <w:bookmarkEnd w:id="54"/>
          </w:p>
        </w:tc>
        <w:tc>
          <w:tcPr>
            <w:tcW w:w="1401" w:type="pct"/>
            <w:gridSpan w:val="2"/>
            <w:tcBorders>
              <w:top w:val="single" w:color="auto" w:sz="4" w:space="0"/>
              <w:left w:val="single" w:color="auto" w:sz="4" w:space="0"/>
              <w:bottom w:val="single" w:color="auto" w:sz="12" w:space="0"/>
              <w:right w:val="single" w:color="auto" w:sz="12" w:space="0"/>
            </w:tcBorders>
            <w:noWrap/>
            <w:vAlign w:val="center"/>
          </w:tcPr>
          <w:p>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5" w:name="_Toc10954"/>
            <w:bookmarkStart w:id="56" w:name="_Toc28580"/>
            <w:bookmarkStart w:id="57" w:name="_Toc7999"/>
            <w:bookmarkStart w:id="58" w:name="_Toc13206"/>
            <w:bookmarkStart w:id="59" w:name="_Toc29773"/>
            <w:r>
              <w:rPr>
                <w:rFonts w:hint="eastAsia" w:asciiTheme="minorEastAsia" w:hAnsiTheme="minorEastAsia" w:eastAsiaTheme="minorEastAsia" w:cstheme="minorEastAsia"/>
                <w:color w:val="000000"/>
                <w:kern w:val="2"/>
                <w:sz w:val="24"/>
                <w:szCs w:val="24"/>
                <w:highlight w:val="none"/>
              </w:rPr>
              <w:t>¥</w:t>
            </w:r>
            <w:bookmarkEnd w:id="55"/>
            <w:bookmarkEnd w:id="56"/>
            <w:bookmarkEnd w:id="57"/>
            <w:bookmarkEnd w:id="58"/>
            <w:bookmarkEnd w:id="59"/>
          </w:p>
        </w:tc>
      </w:tr>
    </w:tbl>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sz w:val="24"/>
          <w:szCs w:val="24"/>
          <w:highlight w:val="none"/>
        </w:rPr>
      </w:pPr>
      <w:bookmarkStart w:id="60" w:name="_Toc25260"/>
      <w:r>
        <w:rPr>
          <w:rFonts w:hint="eastAsia" w:asciiTheme="minorEastAsia" w:hAnsiTheme="minorEastAsia" w:eastAsiaTheme="minorEastAsia" w:cstheme="minorEastAsia"/>
          <w:b/>
          <w:bCs/>
          <w:sz w:val="24"/>
          <w:szCs w:val="24"/>
          <w:highlight w:val="none"/>
        </w:rPr>
        <w:t>第二条 合同价款</w:t>
      </w:r>
      <w:bookmarkEnd w:id="6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1" w:name="_Toc12829"/>
      <w:r>
        <w:rPr>
          <w:rFonts w:hint="eastAsia" w:asciiTheme="minorEastAsia" w:hAnsiTheme="minorEastAsia" w:eastAsiaTheme="minorEastAsia" w:cstheme="minorEastAsia"/>
          <w:sz w:val="24"/>
          <w:szCs w:val="24"/>
          <w:highlight w:val="none"/>
        </w:rPr>
        <w:t>1、合同总价</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元，（</w:t>
      </w:r>
      <w:r>
        <w:rPr>
          <w:rFonts w:hint="eastAsia" w:asciiTheme="minorEastAsia" w:hAnsiTheme="minorEastAsia" w:eastAsiaTheme="minorEastAsia" w:cstheme="minorEastAsia"/>
          <w:b w:val="0"/>
          <w:sz w:val="24"/>
          <w:szCs w:val="24"/>
        </w:rPr>
        <w:t>¥</w:t>
      </w:r>
      <w:r>
        <w:rPr>
          <w:rFonts w:hint="eastAsia" w:asciiTheme="minorEastAsia" w:hAnsiTheme="minorEastAsia" w:eastAsiaTheme="minorEastAsia" w:cstheme="minorEastAsia"/>
          <w:b w:val="0"/>
          <w:sz w:val="24"/>
          <w:szCs w:val="24"/>
          <w:u w:val="single"/>
        </w:rPr>
        <w:t xml:space="preserve">           </w:t>
      </w:r>
      <w:r>
        <w:rPr>
          <w:rFonts w:hint="eastAsia" w:asciiTheme="minorEastAsia" w:hAnsiTheme="minorEastAsia" w:eastAsiaTheme="minorEastAsia" w:cstheme="minorEastAsia"/>
          <w:sz w:val="24"/>
          <w:szCs w:val="24"/>
          <w:highlight w:val="none"/>
        </w:rPr>
        <w:t>）。</w:t>
      </w:r>
      <w:bookmarkEnd w:id="61"/>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2" w:name="_Toc29915"/>
      <w:r>
        <w:rPr>
          <w:rFonts w:hint="eastAsia" w:asciiTheme="minorEastAsia" w:hAnsiTheme="minorEastAsia" w:eastAsiaTheme="minorEastAsia" w:cstheme="minorEastAsia"/>
          <w:sz w:val="24"/>
          <w:szCs w:val="24"/>
          <w:highlight w:val="none"/>
        </w:rPr>
        <w:t>2、本合同总价是供应商为完成本次磋商所要求的货物、服务且验收合格的所有费用，包括但不限于产品(设备)费、材料、安装调试费、运杂费（含保险）、仓储保管费、技术培训费、检测费、劳务、风险、利润、规费、税金、验收、</w:t>
      </w:r>
      <w:r>
        <w:rPr>
          <w:rFonts w:hint="eastAsia" w:asciiTheme="minorEastAsia" w:hAnsiTheme="minorEastAsia" w:eastAsiaTheme="minorEastAsia" w:cstheme="minorEastAsia"/>
          <w:sz w:val="24"/>
          <w:szCs w:val="24"/>
          <w:highlight w:val="none"/>
          <w:lang w:val="en-US" w:eastAsia="zh-CN"/>
        </w:rPr>
        <w:t>售后、</w:t>
      </w:r>
      <w:r>
        <w:rPr>
          <w:rFonts w:hint="eastAsia" w:asciiTheme="minorEastAsia" w:hAnsiTheme="minorEastAsia" w:eastAsiaTheme="minorEastAsia" w:cstheme="minorEastAsia"/>
          <w:sz w:val="24"/>
          <w:szCs w:val="24"/>
          <w:highlight w:val="none"/>
        </w:rPr>
        <w:t>招标代理服务费、政策性文件规定的各项应有费用等其他一切相关费用。供应商所报的价格应考虑到可能发生的所有与完成本次磋商相关货物、服务及履行合同义务有关的一切费用。</w:t>
      </w:r>
      <w:bookmarkEnd w:id="6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3" w:name="_Toc22881"/>
      <w:r>
        <w:rPr>
          <w:rFonts w:hint="eastAsia" w:asciiTheme="minorEastAsia" w:hAnsiTheme="minorEastAsia" w:eastAsiaTheme="minorEastAsia" w:cstheme="minorEastAsia"/>
          <w:sz w:val="24"/>
          <w:szCs w:val="24"/>
          <w:highlight w:val="none"/>
        </w:rPr>
        <w:t>3、本合同总价还包含乙方应当提供的伴随服务和售后服务费用。</w:t>
      </w:r>
      <w:bookmarkEnd w:id="63"/>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4" w:name="_Toc9657"/>
      <w:r>
        <w:rPr>
          <w:rFonts w:hint="eastAsia" w:asciiTheme="minorEastAsia" w:hAnsiTheme="minorEastAsia" w:eastAsiaTheme="minorEastAsia" w:cstheme="minorEastAsia"/>
          <w:sz w:val="24"/>
          <w:szCs w:val="24"/>
          <w:highlight w:val="none"/>
        </w:rPr>
        <w:t>4、本合同执行期间合同总价不变，甲方无须另向乙方支付本合同规定之外的其他任何费用。</w:t>
      </w:r>
      <w:bookmarkEnd w:id="64"/>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sz w:val="24"/>
          <w:szCs w:val="24"/>
          <w:highlight w:val="none"/>
        </w:rPr>
        <w:t>第三</w:t>
      </w:r>
      <w:r>
        <w:rPr>
          <w:rFonts w:hint="eastAsia" w:asciiTheme="minorEastAsia" w:hAnsiTheme="minorEastAsia" w:eastAsiaTheme="minorEastAsia" w:cstheme="minorEastAsia"/>
          <w:b/>
          <w:bCs/>
          <w:color w:val="auto"/>
          <w:sz w:val="24"/>
          <w:szCs w:val="24"/>
          <w:highlight w:val="none"/>
        </w:rPr>
        <w:t>条</w:t>
      </w:r>
      <w:r>
        <w:rPr>
          <w:rFonts w:hint="eastAsia" w:asciiTheme="minorEastAsia" w:hAnsiTheme="minorEastAsia" w:eastAsiaTheme="minorEastAsia" w:cstheme="minorEastAsia"/>
          <w:b/>
          <w:bCs/>
          <w:color w:val="auto"/>
          <w:sz w:val="24"/>
          <w:szCs w:val="24"/>
          <w:highlight w:val="none"/>
          <w:lang w:val="en-US" w:eastAsia="zh-CN"/>
        </w:rPr>
        <w:t xml:space="preserve"> </w:t>
      </w:r>
      <w:r>
        <w:rPr>
          <w:rFonts w:hint="eastAsia" w:asciiTheme="minorEastAsia" w:hAnsiTheme="minorEastAsia" w:eastAsiaTheme="minorEastAsia" w:cstheme="minorEastAsia"/>
          <w:b/>
          <w:bCs/>
          <w:color w:val="auto"/>
          <w:sz w:val="24"/>
          <w:szCs w:val="24"/>
          <w:highlight w:val="none"/>
        </w:rPr>
        <w:t>款项结算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yellow"/>
          <w:lang w:eastAsia="zh-CN"/>
        </w:rPr>
      </w:pPr>
      <w:bookmarkStart w:id="65" w:name="_Toc4711"/>
      <w:r>
        <w:rPr>
          <w:rFonts w:hint="eastAsia" w:asciiTheme="minorEastAsia" w:hAnsiTheme="minorEastAsia" w:eastAsiaTheme="minorEastAsia" w:cstheme="minorEastAsia"/>
          <w:color w:val="auto"/>
          <w:sz w:val="24"/>
          <w:szCs w:val="24"/>
          <w:highlight w:val="none"/>
        </w:rPr>
        <w:t>货物（产品）按下列比例支付价款：</w:t>
      </w:r>
      <w:bookmarkEnd w:id="65"/>
      <w:r>
        <w:rPr>
          <w:rFonts w:hint="eastAsia" w:asciiTheme="minorEastAsia" w:hAnsiTheme="minorEastAsia" w:eastAsiaTheme="minorEastAsia" w:cstheme="minorEastAsia"/>
          <w:color w:val="auto"/>
          <w:sz w:val="24"/>
          <w:szCs w:val="24"/>
          <w:highlight w:val="none"/>
          <w:lang w:val="en-US" w:eastAsia="zh-CN"/>
        </w:rPr>
        <w:t xml:space="preserve"> 合同签订后 ，达到付款条件起30日内，支付合同总金额的 100.00%</w:t>
      </w:r>
      <w:r>
        <w:rPr>
          <w:rFonts w:hint="eastAsia" w:asciiTheme="minorEastAsia" w:hAnsiTheme="minorEastAsia" w:eastAsiaTheme="minorEastAsia" w:cstheme="minorEastAsia"/>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2、乙方须向甲方出具合法有效的完税发票，甲方进行支付结算。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6" w:name="_Toc10542"/>
      <w:r>
        <w:rPr>
          <w:rFonts w:hint="eastAsia" w:asciiTheme="minorEastAsia" w:hAnsiTheme="minorEastAsia" w:eastAsiaTheme="minorEastAsia" w:cstheme="minorEastAsia"/>
          <w:sz w:val="24"/>
          <w:szCs w:val="24"/>
          <w:highlight w:val="none"/>
        </w:rPr>
        <w:t>3、结算方式：银行转账。</w:t>
      </w:r>
      <w:bookmarkEnd w:id="66"/>
    </w:p>
    <w:p>
      <w:pPr>
        <w:pStyle w:val="6"/>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第四条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权利保证</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1、乙方保证对其出售的货物享有合法的权利。</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2、乙方保证对其出售的货物上不存在任何未曾向甲方透露的担保物权，如抵押权、质押权、留置权。</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3、乙方保证对其出售的货物或其任何一部分没有侵犯第三方的专利权、版权、商标权或其他权利。</w:t>
      </w:r>
    </w:p>
    <w:p>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4、如甲方在使用该货物构成上述侵权的，则由乙方承担全部责任。</w:t>
      </w:r>
    </w:p>
    <w:p>
      <w:pPr>
        <w:pStyle w:val="6"/>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第五条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交货时间与地点</w:t>
      </w:r>
    </w:p>
    <w:p>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乙方在合同签订生效之日起，按甲方指定时间、地点交货。</w:t>
      </w:r>
    </w:p>
    <w:p>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1、交货安装期：</w:t>
      </w:r>
      <w:r>
        <w:rPr>
          <w:rFonts w:hint="eastAsia" w:asciiTheme="minorEastAsia" w:hAnsiTheme="minorEastAsia" w:eastAsiaTheme="minorEastAsia" w:cstheme="minorEastAsia"/>
          <w:color w:val="auto"/>
          <w:kern w:val="0"/>
          <w:sz w:val="24"/>
          <w:szCs w:val="24"/>
          <w:highlight w:val="none"/>
        </w:rPr>
        <w:t>合同签订生效之日起</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个日历日供货安装调试</w:t>
      </w:r>
      <w:r>
        <w:rPr>
          <w:rFonts w:hint="eastAsia" w:asciiTheme="minorEastAsia" w:hAnsiTheme="minorEastAsia" w:eastAsiaTheme="minorEastAsia" w:cstheme="minorEastAsia"/>
          <w:color w:val="auto"/>
          <w:kern w:val="0"/>
          <w:sz w:val="24"/>
          <w:szCs w:val="24"/>
          <w:highlight w:val="none"/>
          <w:lang w:val="en-US" w:eastAsia="zh-CN"/>
        </w:rPr>
        <w:t>完毕，验收合格，投入使用</w:t>
      </w:r>
      <w:r>
        <w:rPr>
          <w:rFonts w:hint="eastAsia" w:asciiTheme="minorEastAsia" w:hAnsiTheme="minorEastAsia" w:eastAsiaTheme="minorEastAsia" w:cstheme="minorEastAsia"/>
          <w:color w:val="auto"/>
          <w:kern w:val="0"/>
          <w:sz w:val="24"/>
          <w:szCs w:val="24"/>
          <w:highlight w:val="none"/>
        </w:rPr>
        <w:t>。</w:t>
      </w:r>
    </w:p>
    <w:p>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2、交货地点：甲方指定地点</w:t>
      </w:r>
    </w:p>
    <w:p>
      <w:pPr>
        <w:pStyle w:val="11"/>
        <w:pageBreakBefore w:val="0"/>
        <w:kinsoku/>
        <w:wordWrap/>
        <w:overflowPunct/>
        <w:topLinePunct w:val="0"/>
        <w:autoSpaceDE/>
        <w:autoSpaceDN/>
        <w:bidi w:val="0"/>
        <w:adjustRightInd/>
        <w:spacing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 xml:space="preserve">第六条 包装要求与运输方式  </w:t>
      </w:r>
    </w:p>
    <w:p>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1、除合同另有规定外，乙方提供的全部货物均应按标准保护措施进行包装，该包装应适应于远距离运输、防潮、防震、防锈和防野蛮装卸，以确保货物安全运抵指定地点。</w:t>
      </w:r>
    </w:p>
    <w:p>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2、每一包装单元应附详细的装箱单和质量合格证。</w:t>
      </w:r>
    </w:p>
    <w:p>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3、货物（产品）运输方式</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4、乙方负责货物（产品）运输，货物运输的合理损耗及计算方法。</w:t>
      </w:r>
    </w:p>
    <w:p>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第七条 质量保证</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1、乙方须提供全新的、未使用过的合格正品货物（含零部件、配件等），完全符合合同规定的质量、规格和性能的要求。</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2、乙方提供的节能和环保产品必须是列入政府采购清单的产品。</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3、质量标准按照最新颁布的国家标准、行业标准或制造商企业标准确定，上述标准不一致的，以严格标准为准。</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4、乙方所提供货物还应符合国家和陕西省有关安全、环保、节能之规定，“3C”认证的货物（产品）应加贴“3C”认证标志。</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5、货物制造质量出现问题，乙方应负责三包（包修、包换、包退），费用由乙方负担，甲方有权到乙方生产场地检查货物质量和生产进度。</w:t>
      </w:r>
    </w:p>
    <w:p>
      <w:pPr>
        <w:pStyle w:val="11"/>
        <w:pageBreakBefore w:val="0"/>
        <w:kinsoku/>
        <w:wordWrap/>
        <w:overflowPunct/>
        <w:topLinePunct w:val="0"/>
        <w:autoSpaceDE/>
        <w:autoSpaceDN/>
        <w:bidi w:val="0"/>
        <w:adjustRightInd/>
        <w:spacing w:line="360" w:lineRule="auto"/>
        <w:ind w:firstLine="480"/>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6、质保期：3年。</w:t>
      </w:r>
      <w:bookmarkStart w:id="67" w:name="_GoBack"/>
      <w:bookmarkEnd w:id="67"/>
    </w:p>
    <w:p>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第八条 货物验收</w:t>
      </w:r>
    </w:p>
    <w:p>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1、硬件设备到达甲方指定地点后，组织现场开箱请点验货。所到设备的型号和数量必须与合同一致，甲方和乙方共同签署到货验收单。未签收到货验收单的货物不得擅自开箱安装。</w:t>
      </w:r>
    </w:p>
    <w:p>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2、乙方保证合同所有设备是全新的（包括零部件），其规格参数及配件不低于（符合）本项目磋商文件和响应文件的要求。</w:t>
      </w:r>
    </w:p>
    <w:p>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3、安装完成，乙方进行自测并形成自测报告（软硬件），出现的问题限期整改。自检最终通过后，乙方提出验收申请，甲方组织相关人员进行最终验收。</w:t>
      </w:r>
    </w:p>
    <w:p>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4、设备采购从通过最终验收之日起进入保修期，提供原厂保修升级。</w:t>
      </w:r>
    </w:p>
    <w:p>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第九条 售后服务</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w:t>
      </w:r>
      <w:r>
        <w:rPr>
          <w:rFonts w:hint="eastAsia" w:asciiTheme="minorEastAsia" w:hAnsiTheme="minorEastAsia" w:eastAsiaTheme="minorEastAsia" w:cstheme="minorEastAsia"/>
          <w:sz w:val="24"/>
          <w:szCs w:val="24"/>
          <w:highlight w:val="none"/>
          <w:lang w:val="en-US" w:eastAsia="zh-CN"/>
        </w:rPr>
        <w:t>乙方</w:t>
      </w:r>
      <w:r>
        <w:rPr>
          <w:rFonts w:hint="eastAsia" w:asciiTheme="minorEastAsia" w:hAnsiTheme="minorEastAsia" w:eastAsiaTheme="minorEastAsia" w:cstheme="minorEastAsia"/>
          <w:sz w:val="24"/>
          <w:szCs w:val="24"/>
          <w:highlight w:val="none"/>
        </w:rPr>
        <w:t xml:space="preserve">派专人对学校提供售后服务，并每月定期对所提供的软硬件设备、材料等进行巡检，做好巡检记录；                  </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2、货物（产品）的现场安装、调试和启动监督；</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4、质保期自采购人在货物质量验收单（终验）上签字之日起计算，质保费用计入总价；</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5、乙方对其所提供软硬件设备、材料等负责备品配件的供应，长期提供维修服务，并提供技术咨询等服务。质保期内应无偿负责的维修和替换等工作。超出质保期只收取维修所需原设备、材料成本费用。</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6、服务响应时限：7*24小时服务，提供售后服务电话（应具有：固定电话、移动电话、传真）；</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7、成交供应商在接到采购人通知后维修工作时间不大于24小时，更换工作时间不大于72小时。</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8、在质保期内更换系统中部件（包括软件和硬件），其保修期应相应延长。</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9、所有货物服务方式均为成交供应商上门服务，即由成交供应商派员到货物使用现场维修，由此产生的一切费用均由成交供应商承担；</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10、质保期结束后的货物维修、维护由双方协商再定。</w:t>
      </w:r>
    </w:p>
    <w:p>
      <w:pPr>
        <w:pStyle w:val="11"/>
        <w:pageBreakBefore w:val="0"/>
        <w:kinsoku/>
        <w:wordWrap/>
        <w:overflowPunct/>
        <w:topLinePunct w:val="0"/>
        <w:autoSpaceDE/>
        <w:autoSpaceDN/>
        <w:bidi w:val="0"/>
        <w:adjustRightInd/>
        <w:spacing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第十条</w:t>
      </w:r>
      <w:r>
        <w:rPr>
          <w:rFonts w:hint="eastAsia" w:asciiTheme="minorEastAsia" w:hAnsiTheme="minorEastAsia" w:eastAsiaTheme="minorEastAsia" w:cstheme="minorEastAsia"/>
          <w:b/>
          <w:sz w:val="24"/>
          <w:szCs w:val="24"/>
          <w:highlight w:val="none"/>
          <w:lang w:val="en-US" w:eastAsia="zh-CN"/>
        </w:rPr>
        <w:t xml:space="preserve"> </w:t>
      </w:r>
      <w:r>
        <w:rPr>
          <w:rFonts w:hint="eastAsia" w:asciiTheme="minorEastAsia" w:hAnsiTheme="minorEastAsia" w:eastAsiaTheme="minorEastAsia" w:cstheme="minorEastAsia"/>
          <w:b/>
          <w:sz w:val="24"/>
          <w:szCs w:val="24"/>
          <w:highlight w:val="none"/>
        </w:rPr>
        <w:t>违约责任</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1、甲方违约责任</w:t>
      </w:r>
    </w:p>
    <w:p>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（1）甲方无正当理由拒收货物的，甲方应偿付合同总价3 %的违约金；</w:t>
      </w:r>
    </w:p>
    <w:p>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（2）甲方逾期支付货款的，除应及时付足货款外，应向乙方每天支付欠款总额1‰的滞纳金；但累计滞纳金总额不超过欠款总额的1%。</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2、乙方违约责任</w:t>
      </w:r>
    </w:p>
    <w:p>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（1）如乙方不能交付货物，乙方应向甲方支付合同总价5％的违约金；</w:t>
      </w:r>
    </w:p>
    <w:p>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（2）乙方逾期交付货物的，每逾期1天，乙方向甲方偿付逾期交货部分货款总额的3‰的滞纳金。如乙方逾期交货达15天，甲方有权解除合同，解除合同的通知自到达乙方时生效；</w:t>
      </w:r>
    </w:p>
    <w:p>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（3）乙方所交付的货物品种、型号、规格不符合合同规定的，甲方有权拒收。甲方拒收的，乙方应向甲方支付货款总额5%的违约金；</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（6）乙方未按本合同约定履行自身应尽义务的，应向甲方承担违约责任，按合同总价款的5 %向甲方支付违约金；该违约金的支付不影响乙方应承担的其他违约责任；</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（7）乙方未按本合同的规定和“服务承诺”提供伴随服务/售后服务的，应按合同总价款的5%向甲方承担违约责任；</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（9）乙方偿付的违约金不足以弥补甲方损失的，还应按甲方损失尚未弥补的部分，支付赔偿金给甲方。</w:t>
      </w:r>
    </w:p>
    <w:p>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第十一条 合同的变更和终止</w:t>
      </w:r>
    </w:p>
    <w:p>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除《中华人民共和国政府采购法》第49条、第50条第二款规定的情形外，本合同一经签订，甲乙双方不得擅自变更、中止或终止合同。</w:t>
      </w:r>
    </w:p>
    <w:p>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第十二条 争议的解决</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1、因货物的质量问题发生争议，由质量技术监督部门或其指定的质量鉴定机构进行质量鉴定。货物符合标准的，鉴定费由甲方承担；货物不符合质量标准的，鉴定费由乙方承担。</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2、因履行本合同引</w:t>
      </w:r>
      <w:r>
        <w:rPr>
          <w:rFonts w:hint="eastAsia" w:asciiTheme="minorEastAsia" w:hAnsiTheme="minorEastAsia" w:eastAsiaTheme="minorEastAsia" w:cstheme="minorEastAsia"/>
          <w:color w:val="auto"/>
          <w:sz w:val="24"/>
          <w:szCs w:val="24"/>
          <w:highlight w:val="none"/>
        </w:rPr>
        <w:t>起的或与本合同有关的争议，甲、乙双方应首先通过友好协商解决，如果协商不成，则采取以下第</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2</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种方</w:t>
      </w:r>
      <w:r>
        <w:rPr>
          <w:rFonts w:hint="eastAsia" w:asciiTheme="minorEastAsia" w:hAnsiTheme="minorEastAsia" w:eastAsiaTheme="minorEastAsia" w:cstheme="minorEastAsia"/>
          <w:sz w:val="24"/>
          <w:szCs w:val="24"/>
          <w:highlight w:val="none"/>
        </w:rPr>
        <w:t>式解决争议：</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（1）向甲方所在地有管辖权的人民法院提起诉讼；</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（2）向</w:t>
      </w:r>
      <w:r>
        <w:rPr>
          <w:rFonts w:hint="eastAsia" w:asciiTheme="minorEastAsia" w:hAnsiTheme="minorEastAsia" w:eastAsiaTheme="minorEastAsia" w:cstheme="minorEastAsia"/>
          <w:sz w:val="24"/>
          <w:szCs w:val="24"/>
          <w:highlight w:val="none"/>
          <w:u w:val="single"/>
        </w:rPr>
        <w:t>西安</w:t>
      </w:r>
      <w:r>
        <w:rPr>
          <w:rFonts w:hint="eastAsia" w:asciiTheme="minorEastAsia" w:hAnsiTheme="minorEastAsia" w:eastAsiaTheme="minorEastAsia" w:cstheme="minorEastAsia"/>
          <w:sz w:val="24"/>
          <w:szCs w:val="24"/>
          <w:highlight w:val="none"/>
          <w:u w:val="single"/>
          <w:lang w:eastAsia="zh-CN"/>
        </w:rPr>
        <w:t>市</w:t>
      </w:r>
      <w:r>
        <w:rPr>
          <w:rFonts w:hint="eastAsia" w:asciiTheme="minorEastAsia" w:hAnsiTheme="minorEastAsia" w:eastAsiaTheme="minorEastAsia" w:cstheme="minorEastAsia"/>
          <w:sz w:val="24"/>
          <w:szCs w:val="24"/>
          <w:highlight w:val="none"/>
        </w:rPr>
        <w:t>仲裁委员会按其仲裁规则申请仲裁。</w:t>
      </w:r>
    </w:p>
    <w:p>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sz w:val="24"/>
          <w:szCs w:val="24"/>
          <w:highlight w:val="none"/>
        </w:rPr>
        <w:t>3．在仲</w:t>
      </w:r>
      <w:r>
        <w:rPr>
          <w:rFonts w:hint="eastAsia" w:asciiTheme="minorEastAsia" w:hAnsiTheme="minorEastAsia" w:eastAsiaTheme="minorEastAsia" w:cstheme="minorEastAsia"/>
          <w:sz w:val="24"/>
          <w:szCs w:val="24"/>
          <w:highlight w:val="none"/>
        </w:rPr>
        <w:t>裁期间，本合同应继续履行。</w:t>
      </w:r>
    </w:p>
    <w:p>
      <w:pPr>
        <w:pageBreakBefore w:val="0"/>
        <w:kinsoku/>
        <w:wordWrap/>
        <w:overflowPunct/>
        <w:topLinePunct w:val="0"/>
        <w:autoSpaceDE/>
        <w:autoSpaceDN/>
        <w:bidi w:val="0"/>
        <w:adjustRightInd/>
        <w:snapToGrid w:val="0"/>
        <w:spacing w:before="156" w:beforeLines="50" w:after="156" w:afterLines="50" w:line="360" w:lineRule="auto"/>
        <w:textAlignment w:val="baseline"/>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第十三条 合同生效及其他</w:t>
      </w:r>
    </w:p>
    <w:p>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1、如有未尽事宜，由双方依法订立补充合同。</w:t>
      </w:r>
    </w:p>
    <w:p>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2、本合同自签订之日起生效。</w:t>
      </w:r>
    </w:p>
    <w:p>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3、本合同一式</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份，具有同等法律效力，甲乙双方各执</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份，一份报送政府采购监督管理部门备案。</w:t>
      </w:r>
    </w:p>
    <w:p>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甲方：   （盖章）              </w:t>
      </w: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rPr>
        <w:t xml:space="preserve"> 乙方：   （盖章）</w:t>
      </w:r>
    </w:p>
    <w:p>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法定代表人/授权代表：               法定代表人/授权代表：</w:t>
      </w:r>
    </w:p>
    <w:p>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    址：                          地    址：</w:t>
      </w:r>
    </w:p>
    <w:p>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开户银行：                          开户银行：</w:t>
      </w:r>
    </w:p>
    <w:p>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账    号：                          账    号：</w:t>
      </w:r>
    </w:p>
    <w:p>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    话：                          电    话：</w:t>
      </w:r>
    </w:p>
    <w:p>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传    真：                          传    真：</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sz w:val="24"/>
          <w:szCs w:val="24"/>
          <w:highlight w:val="none"/>
        </w:rPr>
        <w:t>签约日期：    年  月  日            签约日期：    年  月  日</w:t>
      </w:r>
      <w:r>
        <w:rPr>
          <w:rFonts w:hint="eastAsia" w:asciiTheme="minorEastAsia" w:hAnsiTheme="minorEastAsia" w:eastAsiaTheme="minorEastAsia" w:cstheme="minorEastAsia"/>
          <w:color w:val="auto"/>
          <w:sz w:val="24"/>
          <w:szCs w:val="24"/>
          <w:highlight w:val="none"/>
        </w:rPr>
        <w:t>）接受方在本协议保密条款签订之前已经知道的资料；（4）因法律行为（包括诉讼、仲裁等行为）和执行国家政策的需要进行披露的资料。</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本合同壹式</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份，甲乙双方各执</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份，具有同等法律效力。</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p>
    <w:p>
      <w:pPr>
        <w:pStyle w:val="6"/>
        <w:keepNext w:val="0"/>
        <w:keepLines w:val="0"/>
        <w:pageBreakBefore w:val="0"/>
        <w:widowControl w:val="0"/>
        <w:kinsoku/>
        <w:wordWrap/>
        <w:overflowPunct/>
        <w:topLinePunct w:val="0"/>
        <w:bidi w:val="0"/>
        <w:snapToGrid/>
        <w:spacing w:after="0" w:afterLines="0"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甲方： （盖章）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乙方： （盖章）</w:t>
      </w:r>
    </w:p>
    <w:p>
      <w:pPr>
        <w:pStyle w:val="6"/>
        <w:keepNext w:val="0"/>
        <w:keepLines w:val="0"/>
        <w:pageBreakBefore w:val="0"/>
        <w:widowControl w:val="0"/>
        <w:kinsoku/>
        <w:wordWrap/>
        <w:overflowPunct/>
        <w:topLinePunct w:val="0"/>
        <w:bidi w:val="0"/>
        <w:snapToGrid/>
        <w:spacing w:after="0" w:afterLines="0"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法定代表人：</w:t>
      </w:r>
      <w:r>
        <w:rPr>
          <w:rFonts w:hint="eastAsia" w:asciiTheme="minorEastAsia" w:hAnsiTheme="minorEastAsia" w:eastAsiaTheme="minorEastAsia" w:cstheme="minorEastAsia"/>
          <w:sz w:val="24"/>
          <w:szCs w:val="24"/>
          <w:highlight w:val="none"/>
          <w:lang w:val="en-US" w:eastAsia="zh-CN"/>
        </w:rPr>
        <w:t xml:space="preserve"> </w:t>
      </w:r>
    </w:p>
    <w:p>
      <w:pPr>
        <w:pStyle w:val="6"/>
        <w:keepNext w:val="0"/>
        <w:keepLines w:val="0"/>
        <w:pageBreakBefore w:val="0"/>
        <w:widowControl w:val="0"/>
        <w:kinsoku/>
        <w:wordWrap/>
        <w:overflowPunct/>
        <w:topLinePunct w:val="0"/>
        <w:bidi w:val="0"/>
        <w:snapToGrid/>
        <w:spacing w:after="0" w:afterLines="0"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授权代表：</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授权代表：</w:t>
      </w:r>
      <w:r>
        <w:rPr>
          <w:rFonts w:hint="eastAsia" w:asciiTheme="minorEastAsia" w:hAnsiTheme="minorEastAsia" w:eastAsiaTheme="minorEastAsia" w:cstheme="minorEastAsia"/>
          <w:sz w:val="24"/>
          <w:szCs w:val="24"/>
          <w:highlight w:val="none"/>
          <w:lang w:val="en-US" w:eastAsia="zh-CN"/>
        </w:rPr>
        <w:t xml:space="preserve">  </w:t>
      </w:r>
    </w:p>
    <w:p>
      <w:pPr>
        <w:pStyle w:val="6"/>
        <w:keepNext w:val="0"/>
        <w:keepLines w:val="0"/>
        <w:pageBreakBefore w:val="0"/>
        <w:widowControl w:val="0"/>
        <w:kinsoku/>
        <w:wordWrap/>
        <w:overflowPunct/>
        <w:topLinePunct w:val="0"/>
        <w:bidi w:val="0"/>
        <w:snapToGrid/>
        <w:spacing w:after="0" w:afterLines="0"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地 址：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地 址：</w:t>
      </w:r>
    </w:p>
    <w:p>
      <w:pPr>
        <w:pStyle w:val="6"/>
        <w:keepNext w:val="0"/>
        <w:keepLines w:val="0"/>
        <w:pageBreakBefore w:val="0"/>
        <w:widowControl w:val="0"/>
        <w:kinsoku/>
        <w:wordWrap/>
        <w:overflowPunct/>
        <w:topLinePunct w:val="0"/>
        <w:bidi w:val="0"/>
        <w:snapToGrid/>
        <w:spacing w:after="0" w:afterLines="0"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开户银行：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开户银行：</w:t>
      </w:r>
    </w:p>
    <w:p>
      <w:pPr>
        <w:pStyle w:val="6"/>
        <w:keepNext w:val="0"/>
        <w:keepLines w:val="0"/>
        <w:pageBreakBefore w:val="0"/>
        <w:widowControl w:val="0"/>
        <w:kinsoku/>
        <w:wordWrap/>
        <w:overflowPunct/>
        <w:topLinePunct w:val="0"/>
        <w:bidi w:val="0"/>
        <w:snapToGrid/>
        <w:spacing w:after="0" w:afterLines="0"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账号：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账号：</w:t>
      </w:r>
    </w:p>
    <w:p>
      <w:pPr>
        <w:pStyle w:val="6"/>
        <w:keepNext w:val="0"/>
        <w:keepLines w:val="0"/>
        <w:pageBreakBefore w:val="0"/>
        <w:widowControl w:val="0"/>
        <w:kinsoku/>
        <w:wordWrap/>
        <w:overflowPunct/>
        <w:topLinePunct w:val="0"/>
        <w:bidi w:val="0"/>
        <w:snapToGrid/>
        <w:spacing w:after="0" w:afterLines="0"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电 话：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电 话：</w:t>
      </w:r>
    </w:p>
    <w:p>
      <w:pPr>
        <w:pStyle w:val="6"/>
        <w:keepNext w:val="0"/>
        <w:keepLines w:val="0"/>
        <w:pageBreakBefore w:val="0"/>
        <w:widowControl w:val="0"/>
        <w:kinsoku/>
        <w:wordWrap/>
        <w:overflowPunct/>
        <w:topLinePunct w:val="0"/>
        <w:bidi w:val="0"/>
        <w:snapToGrid/>
        <w:spacing w:after="0" w:afterLines="0"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传 真：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传 真：</w:t>
      </w:r>
    </w:p>
    <w:p>
      <w:pPr>
        <w:pStyle w:val="6"/>
        <w:keepNext w:val="0"/>
        <w:keepLines w:val="0"/>
        <w:pageBreakBefore w:val="0"/>
        <w:widowControl w:val="0"/>
        <w:kinsoku/>
        <w:wordWrap/>
        <w:overflowPunct/>
        <w:topLinePunct w:val="0"/>
        <w:bidi w:val="0"/>
        <w:snapToGrid/>
        <w:spacing w:after="0" w:afterLines="0"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签约日期：</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 xml:space="preserve">日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签约日期：</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日</w:t>
      </w:r>
    </w:p>
    <w:sectPr>
      <w:pgSz w:w="11906" w:h="16838"/>
      <w:pgMar w:top="1417" w:right="1418" w:bottom="1417" w:left="1417"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0YjJlMzMzZGU3MjJkMThjN2NkYjliNDkwNTA3MzEifQ=="/>
  </w:docVars>
  <w:rsids>
    <w:rsidRoot w:val="76CB03C9"/>
    <w:rsid w:val="00A4409C"/>
    <w:rsid w:val="07A019A5"/>
    <w:rsid w:val="0AFD710E"/>
    <w:rsid w:val="0BDA7DDB"/>
    <w:rsid w:val="0D554FDF"/>
    <w:rsid w:val="10BC5375"/>
    <w:rsid w:val="125A1663"/>
    <w:rsid w:val="1A423B81"/>
    <w:rsid w:val="1B79633D"/>
    <w:rsid w:val="247B4ED4"/>
    <w:rsid w:val="24FB6014"/>
    <w:rsid w:val="2A30050E"/>
    <w:rsid w:val="2BD01C52"/>
    <w:rsid w:val="300C557A"/>
    <w:rsid w:val="30F304E8"/>
    <w:rsid w:val="3A856D10"/>
    <w:rsid w:val="3F286E52"/>
    <w:rsid w:val="3F4D5267"/>
    <w:rsid w:val="529C2335"/>
    <w:rsid w:val="5CB62246"/>
    <w:rsid w:val="5ED54C05"/>
    <w:rsid w:val="6E8963C6"/>
    <w:rsid w:val="746B42E5"/>
    <w:rsid w:val="76CB03C9"/>
    <w:rsid w:val="7D6E02A7"/>
    <w:rsid w:val="7E314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paragraph" w:styleId="4">
    <w:name w:val="heading 3"/>
    <w:basedOn w:val="1"/>
    <w:next w:val="1"/>
    <w:link w:val="9"/>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next w:val="1"/>
    <w:qFormat/>
    <w:uiPriority w:val="0"/>
    <w:pPr>
      <w:spacing w:after="120" w:afterLines="0"/>
    </w:pPr>
    <w:rPr>
      <w:rFonts w:ascii="Times New Roman"/>
      <w:kern w:val="2"/>
      <w:sz w:val="21"/>
    </w:rPr>
  </w:style>
  <w:style w:type="character" w:customStyle="1" w:styleId="9">
    <w:name w:val="标题 3 Char"/>
    <w:link w:val="4"/>
    <w:qFormat/>
    <w:uiPriority w:val="0"/>
    <w:rPr>
      <w:rFonts w:ascii="Times New Roman" w:hAnsi="Times New Roman" w:eastAsia="仿宋"/>
      <w:b/>
      <w:bCs/>
      <w:kern w:val="2"/>
      <w:sz w:val="24"/>
      <w:szCs w:val="24"/>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2023-08-09T09:59:00Z</dcterms:created>
  <dc:creator>？</dc:creator>
  <cp:lastModifiedBy>？</cp:lastModifiedBy>
  <dcterms:modified xsi:type="dcterms:W3CDTF">2023-10-23T08:24:52Z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3006C60F7B3E4FC185664B3083845DA4_11</vt:lpwstr>
  </property>
</Properties>
</file>