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版本号：YDCZB-2503320250624001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西安市长安区细柳街道中心幼儿园空调设备采购项目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YDCZB-25033</w:t>
      </w:r>
      <w:r>
        <w:br/>
      </w:r>
      <w:r>
        <w:br/>
      </w:r>
      <w:r>
        <w:br/>
      </w:r>
    </w:p>
    <w:p>
      <w:pPr>
        <w:pStyle w:val="null3"/>
        <w:jc w:val="center"/>
        <w:outlineLvl w:val="2"/>
      </w:pPr>
      <w:r>
        <w:rPr>
          <w:rFonts w:ascii="仿宋_GB2312" w:hAnsi="仿宋_GB2312" w:cs="仿宋_GB2312" w:eastAsia="仿宋_GB2312"/>
          <w:sz w:val="28"/>
          <w:b/>
        </w:rPr>
        <w:t>长安区细柳街道中心学校</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长安区细柳街道中心学校</w:t>
      </w:r>
      <w:r>
        <w:rPr>
          <w:rFonts w:ascii="仿宋_GB2312" w:hAnsi="仿宋_GB2312" w:cs="仿宋_GB2312" w:eastAsia="仿宋_GB2312"/>
        </w:rPr>
        <w:t>委托，拟对</w:t>
      </w:r>
      <w:r>
        <w:rPr>
          <w:rFonts w:ascii="仿宋_GB2312" w:hAnsi="仿宋_GB2312" w:cs="仿宋_GB2312" w:eastAsia="仿宋_GB2312"/>
        </w:rPr>
        <w:t>西安市长安区细柳街道中心幼儿园空调设备采购项目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西安市长安区细柳街道中心幼儿园空调设备采购项目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西安市长安区细柳街道中心幼儿园空调设备采购项目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长安区细柳街道中心学校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陕西省西安市长安区细柳街道大羊村西安市长安区细柳街道中心幼儿园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029-84158335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布《招标代理服务收费管理暂行办法》（计价格[2002]1980号）和国家发展和改革委员会办公厅颁发的《关于招标代理服务收费有关问题的通知》（发改办价格[2003]857号）文件规定执行。收款账号：开户名称：西安壹鼎城招标有限公司 开户银行：中国农业银行股份有限公司西安丈八四路支行 账 号：26121201040005983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长安区细柳街道中心学校</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长安区细柳街道中心学校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地址：陕西省西安市高新区沣惠南路18号西格玛大厦201室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西安市长安区细柳街道中心幼儿园空调设备采购项目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395,500.00</w:t>
      </w:r>
    </w:p>
    <w:p>
      <w:pPr>
        <w:pStyle w:val="null3"/>
      </w:pPr>
      <w:r>
        <w:rPr>
          <w:rFonts w:ascii="仿宋_GB2312" w:hAnsi="仿宋_GB2312" w:cs="仿宋_GB2312" w:eastAsia="仿宋_GB2312"/>
        </w:rPr>
        <w:t>采购包最高限价（元）: 395,500.00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西安市长安区细柳街道中心幼儿园空调设备采购项目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标的名称：西安市长安区细柳街道中心幼儿园空调设备采购项目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一、售后服务要求</w:t>
            </w:r>
            <w:r>
              <w:rPr>
                <w:rFonts w:ascii="仿宋_GB2312" w:hAnsi="仿宋_GB2312" w:cs="仿宋_GB2312" w:eastAsia="仿宋_GB2312"/>
                <w:sz w:val="20"/>
                <w:b/>
                <w:color w:val="000000"/>
              </w:rPr>
              <w:t>：</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、货物（产品）的现场安装、调试和启动监督；</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、质保期自采购人在货物质量验收单（终验）上签字之日起计算，质保费用计入总价；</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、乙方对其所提供软硬件设备、材料等负责备品配件的供应，长期提供维修服务，并提供技术咨询等服务。质保期内应无偿负责的维修和替换等工作。超出质保期只收取维修所需原设备、材料成本费用。</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、服务响应时限：7*24小时服务，提供售后服务电话（应具有：固定电话、移动电话、传真）；</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、成交供应商在接到采购人通知后维修工作时间不大于24小时，更换工作时间不大于72小时。</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、若乙方未按照合同规定的售后服务要求执行，甲方有权自行选择第三方进行维护和修理，所产生的费用将从质保金中扣除。</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、在质保期内更换系统中部件（包括软件和硬件），其保修期应相应延长。</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、所有货物服务方式均为成交供应商上门服务，即由成交供应商派员到货物使用现场维修，由此产生的一切费用均由成交供应商承担；</w:t>
            </w:r>
          </w:p>
          <w:p>
            <w:pPr>
              <w:pStyle w:val="null3"/>
              <w:ind w:firstLine="400"/>
              <w:jc w:val="left"/>
            </w:pPr>
            <w:r>
              <w:rPr>
                <w:rFonts w:ascii="仿宋_GB2312" w:hAnsi="仿宋_GB2312" w:cs="仿宋_GB2312" w:eastAsia="仿宋_GB2312"/>
                <w:sz w:val="20"/>
              </w:rPr>
              <w:t>10</w:t>
            </w:r>
            <w:r>
              <w:rPr>
                <w:rFonts w:ascii="仿宋_GB2312" w:hAnsi="仿宋_GB2312" w:cs="仿宋_GB2312" w:eastAsia="仿宋_GB2312"/>
                <w:sz w:val="20"/>
              </w:rPr>
              <w:t>、质保期结束后的货物维修、维护由双方协商再定；</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、质保期：设备通过采购人最终验收之日起2年。</w:t>
            </w:r>
          </w:p>
          <w:p>
            <w:pPr>
              <w:pStyle w:val="null3"/>
              <w:ind w:firstLine="402"/>
              <w:jc w:val="both"/>
            </w:pPr>
            <w:r>
              <w:rPr>
                <w:rFonts w:ascii="仿宋_GB2312" w:hAnsi="仿宋_GB2312" w:cs="仿宋_GB2312" w:eastAsia="仿宋_GB2312"/>
                <w:sz w:val="20"/>
                <w:b/>
                <w:color w:val="000000"/>
              </w:rPr>
              <w:t>二、交货、验收要求：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、设备到达甲方指定地点后，组织现场开箱请点验货。所到设备的型号和数量必须与合同一致，甲方和乙方共同签署到货验收单。未签收到货验收单的货物不得擅自开箱安装。</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、乙方保证合同所有设备是全新的（包括零部件），其规格参数及配件不低于（符合）本项目磋商文件和响应文件的要求。</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、安装完成，乙方进行自测并形成自测报告，出现的问题限期整改。自检最终通过后，乙方提出验收申请，甲方组织相关人员进行最终验收。</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、设备采购从通过最终验收之日起进入保修期，提供原厂保修。</w:t>
            </w:r>
          </w:p>
          <w:tbl>
            <w:tblPr>
              <w:tblBorders>
                <w:top w:val="none" w:color="000000" w:sz="4"/>
                <w:left w:val="none" w:color="000000" w:sz="4"/>
                <w:bottom w:val="none" w:color="000000" w:sz="4"/>
                <w:right w:val="none" w:color="000000" w:sz="4"/>
                <w:insideH w:val="none"/>
                <w:insideV w:val="none"/>
              </w:tblBorders>
            </w:tblPr>
            <w:tblGrid>
              <w:gridCol w:w="200"/>
              <w:gridCol w:w="429"/>
              <w:gridCol w:w="1211"/>
              <w:gridCol w:w="249"/>
              <w:gridCol w:w="206"/>
              <w:gridCol w:w="255"/>
            </w:tblGrid>
            <w:tr>
              <w:tc>
                <w:tcPr>
                  <w:tcW w:type="dxa" w:w="200"/>
                  <w:tcBorders>
                    <w:top w:val="single" w:color="000000" w:sz="4"/>
                    <w:left w:val="single" w:color="000000" w:sz="4"/>
                    <w:bottom w:val="single" w:color="000000" w:sz="4"/>
                    <w:right w:val="single" w:color="000000" w:sz="4"/>
                  </w:tcBorders>
                  <w:shd w:fill="FFFFFF"/>
                  <w:tcMar>
                    <w:top w:type="dxa" w:w="1"/>
                    <w:left w:type="dxa" w:w="1"/>
                    <w:bottom w:type="dxa" w:w="1"/>
                    <w:right w:type="dxa" w:w="1"/>
                  </w:tcMar>
                </w:tcPr>
                <w:p>
                  <w:pPr>
                    <w:pStyle w:val="null3"/>
                    <w:ind w:left="45" w:firstLine="2"/>
                    <w:jc w:val="center"/>
                  </w:pPr>
                  <w:r>
                    <w:rPr>
                      <w:rFonts w:ascii="仿宋_GB2312" w:hAnsi="仿宋_GB2312" w:cs="仿宋_GB2312" w:eastAsia="仿宋_GB2312"/>
                      <w:sz w:val="20"/>
                      <w:color w:val="000000"/>
                    </w:rPr>
                    <w:t>序号</w:t>
                  </w:r>
                </w:p>
              </w:tc>
              <w:tc>
                <w:tcPr>
                  <w:tcW w:type="dxa" w:w="429"/>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20"/>
                      <w:color w:val="000000"/>
                    </w:rPr>
                    <w:t>设备名称</w:t>
                  </w:r>
                </w:p>
              </w:tc>
              <w:tc>
                <w:tcPr>
                  <w:tcW w:type="dxa" w:w="1211"/>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20"/>
                      <w:color w:val="000000"/>
                    </w:rPr>
                    <w:t>规格、型号</w:t>
                  </w:r>
                </w:p>
              </w:tc>
              <w:tc>
                <w:tcPr>
                  <w:tcW w:type="dxa" w:w="249"/>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20"/>
                      <w:color w:val="000000"/>
                    </w:rPr>
                    <w:t>单位</w:t>
                  </w:r>
                </w:p>
              </w:tc>
              <w:tc>
                <w:tcPr>
                  <w:tcW w:type="dxa" w:w="206"/>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20"/>
                      <w:color w:val="000000"/>
                    </w:rPr>
                    <w:t>数量</w:t>
                  </w:r>
                </w:p>
              </w:tc>
              <w:tc>
                <w:tcPr>
                  <w:tcW w:type="dxa" w:w="255"/>
                  <w:tcBorders>
                    <w:top w:val="singl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20"/>
                      <w:color w:val="000000"/>
                    </w:rPr>
                    <w:t>备注</w:t>
                  </w:r>
                </w:p>
              </w:tc>
            </w:tr>
            <w:tr>
              <w:tc>
                <w:tcPr>
                  <w:tcW w:type="dxa" w:w="200"/>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color w:val="000000"/>
                    </w:rPr>
                    <w:t>1</w:t>
                  </w:r>
                </w:p>
              </w:tc>
              <w:tc>
                <w:tcPr>
                  <w:tcW w:type="dxa" w:w="4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0"/>
                    </w:rPr>
                    <w:t>1.5P</w:t>
                  </w:r>
                  <w:r>
                    <w:rPr>
                      <w:rFonts w:ascii="仿宋_GB2312" w:hAnsi="仿宋_GB2312" w:cs="仿宋_GB2312" w:eastAsia="仿宋_GB2312"/>
                      <w:sz w:val="20"/>
                    </w:rPr>
                    <w:t>变频冷暖分体式挂机</w:t>
                  </w:r>
                </w:p>
              </w:tc>
              <w:tc>
                <w:tcPr>
                  <w:tcW w:type="dxa" w:w="121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1.5P</w:t>
                  </w:r>
                  <w:r>
                    <w:rPr>
                      <w:rFonts w:ascii="仿宋_GB2312" w:hAnsi="仿宋_GB2312" w:cs="仿宋_GB2312" w:eastAsia="仿宋_GB2312"/>
                      <w:sz w:val="20"/>
                    </w:rPr>
                    <w:t>冷暖双制式挂机</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制冷量：≥3500W</w:t>
                  </w:r>
                </w:p>
                <w:p>
                  <w:pPr>
                    <w:pStyle w:val="null3"/>
                    <w:jc w:val="left"/>
                  </w:pPr>
                  <w:r>
                    <w:rPr>
                      <w:rFonts w:ascii="仿宋_GB2312" w:hAnsi="仿宋_GB2312" w:cs="仿宋_GB2312" w:eastAsia="仿宋_GB2312"/>
                      <w:sz w:val="20"/>
                    </w:rPr>
                    <w:t>制热量：≥4500W</w:t>
                  </w:r>
                </w:p>
                <w:p>
                  <w:pPr>
                    <w:pStyle w:val="null3"/>
                    <w:jc w:val="left"/>
                  </w:pPr>
                  <w:r>
                    <w:rPr>
                      <w:rFonts w:ascii="仿宋_GB2312" w:hAnsi="仿宋_GB2312" w:cs="仿宋_GB2312" w:eastAsia="仿宋_GB2312"/>
                      <w:sz w:val="20"/>
                    </w:rPr>
                    <w:t>标准工况制冷输入功率：≤1000W</w:t>
                  </w:r>
                </w:p>
                <w:p>
                  <w:pPr>
                    <w:pStyle w:val="null3"/>
                    <w:jc w:val="left"/>
                  </w:pPr>
                  <w:r>
                    <w:rPr>
                      <w:rFonts w:ascii="仿宋_GB2312" w:hAnsi="仿宋_GB2312" w:cs="仿宋_GB2312" w:eastAsia="仿宋_GB2312"/>
                      <w:sz w:val="20"/>
                    </w:rPr>
                    <w:t>标准工况制热输入功率：≤1500W</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循环风量≥600m³/h</w:t>
                  </w:r>
                </w:p>
                <w:p>
                  <w:pPr>
                    <w:pStyle w:val="null3"/>
                    <w:jc w:val="left"/>
                  </w:pPr>
                  <w:r>
                    <w:rPr>
                      <w:rFonts w:ascii="仿宋_GB2312" w:hAnsi="仿宋_GB2312" w:cs="仿宋_GB2312" w:eastAsia="仿宋_GB2312"/>
                      <w:sz w:val="20"/>
                    </w:rPr>
                    <w:t>运行最小噪音室内≤41 dB（A），室外≤51 dB（A）</w:t>
                  </w:r>
                </w:p>
                <w:p>
                  <w:pPr>
                    <w:pStyle w:val="null3"/>
                    <w:jc w:val="left"/>
                  </w:pPr>
                  <w:r>
                    <w:rPr>
                      <w:rFonts w:ascii="仿宋_GB2312" w:hAnsi="仿宋_GB2312" w:cs="仿宋_GB2312" w:eastAsia="仿宋_GB2312"/>
                      <w:sz w:val="20"/>
                    </w:rPr>
                    <w:t>防触电保护类别：I</w:t>
                  </w:r>
                </w:p>
              </w:tc>
              <w:tc>
                <w:tcPr>
                  <w:tcW w:type="dxa" w:w="24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rPr>
                    <w:t>套</w:t>
                  </w:r>
                </w:p>
              </w:tc>
              <w:tc>
                <w:tcPr>
                  <w:tcW w:type="dxa" w:w="20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rPr>
                    <w:t>15</w:t>
                  </w:r>
                </w:p>
              </w:tc>
              <w:tc>
                <w:tcPr>
                  <w:tcW w:type="dxa" w:w="255"/>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color w:val="000000"/>
                    </w:rPr>
                    <w:t>2</w:t>
                  </w:r>
                </w:p>
              </w:tc>
              <w:tc>
                <w:tcPr>
                  <w:tcW w:type="dxa" w:w="42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ind w:firstLine="100"/>
                    <w:jc w:val="left"/>
                  </w:pPr>
                  <w:r>
                    <w:rPr>
                      <w:rFonts w:ascii="仿宋_GB2312" w:hAnsi="仿宋_GB2312" w:cs="仿宋_GB2312" w:eastAsia="仿宋_GB2312"/>
                      <w:sz w:val="20"/>
                    </w:rPr>
                    <w:t>3P</w:t>
                  </w:r>
                  <w:r>
                    <w:rPr>
                      <w:rFonts w:ascii="仿宋_GB2312" w:hAnsi="仿宋_GB2312" w:cs="仿宋_GB2312" w:eastAsia="仿宋_GB2312"/>
                      <w:sz w:val="20"/>
                    </w:rPr>
                    <w:t>变频冷暖分体式柜机</w:t>
                  </w:r>
                </w:p>
              </w:tc>
              <w:tc>
                <w:tcPr>
                  <w:tcW w:type="dxa" w:w="121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3P</w:t>
                  </w:r>
                  <w:r>
                    <w:rPr>
                      <w:rFonts w:ascii="仿宋_GB2312" w:hAnsi="仿宋_GB2312" w:cs="仿宋_GB2312" w:eastAsia="仿宋_GB2312"/>
                      <w:sz w:val="20"/>
                    </w:rPr>
                    <w:t>冷暖双制式柜机</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制冷量：≥7200W</w:t>
                  </w:r>
                </w:p>
                <w:p>
                  <w:pPr>
                    <w:pStyle w:val="null3"/>
                    <w:jc w:val="both"/>
                  </w:pPr>
                  <w:r>
                    <w:rPr>
                      <w:rFonts w:ascii="仿宋_GB2312" w:hAnsi="仿宋_GB2312" w:cs="仿宋_GB2312" w:eastAsia="仿宋_GB2312"/>
                      <w:sz w:val="20"/>
                    </w:rPr>
                    <w:t>制热量：≥9000W</w:t>
                  </w:r>
                </w:p>
                <w:p>
                  <w:pPr>
                    <w:pStyle w:val="null3"/>
                    <w:jc w:val="left"/>
                  </w:pPr>
                  <w:r>
                    <w:rPr>
                      <w:rFonts w:ascii="仿宋_GB2312" w:hAnsi="仿宋_GB2312" w:cs="仿宋_GB2312" w:eastAsia="仿宋_GB2312"/>
                      <w:sz w:val="20"/>
                    </w:rPr>
                    <w:t>标准工况制冷输入功率：≤2500W</w:t>
                  </w:r>
                </w:p>
                <w:p>
                  <w:pPr>
                    <w:pStyle w:val="null3"/>
                    <w:jc w:val="both"/>
                  </w:pPr>
                  <w:r>
                    <w:rPr>
                      <w:rFonts w:ascii="仿宋_GB2312" w:hAnsi="仿宋_GB2312" w:cs="仿宋_GB2312" w:eastAsia="仿宋_GB2312"/>
                      <w:sz w:val="20"/>
                    </w:rPr>
                    <w:t>标准工况制热输入功率：≤3500W</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循环风量≥1200m³/h</w:t>
                  </w:r>
                </w:p>
                <w:p>
                  <w:pPr>
                    <w:pStyle w:val="null3"/>
                    <w:jc w:val="both"/>
                  </w:pPr>
                  <w:r>
                    <w:rPr>
                      <w:rFonts w:ascii="仿宋_GB2312" w:hAnsi="仿宋_GB2312" w:cs="仿宋_GB2312" w:eastAsia="仿宋_GB2312"/>
                      <w:sz w:val="20"/>
                    </w:rPr>
                    <w:t>运行最小噪音室内≤40 dB（A），室外≤60 dB（A）</w:t>
                  </w:r>
                </w:p>
                <w:p>
                  <w:pPr>
                    <w:pStyle w:val="null3"/>
                    <w:jc w:val="both"/>
                  </w:pPr>
                  <w:r>
                    <w:rPr>
                      <w:rFonts w:ascii="仿宋_GB2312" w:hAnsi="仿宋_GB2312" w:cs="仿宋_GB2312" w:eastAsia="仿宋_GB2312"/>
                      <w:sz w:val="20"/>
                    </w:rPr>
                    <w:t>防触电保护类别：I</w:t>
                  </w:r>
                </w:p>
              </w:tc>
              <w:tc>
                <w:tcPr>
                  <w:tcW w:type="dxa" w:w="249"/>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rPr>
                    <w:t>套</w:t>
                  </w:r>
                </w:p>
              </w:tc>
              <w:tc>
                <w:tcPr>
                  <w:tcW w:type="dxa" w:w="206"/>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rPr>
                    <w:t>48</w:t>
                  </w:r>
                </w:p>
              </w:tc>
              <w:tc>
                <w:tcPr>
                  <w:tcW w:type="dxa" w:w="255"/>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0"/>
                      <w:b/>
                    </w:rPr>
                    <w:t>核心产品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自合同签订之日起35日历日内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，货物送至采购人指定地点，安装、调试完毕并通过采购人验收合格后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(1)验收方式：货物运送到采购人指定地点后，由采购人和供应商一起组织验收， 验收合格后签署验收报告； (2)验收内容 ：设备安装调试完毕后，由采购人和供应商按照磋商文件、响应文件的要求进行功能性验收，此验收为最终验收（3）其他内容：供应商提供的技术文件应能够满足本项目安装、使用、维护的需要，包括但不限于操作手册、用户手册、维护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1、设备通过采购人最终验收之日起2年；2、产品在正常使用条件下应当具备国家或行业标准确定的质量标准和使用性能，在质保期内，如果出现非人为因素造成的质量问题，供应商应提供免费维修或更换服务；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3.5.2本项目采购人为西安市长安区细柳街道中心幼儿园，成交供应商中标后与西安市长安区细柳街道中心幼儿园签订合同，并按照中心幼儿园的要求供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技术要求应答表 资格证明材料 标的清单 报价表 商务要求应答表 陕西省政府采购投标人拒绝政府采购领域商业贿赂承诺书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技术要求应答表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技术要求应答表 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供应商认为需要补充的其他内容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根据采购内容及技术要求中的重要技术参数指标（▲项）优于或完全符合磋商文件要求，没有负偏离计9分；每负偏离一项扣1.5分，扣完为止 。 注：带“▲”的重要技术指标、参数，供应商须提供相关技术参数的佐证证明材料，未按要求提供的不得分。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根据供应商提供的项目实施方案，内容包括但不限于①人员、物力调配安排方案②运输成品保护方案③运输中遇到的紧急情况处理方案④安装及调试方案⑤项目验收方案等进行综合评审等。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核心产品供货渠道证明</w:t>
            </w:r>
          </w:p>
        </w:tc>
        <w:tc>
          <w:tcPr>
            <w:tcW w:type="dxa" w:w="2492"/>
          </w:tcPr>
          <w:p>
            <w:pPr>
              <w:pStyle w:val="null3"/>
            </w:pPr>
            <w:r>
              <w:rPr>
                <w:rFonts w:ascii="仿宋_GB2312" w:hAnsi="仿宋_GB2312" w:cs="仿宋_GB2312" w:eastAsia="仿宋_GB2312"/>
              </w:rPr>
              <w:t>提供所投核心产品合法来源渠道证明文件（包括但不限于销售协议或代理协议或原厂授权等），提供有效的证明文件，得2分。 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资格证明材料</w:t>
            </w:r>
          </w:p>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供应商提供针对本项目的进度计划，内容包含但不限于①进度计划安排②进度计划保障措施等进行综合评审。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根据供应商提供的售后服务方案，内容包含但不限于①售后服务机构②售后服务保障措施③故障响应时间、响应方式④产品质量问题退货、换货方案⑤售后服务承诺等。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1.提供2022年1月1日至今（以签订合同时间为准）所投空调挂机业绩证明材料，每提供1份有效业绩得1分，本项最高得2分； 2.提供2022年1月1日至今（以签订合同时间为准）所投空调柜机业绩证明材料，每提供1份有效业绩得1分，本项最高得3分； 注： 1.同一业绩中同时包含所投空调挂机和柜机，可重复计分； 2.业绩中须明确设备型号，且与所投产品型号一致；供应商可以提供制造商或其他单位业绩，但必须含所投设备型号。 3.以上业绩须附合同复印件加盖公章。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详见附件：供应商认为需要补充的其他内容</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详见附件：业绩情况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