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版本号：SXHC2025-12120250626001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秦渡分队营房租赁项目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SXHC2025-121</w:t>
      </w:r>
      <w:r>
        <w:br/>
      </w:r>
      <w:r>
        <w:br/>
      </w:r>
      <w:r>
        <w:br/>
      </w:r>
    </w:p>
    <w:p>
      <w:pPr>
        <w:pStyle w:val="null3"/>
        <w:jc w:val="center"/>
        <w:outlineLvl w:val="5"/>
      </w:pPr>
      <w:r>
        <w:rPr>
          <w:rFonts w:ascii="仿宋_GB2312" w:hAnsi="仿宋_GB2312" w:cs="仿宋_GB2312" w:eastAsia="仿宋_GB2312"/>
          <w:sz w:val="15"/>
          <w:b/>
        </w:rPr>
        <w:t>西安市公安局交通管理支队高新大队</w:t>
      </w:r>
    </w:p>
    <w:p>
      <w:pPr>
        <w:pStyle w:val="null3"/>
        <w:jc w:val="center"/>
        <w:outlineLvl w:val="5"/>
      </w:pPr>
      <w:r>
        <w:rPr>
          <w:rFonts w:ascii="仿宋_GB2312" w:hAnsi="仿宋_GB2312" w:cs="仿宋_GB2312" w:eastAsia="仿宋_GB2312"/>
          <w:sz w:val="15"/>
          <w:b/>
        </w:rPr>
        <w:t>陕西华采招标有限公司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西安市公安局交通管理支队高新大队</w:t>
      </w:r>
      <w:r>
        <w:rPr>
          <w:rFonts w:ascii="仿宋_GB2312" w:hAnsi="仿宋_GB2312" w:cs="仿宋_GB2312" w:eastAsia="仿宋_GB2312"/>
        </w:rPr>
        <w:t>委托，拟对</w:t>
      </w:r>
      <w:r>
        <w:rPr>
          <w:rFonts w:ascii="仿宋_GB2312" w:hAnsi="仿宋_GB2312" w:cs="仿宋_GB2312" w:eastAsia="仿宋_GB2312"/>
        </w:rPr>
        <w:t>秦渡分队营房租赁项目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SXHC2025-121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秦渡分队营房租赁项目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为确保交警大队高新大队秦渡分队的正常办，方便辖区群众办事，现需对泰渡分队营房租赁项目进行采购，地理位靠近泰渡主街交通便利。</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采购包1（西安市公安局交通管理支队高新大队秦渡分队营房租赁项目）：属于专门面向中小企业采购。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2、供应商关联关系声明：供应商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3、信誉要求：供应商未列入“失信被执行人”、“重大税收违法案件当事人名单”和“政府采购严重违法失信行为记录名单”。</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西安市公安局交通管理支队高新大队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西安市长安区丈八七路18号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029-86750507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西安高新区锦业路1号绿地领海大厦B座10层1006室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张瑞娜、赵凡、张聪聪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 &gt;的通知》（计价格〔2002〕1980号）及《国家发改委关于降低部分建设项目收费标准规范收费行 为等有关问题的通知（发改价格〔2011〕534号）规定按标准收取。若按照标准收取不足6000元，按6000元计取。 代理服务费缴纳信息如下： 银行户名：陕西华采招标有限公司 开户行名称 ：招商银行股份有限公司陕西自贸试验区西安高新科技支行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西安市公安局交通管理支队高新大队</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西安市公安局交通管理支队高新大队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为确保交警大队高新大队秦渡分队的正常办，方便辖区群众办事，现需对泰渡分队营房租赁项目进行采购，地理位靠近泰渡主街交通便利。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西安市公安局交通管理支队高新大队秦渡分队营房租赁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标的名称：西安市公安局交通管理支队高新大队秦渡分队营房租赁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为了确保交警高新大队秦渡分队的正常办公，方便辖区群众办事，需在秦渡辖区租赁秦渡分队营房。</w:t>
            </w:r>
          </w:p>
          <w:p>
            <w:pPr>
              <w:pStyle w:val="null3"/>
            </w:pPr>
            <w:r>
              <w:rPr>
                <w:rFonts w:ascii="仿宋_GB2312" w:hAnsi="仿宋_GB2312" w:cs="仿宋_GB2312" w:eastAsia="仿宋_GB2312"/>
              </w:rPr>
              <w:t>1、租赁范围:秦渡街道范围内规划建筑物。</w:t>
            </w:r>
            <w:r>
              <w:br/>
            </w:r>
            <w:r>
              <w:rPr>
                <w:rFonts w:ascii="仿宋_GB2312" w:hAnsi="仿宋_GB2312" w:cs="仿宋_GB2312" w:eastAsia="仿宋_GB2312"/>
              </w:rPr>
              <w:t xml:space="preserve"> 2、租赁期限:本项目暂定采取一次招标三年、实行一年一签合同(所提供的服务质量经采购人考核后，在采购内容不变、采购预算有保 障、服务价格不变或降低的情况下,则双方可续签下年合同)。</w:t>
            </w:r>
            <w:r>
              <w:br/>
            </w:r>
            <w:r>
              <w:rPr>
                <w:rFonts w:ascii="仿宋_GB2312" w:hAnsi="仿宋_GB2312" w:cs="仿宋_GB2312" w:eastAsia="仿宋_GB2312"/>
              </w:rPr>
              <w:t xml:space="preserve"> 3、租赁面积:房屋建筑面积不少于1300平方米，院子不少于 300平方米。</w:t>
            </w:r>
            <w:r>
              <w:br/>
            </w:r>
            <w:r>
              <w:rPr>
                <w:rFonts w:ascii="仿宋_GB2312" w:hAnsi="仿宋_GB2312" w:cs="仿宋_GB2312" w:eastAsia="仿宋_GB2312"/>
              </w:rPr>
              <w:t xml:space="preserve"> 4、地理位置:靠近秦渡主街，交通便利，临街，5空间等其他要求:宽敞通透、采光良好、空气流通、水电合格齐全、有独立的厨房操作间及餐厅、院落独立、有可供车辆行人独立出入的大门、可进行基本的改造装潢。</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自合同签订之日起一年。(注：供应商所提供的服务质量经采购人考核后 ，在采购内容不变、采购预算有保障、服务价格不变或降低的情况下，采购人可根据《政府购买服务管理办法》（财政部令第102号）文件的规定，续签下年合同，合同履行期限不超过3年)。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在每年度租赁期限届满前3个月内支付当年度租金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1、本项目所属行业为：租赁和商务服务业。2、成交供应商在领取成交通知书前，须向采购代理机构提供 纸质版响应文件3套，且提供的响应文件必须与在陕西省政府采购综合管理平台的项目电子化交易系统中递交的电子响应文件 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基本资格条件承诺函.docx 具有独立承担民事责任能力.docx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供应商关联关系声明.docx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基本资格条件承诺函.docx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协商小组认为供应商投标报价明显低于其他通过符合性审查投标人的投标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投标报价合理性的，协商小组应当将其响应文件作为无效处理。</w:t>
            </w:r>
          </w:p>
        </w:tc>
        <w:tc>
          <w:tcPr>
            <w:tcW w:type="dxa" w:w="1661"/>
          </w:tcPr>
          <w:p>
            <w:pPr>
              <w:pStyle w:val="null3"/>
            </w:pPr>
            <w:r>
              <w:rPr>
                <w:rFonts w:ascii="仿宋_GB2312" w:hAnsi="仿宋_GB2312" w:cs="仿宋_GB2312" w:eastAsia="仿宋_GB2312"/>
              </w:rPr>
              <w:t>第一次谈判报价表.docx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（2）报价货币符合单一来源文件要求； （3）未超出采购预算或单一来源文件规定的最高限价。</w:t>
            </w:r>
          </w:p>
        </w:tc>
        <w:tc>
          <w:tcPr>
            <w:tcW w:type="dxa" w:w="1661"/>
          </w:tcPr>
          <w:p>
            <w:pPr>
              <w:pStyle w:val="null3"/>
            </w:pPr>
            <w:r>
              <w:rPr>
                <w:rFonts w:ascii="仿宋_GB2312" w:hAnsi="仿宋_GB2312" w:cs="仿宋_GB2312" w:eastAsia="仿宋_GB2312"/>
              </w:rPr>
              <w:t>第一次谈判报价表.docx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与所投项目名称、项目编号一致，且符合单一来源采购文件签署盖章要求。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合同条款响应偏离表</w:t>
            </w:r>
          </w:p>
        </w:tc>
        <w:tc>
          <w:tcPr>
            <w:tcW w:type="dxa" w:w="3322"/>
          </w:tcPr>
          <w:p>
            <w:pPr>
              <w:pStyle w:val="null3"/>
            </w:pPr>
            <w:r>
              <w:rPr>
                <w:rFonts w:ascii="仿宋_GB2312" w:hAnsi="仿宋_GB2312" w:cs="仿宋_GB2312" w:eastAsia="仿宋_GB2312"/>
              </w:rPr>
              <w:t>响应单一来源采购文件合同条款未出现负偏离且响应的内容中未附有采购人不能接受的附加条件。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响应方案及业绩证明</w:t>
            </w:r>
          </w:p>
        </w:tc>
        <w:tc>
          <w:tcPr>
            <w:tcW w:type="dxa" w:w="3322"/>
          </w:tcPr>
          <w:p>
            <w:pPr>
              <w:pStyle w:val="null3"/>
            </w:pPr>
            <w:r>
              <w:rPr>
                <w:rFonts w:ascii="仿宋_GB2312" w:hAnsi="仿宋_GB2312" w:cs="仿宋_GB2312" w:eastAsia="仿宋_GB2312"/>
              </w:rPr>
              <w:t>针对本项目采购需求编制项目实施方案能力</w:t>
            </w:r>
          </w:p>
        </w:tc>
        <w:tc>
          <w:tcPr>
            <w:tcW w:type="dxa" w:w="1661"/>
          </w:tcPr>
          <w:p>
            <w:pPr>
              <w:pStyle w:val="null3"/>
            </w:pPr>
            <w:r>
              <w:rPr>
                <w:rFonts w:ascii="仿宋_GB2312" w:hAnsi="仿宋_GB2312" w:cs="仿宋_GB2312" w:eastAsia="仿宋_GB2312"/>
              </w:rPr>
              <w:t>业绩有关证明材料.docx 服务方案响应说明.docx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详见附件：供应商关联关系声明.docx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详见附件：第一次谈判报价表.docx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详见附件：拟签订的合同文本docx.docx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