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版本号：SXZH-2025-06120250627001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东大街道公交场站建设项目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SXZH-2025-061</w:t>
      </w:r>
      <w:r>
        <w:br/>
      </w:r>
      <w:r>
        <w:br/>
      </w:r>
      <w:r>
        <w:br/>
      </w:r>
    </w:p>
    <w:p>
      <w:pPr>
        <w:pStyle w:val="null3"/>
        <w:jc w:val="center"/>
        <w:outlineLvl w:val="2"/>
      </w:pPr>
      <w:r>
        <w:rPr>
          <w:rFonts w:ascii="仿宋_GB2312" w:hAnsi="仿宋_GB2312" w:cs="仿宋_GB2312" w:eastAsia="仿宋_GB2312"/>
          <w:sz w:val="28"/>
          <w:b/>
        </w:rPr>
        <w:t>西安市长安区东大街道办事处</w:t>
      </w:r>
    </w:p>
    <w:p>
      <w:pPr>
        <w:pStyle w:val="null3"/>
        <w:jc w:val="center"/>
        <w:outlineLvl w:val="2"/>
      </w:pPr>
      <w:r>
        <w:rPr>
          <w:rFonts w:ascii="仿宋_GB2312" w:hAnsi="仿宋_GB2312" w:cs="仿宋_GB2312" w:eastAsia="仿宋_GB2312"/>
          <w:sz w:val="28"/>
          <w:b/>
        </w:rPr>
        <w:t>陕西筑辉工程咨询有限公司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陕西筑辉工程咨询有限公司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西安市长安区东大街道办事处</w:t>
      </w:r>
      <w:r>
        <w:rPr>
          <w:rFonts w:ascii="仿宋_GB2312" w:hAnsi="仿宋_GB2312" w:cs="仿宋_GB2312" w:eastAsia="仿宋_GB2312"/>
        </w:rPr>
        <w:t>委托，拟对</w:t>
      </w:r>
      <w:r>
        <w:rPr>
          <w:rFonts w:ascii="仿宋_GB2312" w:hAnsi="仿宋_GB2312" w:cs="仿宋_GB2312" w:eastAsia="仿宋_GB2312"/>
        </w:rPr>
        <w:t>东大街道公交场站建设项目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SXZH-2025-061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东大街道公交场站建设项目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本项目旨在对9988平方米公交车临时停车场进行改造，开挖原始垃圾清运 ，然后回填 50 cm厚的砂石垫层；砌筑高 1.8 米、厚 240cm的围墙400米，围墙基础开挖深度为 70cm，回填 15cm 三七灰土，并设置 50cm 放大角砖基础，每隔 3 米设置350*350mm砖柱，以确保围墙的稳定性和安全性；安装伸缩门两组每组12米；埋设φ50焊接穿线管60米，BV-4mm²线缆210米；5cm厚岩棉双层夹心板管理用房276平方，管理用房综合布线BV-4mm²线缆100米，BV-2.5mm²线缆600米，PVC25线管40米，PVC25线槽250米。详见设计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采购包1（东大街道公交场站建设项目）：属于专门面向中小企业采购。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1、拟派项目负责人资质：供应商拟派项目经理具备建筑工程专业二级以上（含二级）注册建造师资格证书，在本单位注册，且无不良信用记录，无在建工程（提供承诺书）</w:t>
      </w:r>
    </w:p>
    <w:p>
      <w:pPr>
        <w:pStyle w:val="null3"/>
      </w:pPr>
      <w:r>
        <w:rPr>
          <w:rFonts w:ascii="仿宋_GB2312" w:hAnsi="仿宋_GB2312" w:cs="仿宋_GB2312" w:eastAsia="仿宋_GB2312"/>
        </w:rPr>
        <w:t>2、企业资质：供应商具备建筑工程施工总承包三级以上（含三级）资质证书、具有有效的安全许可证</w:t>
      </w:r>
    </w:p>
    <w:p>
      <w:pPr>
        <w:pStyle w:val="null3"/>
      </w:pPr>
      <w:r>
        <w:rPr>
          <w:rFonts w:ascii="仿宋_GB2312" w:hAnsi="仿宋_GB2312" w:cs="仿宋_GB2312" w:eastAsia="仿宋_GB2312"/>
        </w:rPr>
        <w:t>3、法定代表人身份证明或法定代表人授权委托书：法定代表人授权书（附法定代表人、被授权人身份证复印件）及被授权人身份证原件（法定代表人直接参加磋商，须提供法定代表人身份证明及身份证原件），被授权人需提供近3个月的社保缴纳凭证</w:t>
      </w:r>
    </w:p>
    <w:p>
      <w:pPr>
        <w:pStyle w:val="null3"/>
      </w:pPr>
      <w:r>
        <w:rPr>
          <w:rFonts w:ascii="仿宋_GB2312" w:hAnsi="仿宋_GB2312" w:cs="仿宋_GB2312" w:eastAsia="仿宋_GB2312"/>
        </w:rPr>
        <w:t>4、登记备案：供应商及项目负责人为陕西省“建筑市场监管与诚信信息一体化平台”登记备案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西安市长安区东大街道办事处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西安市长安区东大街道落庄甲子一号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029-85925898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陕西筑辉工程咨询有限公司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西安市雁塔区南二环东段22号（凯森盛世1号）B座2楼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029-89533929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采购包1：993,283.47元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代理服务费收费标准：1.采购代理服务费以成交价为基准价，按照发改价格〔2011〕534号文 件、〔2015〕299号文件收费标准计取。 由成交供应商支付采购代理服务费，成交供应商在领取《成交通知书》之前，应当向采购代理机构交纳全额采购代理服务费。 2、采购代理服务费可以采取现金、支票、银行汇票、电汇、网银等方式缴纳。 3、招标代理服务费缴纳信息： 银行户名：陕西筑辉工程咨询有限公司 开户银行：北京银行股份有限公司西安经济技术开发区支行 账 号：20000041418600030109571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西安市长安区东大街道办事处</w:t>
      </w:r>
      <w:r>
        <w:rPr>
          <w:rFonts w:ascii="仿宋_GB2312" w:hAnsi="仿宋_GB2312" w:cs="仿宋_GB2312" w:eastAsia="仿宋_GB2312"/>
        </w:rPr>
        <w:t>和</w:t>
      </w:r>
      <w:r>
        <w:rPr>
          <w:rFonts w:ascii="仿宋_GB2312" w:hAnsi="仿宋_GB2312" w:cs="仿宋_GB2312" w:eastAsia="仿宋_GB2312"/>
        </w:rPr>
        <w:t>陕西筑辉工程咨询有限公司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西安市长安区东大街道办事处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陕西筑辉工程咨询有限公司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西安市长安区东大街道办事处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陕西筑辉工程咨询有限公司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应满足国家有关规范和规定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陕西筑辉工程咨询有限公司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联系人：孙誉</w:t>
      </w:r>
    </w:p>
    <w:p>
      <w:pPr>
        <w:pStyle w:val="null3"/>
      </w:pPr>
      <w:r>
        <w:rPr>
          <w:rFonts w:ascii="仿宋_GB2312" w:hAnsi="仿宋_GB2312" w:cs="仿宋_GB2312" w:eastAsia="仿宋_GB2312"/>
        </w:rPr>
        <w:t>联系电话：029-89533929</w:t>
      </w:r>
    </w:p>
    <w:p>
      <w:pPr>
        <w:pStyle w:val="null3"/>
      </w:pPr>
      <w:r>
        <w:rPr>
          <w:rFonts w:ascii="仿宋_GB2312" w:hAnsi="仿宋_GB2312" w:cs="仿宋_GB2312" w:eastAsia="仿宋_GB2312"/>
        </w:rPr>
        <w:t>地址：西安市雁塔区南二环东段22号（凯森盛世1号）B座2层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993,283.47</w:t>
      </w:r>
    </w:p>
    <w:p>
      <w:pPr>
        <w:pStyle w:val="null3"/>
      </w:pPr>
      <w:r>
        <w:rPr>
          <w:rFonts w:ascii="仿宋_GB2312" w:hAnsi="仿宋_GB2312" w:cs="仿宋_GB2312" w:eastAsia="仿宋_GB2312"/>
        </w:rPr>
        <w:t>采购包最高限价（元）: 993,283.47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东大街道公交场站建设项目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993,283.47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标的名称：东大街道公交场站建设项目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一</w:t>
            </w:r>
            <w:r>
              <w:rPr>
                <w:rFonts w:ascii="仿宋_GB2312" w:hAnsi="仿宋_GB2312" w:cs="仿宋_GB2312" w:eastAsia="仿宋_GB2312"/>
              </w:rPr>
              <w:t>、项目名称：</w:t>
            </w:r>
          </w:p>
          <w:p>
            <w:pPr>
              <w:pStyle w:val="null3"/>
            </w:pPr>
            <w:r>
              <w:rPr>
                <w:rFonts w:ascii="仿宋_GB2312" w:hAnsi="仿宋_GB2312" w:cs="仿宋_GB2312" w:eastAsia="仿宋_GB2312"/>
              </w:rPr>
              <w:t>西安高新区东大街道临时公交场站建设项目</w:t>
            </w:r>
          </w:p>
          <w:p>
            <w:pPr>
              <w:pStyle w:val="null3"/>
            </w:pPr>
            <w:r>
              <w:rPr>
                <w:rFonts w:ascii="仿宋_GB2312" w:hAnsi="仿宋_GB2312" w:cs="仿宋_GB2312" w:eastAsia="仿宋_GB2312"/>
              </w:rPr>
              <w:t>二、工程目标和承诺：</w:t>
            </w:r>
          </w:p>
          <w:p>
            <w:pPr>
              <w:pStyle w:val="null3"/>
            </w:pPr>
            <w:r>
              <w:rPr>
                <w:rFonts w:ascii="仿宋_GB2312" w:hAnsi="仿宋_GB2312" w:cs="仿宋_GB2312" w:eastAsia="仿宋_GB2312"/>
              </w:rPr>
              <w:t>1</w:t>
            </w:r>
            <w:r>
              <w:rPr>
                <w:rFonts w:ascii="仿宋_GB2312" w:hAnsi="仿宋_GB2312" w:cs="仿宋_GB2312" w:eastAsia="仿宋_GB2312"/>
              </w:rPr>
              <w:t>、计划工期：</w:t>
            </w:r>
            <w:r>
              <w:rPr>
                <w:rFonts w:ascii="仿宋_GB2312" w:hAnsi="仿宋_GB2312" w:cs="仿宋_GB2312" w:eastAsia="仿宋_GB2312"/>
              </w:rPr>
              <w:t>90</w:t>
            </w:r>
            <w:r>
              <w:rPr>
                <w:rFonts w:ascii="仿宋_GB2312" w:hAnsi="仿宋_GB2312" w:cs="仿宋_GB2312" w:eastAsia="仿宋_GB2312"/>
              </w:rPr>
              <w:t>日历天</w:t>
            </w:r>
          </w:p>
          <w:p>
            <w:pPr>
              <w:pStyle w:val="null3"/>
            </w:pPr>
            <w:r>
              <w:rPr>
                <w:rFonts w:ascii="仿宋_GB2312" w:hAnsi="仿宋_GB2312" w:cs="仿宋_GB2312" w:eastAsia="仿宋_GB2312"/>
              </w:rPr>
              <w:t>2</w:t>
            </w:r>
            <w:r>
              <w:rPr>
                <w:rFonts w:ascii="仿宋_GB2312" w:hAnsi="仿宋_GB2312" w:cs="仿宋_GB2312" w:eastAsia="仿宋_GB2312"/>
              </w:rPr>
              <w:t>、质量标准：符合国家现行有关建设工程质量验收规范“合格”要求。</w:t>
            </w:r>
          </w:p>
          <w:p>
            <w:pPr>
              <w:pStyle w:val="null3"/>
            </w:pPr>
            <w:r>
              <w:rPr>
                <w:rFonts w:ascii="仿宋_GB2312" w:hAnsi="仿宋_GB2312" w:cs="仿宋_GB2312" w:eastAsia="仿宋_GB2312"/>
              </w:rPr>
              <w:t>3</w:t>
            </w:r>
            <w:r>
              <w:rPr>
                <w:rFonts w:ascii="仿宋_GB2312" w:hAnsi="仿宋_GB2312" w:cs="仿宋_GB2312" w:eastAsia="仿宋_GB2312"/>
              </w:rPr>
              <w:t>、安全生产目标：无伤亡事故、无重大机械事故。</w:t>
            </w:r>
          </w:p>
          <w:p>
            <w:pPr>
              <w:pStyle w:val="null3"/>
            </w:pPr>
            <w:r>
              <w:rPr>
                <w:rFonts w:ascii="仿宋_GB2312" w:hAnsi="仿宋_GB2312" w:cs="仿宋_GB2312" w:eastAsia="仿宋_GB2312"/>
              </w:rPr>
              <w:t>三、安全技术要求：</w:t>
            </w:r>
          </w:p>
          <w:p>
            <w:pPr>
              <w:pStyle w:val="null3"/>
            </w:pPr>
            <w:r>
              <w:rPr>
                <w:rFonts w:ascii="仿宋_GB2312" w:hAnsi="仿宋_GB2312" w:cs="仿宋_GB2312" w:eastAsia="仿宋_GB2312"/>
              </w:rPr>
              <w:t>遵守工程建设安全生产有关管理规定，严格按安全标准组织施工，采取必要的安全生产措施，消除事故隐患。安全措施不力造成事故责任和发生的费用由成交供应单位承担。</w:t>
            </w:r>
          </w:p>
          <w:p>
            <w:pPr>
              <w:pStyle w:val="null3"/>
            </w:pPr>
            <w:r>
              <w:rPr>
                <w:rFonts w:ascii="仿宋_GB2312" w:hAnsi="仿宋_GB2312" w:cs="仿宋_GB2312" w:eastAsia="仿宋_GB2312"/>
              </w:rPr>
              <w:t>四、施工内容：</w:t>
            </w:r>
          </w:p>
          <w:p>
            <w:pPr>
              <w:pStyle w:val="null3"/>
            </w:pPr>
            <w:r>
              <w:rPr>
                <w:rFonts w:ascii="仿宋_GB2312" w:hAnsi="仿宋_GB2312" w:cs="仿宋_GB2312" w:eastAsia="仿宋_GB2312"/>
              </w:rPr>
              <w:t>本项目旨在对</w:t>
            </w:r>
            <w:r>
              <w:rPr>
                <w:rFonts w:ascii="仿宋_GB2312" w:hAnsi="仿宋_GB2312" w:cs="仿宋_GB2312" w:eastAsia="仿宋_GB2312"/>
              </w:rPr>
              <w:t>9988</w:t>
            </w:r>
            <w:r>
              <w:rPr>
                <w:rFonts w:ascii="仿宋_GB2312" w:hAnsi="仿宋_GB2312" w:cs="仿宋_GB2312" w:eastAsia="仿宋_GB2312"/>
              </w:rPr>
              <w:t xml:space="preserve">平方米公交车临时停车场进行改造，开挖原始垃圾清运 ，然后回填 </w:t>
            </w:r>
            <w:r>
              <w:rPr>
                <w:rFonts w:ascii="仿宋_GB2312" w:hAnsi="仿宋_GB2312" w:cs="仿宋_GB2312" w:eastAsia="仿宋_GB2312"/>
              </w:rPr>
              <w:t>50 cm</w:t>
            </w:r>
            <w:r>
              <w:rPr>
                <w:rFonts w:ascii="仿宋_GB2312" w:hAnsi="仿宋_GB2312" w:cs="仿宋_GB2312" w:eastAsia="仿宋_GB2312"/>
              </w:rPr>
              <w:t xml:space="preserve">厚的砂石垫层；砌筑高 </w:t>
            </w:r>
            <w:r>
              <w:rPr>
                <w:rFonts w:ascii="仿宋_GB2312" w:hAnsi="仿宋_GB2312" w:cs="仿宋_GB2312" w:eastAsia="仿宋_GB2312"/>
              </w:rPr>
              <w:t xml:space="preserve">1.8 </w:t>
            </w:r>
            <w:r>
              <w:rPr>
                <w:rFonts w:ascii="仿宋_GB2312" w:hAnsi="仿宋_GB2312" w:cs="仿宋_GB2312" w:eastAsia="仿宋_GB2312"/>
              </w:rPr>
              <w:t xml:space="preserve">米、厚 </w:t>
            </w:r>
            <w:r>
              <w:rPr>
                <w:rFonts w:ascii="仿宋_GB2312" w:hAnsi="仿宋_GB2312" w:cs="仿宋_GB2312" w:eastAsia="仿宋_GB2312"/>
              </w:rPr>
              <w:t>240cm</w:t>
            </w:r>
            <w:r>
              <w:rPr>
                <w:rFonts w:ascii="仿宋_GB2312" w:hAnsi="仿宋_GB2312" w:cs="仿宋_GB2312" w:eastAsia="仿宋_GB2312"/>
              </w:rPr>
              <w:t>的围墙</w:t>
            </w:r>
            <w:r>
              <w:rPr>
                <w:rFonts w:ascii="仿宋_GB2312" w:hAnsi="仿宋_GB2312" w:cs="仿宋_GB2312" w:eastAsia="仿宋_GB2312"/>
              </w:rPr>
              <w:t>400</w:t>
            </w:r>
            <w:r>
              <w:rPr>
                <w:rFonts w:ascii="仿宋_GB2312" w:hAnsi="仿宋_GB2312" w:cs="仿宋_GB2312" w:eastAsia="仿宋_GB2312"/>
              </w:rPr>
              <w:t xml:space="preserve">米，围墙基础开挖深度为 </w:t>
            </w:r>
            <w:r>
              <w:rPr>
                <w:rFonts w:ascii="仿宋_GB2312" w:hAnsi="仿宋_GB2312" w:cs="仿宋_GB2312" w:eastAsia="仿宋_GB2312"/>
              </w:rPr>
              <w:t>70cm</w:t>
            </w:r>
            <w:r>
              <w:rPr>
                <w:rFonts w:ascii="仿宋_GB2312" w:hAnsi="仿宋_GB2312" w:cs="仿宋_GB2312" w:eastAsia="仿宋_GB2312"/>
              </w:rPr>
              <w:t xml:space="preserve">，回填 </w:t>
            </w:r>
            <w:r>
              <w:rPr>
                <w:rFonts w:ascii="仿宋_GB2312" w:hAnsi="仿宋_GB2312" w:cs="仿宋_GB2312" w:eastAsia="仿宋_GB2312"/>
              </w:rPr>
              <w:t xml:space="preserve">15cm </w:t>
            </w:r>
            <w:r>
              <w:rPr>
                <w:rFonts w:ascii="仿宋_GB2312" w:hAnsi="仿宋_GB2312" w:cs="仿宋_GB2312" w:eastAsia="仿宋_GB2312"/>
              </w:rPr>
              <w:t xml:space="preserve">三七灰土，并设置 </w:t>
            </w:r>
            <w:r>
              <w:rPr>
                <w:rFonts w:ascii="仿宋_GB2312" w:hAnsi="仿宋_GB2312" w:cs="仿宋_GB2312" w:eastAsia="仿宋_GB2312"/>
              </w:rPr>
              <w:t xml:space="preserve">50cm </w:t>
            </w:r>
            <w:r>
              <w:rPr>
                <w:rFonts w:ascii="仿宋_GB2312" w:hAnsi="仿宋_GB2312" w:cs="仿宋_GB2312" w:eastAsia="仿宋_GB2312"/>
              </w:rPr>
              <w:t xml:space="preserve">放大角砖基础，每隔 </w:t>
            </w:r>
            <w:r>
              <w:rPr>
                <w:rFonts w:ascii="仿宋_GB2312" w:hAnsi="仿宋_GB2312" w:cs="仿宋_GB2312" w:eastAsia="仿宋_GB2312"/>
              </w:rPr>
              <w:t xml:space="preserve">3 </w:t>
            </w:r>
            <w:r>
              <w:rPr>
                <w:rFonts w:ascii="仿宋_GB2312" w:hAnsi="仿宋_GB2312" w:cs="仿宋_GB2312" w:eastAsia="仿宋_GB2312"/>
              </w:rPr>
              <w:t>米设置</w:t>
            </w:r>
            <w:r>
              <w:rPr>
                <w:rFonts w:ascii="仿宋_GB2312" w:hAnsi="仿宋_GB2312" w:cs="仿宋_GB2312" w:eastAsia="仿宋_GB2312"/>
              </w:rPr>
              <w:t>350*350mm</w:t>
            </w:r>
            <w:r>
              <w:rPr>
                <w:rFonts w:ascii="仿宋_GB2312" w:hAnsi="仿宋_GB2312" w:cs="仿宋_GB2312" w:eastAsia="仿宋_GB2312"/>
              </w:rPr>
              <w:t>砖柱，以确保围墙的稳定性和安全性；安装伸缩门两组每组</w:t>
            </w:r>
            <w:r>
              <w:rPr>
                <w:rFonts w:ascii="仿宋_GB2312" w:hAnsi="仿宋_GB2312" w:cs="仿宋_GB2312" w:eastAsia="仿宋_GB2312"/>
              </w:rPr>
              <w:t>12</w:t>
            </w:r>
            <w:r>
              <w:rPr>
                <w:rFonts w:ascii="仿宋_GB2312" w:hAnsi="仿宋_GB2312" w:cs="仿宋_GB2312" w:eastAsia="仿宋_GB2312"/>
              </w:rPr>
              <w:t>米；埋设φ</w:t>
            </w:r>
            <w:r>
              <w:rPr>
                <w:rFonts w:ascii="仿宋_GB2312" w:hAnsi="仿宋_GB2312" w:cs="仿宋_GB2312" w:eastAsia="仿宋_GB2312"/>
              </w:rPr>
              <w:t>50</w:t>
            </w:r>
            <w:r>
              <w:rPr>
                <w:rFonts w:ascii="仿宋_GB2312" w:hAnsi="仿宋_GB2312" w:cs="仿宋_GB2312" w:eastAsia="仿宋_GB2312"/>
              </w:rPr>
              <w:t>焊接穿线管</w:t>
            </w:r>
            <w:r>
              <w:rPr>
                <w:rFonts w:ascii="仿宋_GB2312" w:hAnsi="仿宋_GB2312" w:cs="仿宋_GB2312" w:eastAsia="仿宋_GB2312"/>
              </w:rPr>
              <w:t>60</w:t>
            </w:r>
            <w:r>
              <w:rPr>
                <w:rFonts w:ascii="仿宋_GB2312" w:hAnsi="仿宋_GB2312" w:cs="仿宋_GB2312" w:eastAsia="仿宋_GB2312"/>
              </w:rPr>
              <w:t>米，</w:t>
            </w:r>
            <w:r>
              <w:rPr>
                <w:rFonts w:ascii="仿宋_GB2312" w:hAnsi="仿宋_GB2312" w:cs="仿宋_GB2312" w:eastAsia="仿宋_GB2312"/>
              </w:rPr>
              <w:t>BV-4mm</w:t>
            </w:r>
            <w:r>
              <w:rPr>
                <w:rFonts w:ascii="仿宋_GB2312" w:hAnsi="仿宋_GB2312" w:cs="仿宋_GB2312" w:eastAsia="仿宋_GB2312"/>
              </w:rPr>
              <w:t>²线缆</w:t>
            </w:r>
            <w:r>
              <w:rPr>
                <w:rFonts w:ascii="仿宋_GB2312" w:hAnsi="仿宋_GB2312" w:cs="仿宋_GB2312" w:eastAsia="仿宋_GB2312"/>
              </w:rPr>
              <w:t>210</w:t>
            </w:r>
            <w:r>
              <w:rPr>
                <w:rFonts w:ascii="仿宋_GB2312" w:hAnsi="仿宋_GB2312" w:cs="仿宋_GB2312" w:eastAsia="仿宋_GB2312"/>
              </w:rPr>
              <w:t>米；</w:t>
            </w:r>
            <w:r>
              <w:rPr>
                <w:rFonts w:ascii="仿宋_GB2312" w:hAnsi="仿宋_GB2312" w:cs="仿宋_GB2312" w:eastAsia="仿宋_GB2312"/>
              </w:rPr>
              <w:t>5cm</w:t>
            </w:r>
            <w:r>
              <w:rPr>
                <w:rFonts w:ascii="仿宋_GB2312" w:hAnsi="仿宋_GB2312" w:cs="仿宋_GB2312" w:eastAsia="仿宋_GB2312"/>
              </w:rPr>
              <w:t>厚岩棉双层夹心板管理用房</w:t>
            </w:r>
            <w:r>
              <w:rPr>
                <w:rFonts w:ascii="仿宋_GB2312" w:hAnsi="仿宋_GB2312" w:cs="仿宋_GB2312" w:eastAsia="仿宋_GB2312"/>
              </w:rPr>
              <w:t>276</w:t>
            </w:r>
            <w:r>
              <w:rPr>
                <w:rFonts w:ascii="仿宋_GB2312" w:hAnsi="仿宋_GB2312" w:cs="仿宋_GB2312" w:eastAsia="仿宋_GB2312"/>
              </w:rPr>
              <w:t>平方，管理用房综合布线</w:t>
            </w:r>
            <w:r>
              <w:rPr>
                <w:rFonts w:ascii="仿宋_GB2312" w:hAnsi="仿宋_GB2312" w:cs="仿宋_GB2312" w:eastAsia="仿宋_GB2312"/>
              </w:rPr>
              <w:t>BV-4mm</w:t>
            </w:r>
            <w:r>
              <w:rPr>
                <w:rFonts w:ascii="仿宋_GB2312" w:hAnsi="仿宋_GB2312" w:cs="仿宋_GB2312" w:eastAsia="仿宋_GB2312"/>
              </w:rPr>
              <w:t>²线缆</w:t>
            </w:r>
            <w:r>
              <w:rPr>
                <w:rFonts w:ascii="仿宋_GB2312" w:hAnsi="仿宋_GB2312" w:cs="仿宋_GB2312" w:eastAsia="仿宋_GB2312"/>
              </w:rPr>
              <w:t>100</w:t>
            </w:r>
            <w:r>
              <w:rPr>
                <w:rFonts w:ascii="仿宋_GB2312" w:hAnsi="仿宋_GB2312" w:cs="仿宋_GB2312" w:eastAsia="仿宋_GB2312"/>
              </w:rPr>
              <w:t>米，</w:t>
            </w:r>
            <w:r>
              <w:rPr>
                <w:rFonts w:ascii="仿宋_GB2312" w:hAnsi="仿宋_GB2312" w:cs="仿宋_GB2312" w:eastAsia="仿宋_GB2312"/>
              </w:rPr>
              <w:t>BV-2.5mm</w:t>
            </w:r>
            <w:r>
              <w:rPr>
                <w:rFonts w:ascii="仿宋_GB2312" w:hAnsi="仿宋_GB2312" w:cs="仿宋_GB2312" w:eastAsia="仿宋_GB2312"/>
              </w:rPr>
              <w:t>²线缆</w:t>
            </w:r>
            <w:r>
              <w:rPr>
                <w:rFonts w:ascii="仿宋_GB2312" w:hAnsi="仿宋_GB2312" w:cs="仿宋_GB2312" w:eastAsia="仿宋_GB2312"/>
              </w:rPr>
              <w:t>600</w:t>
            </w:r>
            <w:r>
              <w:rPr>
                <w:rFonts w:ascii="仿宋_GB2312" w:hAnsi="仿宋_GB2312" w:cs="仿宋_GB2312" w:eastAsia="仿宋_GB2312"/>
              </w:rPr>
              <w:t>米，</w:t>
            </w:r>
            <w:r>
              <w:rPr>
                <w:rFonts w:ascii="仿宋_GB2312" w:hAnsi="仿宋_GB2312" w:cs="仿宋_GB2312" w:eastAsia="仿宋_GB2312"/>
              </w:rPr>
              <w:t>PVC25</w:t>
            </w:r>
            <w:r>
              <w:rPr>
                <w:rFonts w:ascii="仿宋_GB2312" w:hAnsi="仿宋_GB2312" w:cs="仿宋_GB2312" w:eastAsia="仿宋_GB2312"/>
              </w:rPr>
              <w:t>线管</w:t>
            </w:r>
            <w:r>
              <w:rPr>
                <w:rFonts w:ascii="仿宋_GB2312" w:hAnsi="仿宋_GB2312" w:cs="仿宋_GB2312" w:eastAsia="仿宋_GB2312"/>
              </w:rPr>
              <w:t>40</w:t>
            </w:r>
            <w:r>
              <w:rPr>
                <w:rFonts w:ascii="仿宋_GB2312" w:hAnsi="仿宋_GB2312" w:cs="仿宋_GB2312" w:eastAsia="仿宋_GB2312"/>
              </w:rPr>
              <w:t>米，，</w:t>
            </w:r>
            <w:r>
              <w:rPr>
                <w:rFonts w:ascii="仿宋_GB2312" w:hAnsi="仿宋_GB2312" w:cs="仿宋_GB2312" w:eastAsia="仿宋_GB2312"/>
              </w:rPr>
              <w:t>PVC25</w:t>
            </w:r>
            <w:r>
              <w:rPr>
                <w:rFonts w:ascii="仿宋_GB2312" w:hAnsi="仿宋_GB2312" w:cs="仿宋_GB2312" w:eastAsia="仿宋_GB2312"/>
              </w:rPr>
              <w:t>线槽</w:t>
            </w:r>
            <w:r>
              <w:rPr>
                <w:rFonts w:ascii="仿宋_GB2312" w:hAnsi="仿宋_GB2312" w:cs="仿宋_GB2312" w:eastAsia="仿宋_GB2312"/>
              </w:rPr>
              <w:t>250</w:t>
            </w:r>
            <w:r>
              <w:rPr>
                <w:rFonts w:ascii="仿宋_GB2312" w:hAnsi="仿宋_GB2312" w:cs="仿宋_GB2312" w:eastAsia="仿宋_GB2312"/>
              </w:rPr>
              <w:t>米。</w:t>
            </w:r>
          </w:p>
          <w:p>
            <w:pPr>
              <w:pStyle w:val="null3"/>
            </w:pPr>
            <w:r>
              <w:rPr>
                <w:rFonts w:ascii="仿宋_GB2312" w:hAnsi="仿宋_GB2312" w:cs="仿宋_GB2312" w:eastAsia="仿宋_GB2312"/>
              </w:rPr>
              <w:t>五、技术要求：</w:t>
            </w:r>
          </w:p>
          <w:p>
            <w:pPr>
              <w:pStyle w:val="null3"/>
            </w:pPr>
            <w:r>
              <w:rPr>
                <w:rFonts w:ascii="仿宋_GB2312" w:hAnsi="仿宋_GB2312" w:cs="仿宋_GB2312" w:eastAsia="仿宋_GB2312"/>
              </w:rPr>
              <w:t>1</w:t>
            </w:r>
            <w:r>
              <w:rPr>
                <w:rFonts w:ascii="仿宋_GB2312" w:hAnsi="仿宋_GB2312" w:cs="仿宋_GB2312" w:eastAsia="仿宋_GB2312"/>
              </w:rPr>
              <w:t>、遵循标准：</w:t>
            </w:r>
          </w:p>
          <w:p>
            <w:pPr>
              <w:pStyle w:val="null3"/>
            </w:pPr>
            <w:r>
              <w:rPr>
                <w:rFonts w:ascii="仿宋_GB2312" w:hAnsi="仿宋_GB2312" w:cs="仿宋_GB2312" w:eastAsia="仿宋_GB2312"/>
              </w:rPr>
              <w:t>《安全生产法》</w:t>
            </w:r>
          </w:p>
          <w:p>
            <w:pPr>
              <w:pStyle w:val="null3"/>
            </w:pPr>
            <w:r>
              <w:rPr>
                <w:rFonts w:ascii="仿宋_GB2312" w:hAnsi="仿宋_GB2312" w:cs="仿宋_GB2312" w:eastAsia="仿宋_GB2312"/>
              </w:rPr>
              <w:t>《建设工程安全生产管理条例》</w:t>
            </w:r>
          </w:p>
          <w:p>
            <w:pPr>
              <w:pStyle w:val="null3"/>
            </w:pPr>
            <w:r>
              <w:rPr>
                <w:rFonts w:ascii="仿宋_GB2312" w:hAnsi="仿宋_GB2312" w:cs="仿宋_GB2312" w:eastAsia="仿宋_GB2312"/>
              </w:rPr>
              <w:t>《西安市扬尘污染防治条例》</w:t>
            </w:r>
          </w:p>
          <w:p>
            <w:pPr>
              <w:pStyle w:val="null3"/>
            </w:pPr>
            <w:r>
              <w:rPr>
                <w:rFonts w:ascii="仿宋_GB2312" w:hAnsi="仿宋_GB2312" w:cs="仿宋_GB2312" w:eastAsia="仿宋_GB2312"/>
              </w:rPr>
              <w:t>《西安市房屋拆迁管理办法》</w:t>
            </w:r>
          </w:p>
          <w:p>
            <w:pPr>
              <w:pStyle w:val="null3"/>
            </w:pPr>
            <w:r>
              <w:rPr>
                <w:rFonts w:ascii="仿宋_GB2312" w:hAnsi="仿宋_GB2312" w:cs="仿宋_GB2312" w:eastAsia="仿宋_GB2312"/>
              </w:rPr>
              <w:t>《西安市建筑垃圾管理办法》</w:t>
            </w:r>
          </w:p>
          <w:p>
            <w:pPr>
              <w:pStyle w:val="null3"/>
            </w:pPr>
            <w:r>
              <w:rPr>
                <w:rFonts w:ascii="仿宋_GB2312" w:hAnsi="仿宋_GB2312" w:cs="仿宋_GB2312" w:eastAsia="仿宋_GB2312"/>
              </w:rPr>
              <w:t>《西安高新区治污减霾网格化管理工作实施方案》。</w:t>
            </w:r>
          </w:p>
          <w:p>
            <w:pPr>
              <w:pStyle w:val="null3"/>
            </w:pPr>
            <w:r>
              <w:rPr>
                <w:rFonts w:ascii="仿宋_GB2312" w:hAnsi="仿宋_GB2312" w:cs="仿宋_GB2312" w:eastAsia="仿宋_GB2312"/>
              </w:rPr>
              <w:t>2</w:t>
            </w:r>
            <w:r>
              <w:rPr>
                <w:rFonts w:ascii="仿宋_GB2312" w:hAnsi="仿宋_GB2312" w:cs="仿宋_GB2312" w:eastAsia="仿宋_GB2312"/>
              </w:rPr>
              <w:t>、开挖清运垃圾</w:t>
            </w:r>
          </w:p>
          <w:p>
            <w:pPr>
              <w:pStyle w:val="null3"/>
            </w:pPr>
            <w:r>
              <w:rPr>
                <w:rFonts w:ascii="仿宋_GB2312" w:hAnsi="仿宋_GB2312" w:cs="仿宋_GB2312" w:eastAsia="仿宋_GB2312"/>
              </w:rPr>
              <w:t>使用挖掘机对临时停车场进行开挖，深度为</w:t>
            </w:r>
            <w:r>
              <w:rPr>
                <w:rFonts w:ascii="仿宋_GB2312" w:hAnsi="仿宋_GB2312" w:cs="仿宋_GB2312" w:eastAsia="仿宋_GB2312"/>
              </w:rPr>
              <w:t xml:space="preserve">50 </w:t>
            </w:r>
            <w:r>
              <w:rPr>
                <w:rFonts w:ascii="仿宋_GB2312" w:hAnsi="仿宋_GB2312" w:cs="仿宋_GB2312" w:eastAsia="仿宋_GB2312"/>
              </w:rPr>
              <w:t>厘米。开挖过程中注意控制开挖范围，避免对周边环境造成影响。将开挖出的垃圾及时清运出场，确保施工现场整洁。清运过程中要采取措施防止垃圾散落，避免造成二次污染。</w:t>
            </w:r>
          </w:p>
          <w:p>
            <w:pPr>
              <w:pStyle w:val="null3"/>
            </w:pPr>
            <w:r>
              <w:rPr>
                <w:rFonts w:ascii="仿宋_GB2312" w:hAnsi="仿宋_GB2312" w:cs="仿宋_GB2312" w:eastAsia="仿宋_GB2312"/>
              </w:rPr>
              <w:t>3</w:t>
            </w:r>
            <w:r>
              <w:rPr>
                <w:rFonts w:ascii="仿宋_GB2312" w:hAnsi="仿宋_GB2312" w:cs="仿宋_GB2312" w:eastAsia="仿宋_GB2312"/>
              </w:rPr>
              <w:t>、回填砂石垫层</w:t>
            </w:r>
          </w:p>
          <w:p>
            <w:pPr>
              <w:pStyle w:val="null3"/>
            </w:pPr>
            <w:r>
              <w:rPr>
                <w:rFonts w:ascii="仿宋_GB2312" w:hAnsi="仿宋_GB2312" w:cs="仿宋_GB2312" w:eastAsia="仿宋_GB2312"/>
              </w:rPr>
              <w:t>将开挖后的基底清理干净，确保无杂物、无积水。对基底进行平整处理，为回填工作做好准备。分层铺摊砂石垫层，每层厚度不超过</w:t>
            </w:r>
            <w:r>
              <w:rPr>
                <w:rFonts w:ascii="仿宋_GB2312" w:hAnsi="仿宋_GB2312" w:cs="仿宋_GB2312" w:eastAsia="仿宋_GB2312"/>
              </w:rPr>
              <w:t xml:space="preserve">30 </w:t>
            </w:r>
            <w:r>
              <w:rPr>
                <w:rFonts w:ascii="仿宋_GB2312" w:hAnsi="仿宋_GB2312" w:cs="仿宋_GB2312" w:eastAsia="仿宋_GB2312"/>
              </w:rPr>
              <w:t xml:space="preserve">厘米，使用压路机进行压实，确保压实度达到设计要求。压实过程中要注意控制压路机的速度和遍数，确保压实效果。 砂石垫层总厚度为 </w:t>
            </w:r>
            <w:r>
              <w:rPr>
                <w:rFonts w:ascii="仿宋_GB2312" w:hAnsi="仿宋_GB2312" w:cs="仿宋_GB2312" w:eastAsia="仿宋_GB2312"/>
              </w:rPr>
              <w:t xml:space="preserve">50 </w:t>
            </w:r>
            <w:r>
              <w:rPr>
                <w:rFonts w:ascii="仿宋_GB2312" w:hAnsi="仿宋_GB2312" w:cs="仿宋_GB2312" w:eastAsia="仿宋_GB2312"/>
              </w:rPr>
              <w:t>厘米，压实后表面应平整、密实。对压实后的砂石垫层进行检查，确保其符合设计要求。</w:t>
            </w:r>
          </w:p>
          <w:p>
            <w:pPr>
              <w:pStyle w:val="null3"/>
            </w:pPr>
            <w:r>
              <w:rPr>
                <w:rFonts w:ascii="仿宋_GB2312" w:hAnsi="仿宋_GB2312" w:cs="仿宋_GB2312" w:eastAsia="仿宋_GB2312"/>
              </w:rPr>
              <w:t>4</w:t>
            </w:r>
            <w:r>
              <w:rPr>
                <w:rFonts w:ascii="仿宋_GB2312" w:hAnsi="仿宋_GB2312" w:cs="仿宋_GB2312" w:eastAsia="仿宋_GB2312"/>
              </w:rPr>
              <w:t>、围墙基础施工</w:t>
            </w:r>
          </w:p>
          <w:p>
            <w:pPr>
              <w:pStyle w:val="null3"/>
            </w:pPr>
            <w:r>
              <w:rPr>
                <w:rFonts w:ascii="仿宋_GB2312" w:hAnsi="仿宋_GB2312" w:cs="仿宋_GB2312" w:eastAsia="仿宋_GB2312"/>
              </w:rPr>
              <w:t>根据设计图纸，放样围墙基础位置。对放样结果进行复核，确保其准确性。</w:t>
            </w:r>
            <w:r>
              <w:rPr>
                <w:rFonts w:ascii="仿宋_GB2312" w:hAnsi="仿宋_GB2312" w:cs="仿宋_GB2312" w:eastAsia="仿宋_GB2312"/>
              </w:rPr>
              <w:t>使用挖掘机开挖基础沟槽，深度为</w:t>
            </w:r>
            <w:r>
              <w:rPr>
                <w:rFonts w:ascii="仿宋_GB2312" w:hAnsi="仿宋_GB2312" w:cs="仿宋_GB2312" w:eastAsia="仿宋_GB2312"/>
              </w:rPr>
              <w:t xml:space="preserve">70 </w:t>
            </w:r>
            <w:r>
              <w:rPr>
                <w:rFonts w:ascii="仿宋_GB2312" w:hAnsi="仿宋_GB2312" w:cs="仿宋_GB2312" w:eastAsia="仿宋_GB2312"/>
              </w:rPr>
              <w:t xml:space="preserve">厘米。开挖过程中要注意控制开挖深度和宽度，避免超挖或少挖。开挖完成后，进行人工清底、修坡，确保基底平整。清底时要清除松散的土体和杂物，修坡时要保证坡面的平整度和稳定性。 铺设 </w:t>
            </w:r>
            <w:r>
              <w:rPr>
                <w:rFonts w:ascii="仿宋_GB2312" w:hAnsi="仿宋_GB2312" w:cs="仿宋_GB2312" w:eastAsia="仿宋_GB2312"/>
              </w:rPr>
              <w:t xml:space="preserve">15cm </w:t>
            </w:r>
            <w:r>
              <w:rPr>
                <w:rFonts w:ascii="仿宋_GB2312" w:hAnsi="仿宋_GB2312" w:cs="仿宋_GB2312" w:eastAsia="仿宋_GB2312"/>
              </w:rPr>
              <w:t xml:space="preserve">三七灰土，分层铺摊并夯实。铺摊时要保证灰土的均匀性，夯实时要控制好夯实的力度和遍数。 砌筑 </w:t>
            </w:r>
            <w:r>
              <w:rPr>
                <w:rFonts w:ascii="仿宋_GB2312" w:hAnsi="仿宋_GB2312" w:cs="仿宋_GB2312" w:eastAsia="仿宋_GB2312"/>
              </w:rPr>
              <w:t xml:space="preserve">50cm </w:t>
            </w:r>
            <w:r>
              <w:rPr>
                <w:rFonts w:ascii="仿宋_GB2312" w:hAnsi="仿宋_GB2312" w:cs="仿宋_GB2312" w:eastAsia="仿宋_GB2312"/>
              </w:rPr>
              <w:t>放大角砖基础，确保基础稳固。砌筑时要保证砖块的平整度和垂直度，灰缝要饱满均匀。</w:t>
            </w:r>
          </w:p>
          <w:p>
            <w:pPr>
              <w:pStyle w:val="null3"/>
            </w:pPr>
            <w:r>
              <w:rPr>
                <w:rFonts w:ascii="仿宋_GB2312" w:hAnsi="仿宋_GB2312" w:cs="仿宋_GB2312" w:eastAsia="仿宋_GB2312"/>
              </w:rPr>
              <w:t>5</w:t>
            </w:r>
            <w:r>
              <w:rPr>
                <w:rFonts w:ascii="仿宋_GB2312" w:hAnsi="仿宋_GB2312" w:cs="仿宋_GB2312" w:eastAsia="仿宋_GB2312"/>
              </w:rPr>
              <w:t>、砌筑围墙</w:t>
            </w:r>
          </w:p>
          <w:p>
            <w:pPr>
              <w:pStyle w:val="null3"/>
            </w:pPr>
            <w:r>
              <w:rPr>
                <w:rFonts w:ascii="仿宋_GB2312" w:hAnsi="仿宋_GB2312" w:cs="仿宋_GB2312" w:eastAsia="仿宋_GB2312"/>
              </w:rPr>
              <w:t>使用符合要求的灰砂砖和砂浆进行围墙砌筑，围墙高度为</w:t>
            </w:r>
            <w:r>
              <w:rPr>
                <w:rFonts w:ascii="仿宋_GB2312" w:hAnsi="仿宋_GB2312" w:cs="仿宋_GB2312" w:eastAsia="仿宋_GB2312"/>
              </w:rPr>
              <w:t xml:space="preserve">1.8 </w:t>
            </w:r>
            <w:r>
              <w:rPr>
                <w:rFonts w:ascii="仿宋_GB2312" w:hAnsi="仿宋_GB2312" w:cs="仿宋_GB2312" w:eastAsia="仿宋_GB2312"/>
              </w:rPr>
              <w:t xml:space="preserve">米，厚度为 </w:t>
            </w:r>
            <w:r>
              <w:rPr>
                <w:rFonts w:ascii="仿宋_GB2312" w:hAnsi="仿宋_GB2312" w:cs="仿宋_GB2312" w:eastAsia="仿宋_GB2312"/>
              </w:rPr>
              <w:t>240cm</w:t>
            </w:r>
            <w:r>
              <w:rPr>
                <w:rFonts w:ascii="仿宋_GB2312" w:hAnsi="仿宋_GB2312" w:cs="仿宋_GB2312" w:eastAsia="仿宋_GB2312"/>
              </w:rPr>
              <w:t xml:space="preserve">。砌筑时要控制好砖块的间距和灰缝的宽度，保证围墙的整体性。砌筑时，应保持灰缝平直、砂浆饱满，砖块应错缝砌筑。错缝砌筑可以增加围墙的稳定性和抗震性能。每隔 </w:t>
            </w:r>
            <w:r>
              <w:rPr>
                <w:rFonts w:ascii="仿宋_GB2312" w:hAnsi="仿宋_GB2312" w:cs="仿宋_GB2312" w:eastAsia="仿宋_GB2312"/>
              </w:rPr>
              <w:t xml:space="preserve">3 </w:t>
            </w:r>
            <w:r>
              <w:rPr>
                <w:rFonts w:ascii="仿宋_GB2312" w:hAnsi="仿宋_GB2312" w:cs="仿宋_GB2312" w:eastAsia="仿宋_GB2312"/>
              </w:rPr>
              <w:t>米设置砖柱，增强围墙的稳定性。砖柱的砌筑要与围墙同时进行，确保两者之间的连接牢固。 砌筑过程中，应经常检查围墙的垂直度和平整度，确保符合质量要求。使用测量工具对围墙的垂直度和平整度进行检测，及时进行调整。</w:t>
            </w:r>
          </w:p>
          <w:p>
            <w:pPr>
              <w:pStyle w:val="null3"/>
            </w:pPr>
            <w:r>
              <w:rPr>
                <w:rFonts w:ascii="仿宋_GB2312" w:hAnsi="仿宋_GB2312" w:cs="仿宋_GB2312" w:eastAsia="仿宋_GB2312"/>
              </w:rPr>
              <w:t>6</w:t>
            </w:r>
            <w:r>
              <w:rPr>
                <w:rFonts w:ascii="仿宋_GB2312" w:hAnsi="仿宋_GB2312" w:cs="仿宋_GB2312" w:eastAsia="仿宋_GB2312"/>
              </w:rPr>
              <w:t>、砖柱施工</w:t>
            </w:r>
          </w:p>
          <w:p>
            <w:pPr>
              <w:pStyle w:val="null3"/>
            </w:pPr>
            <w:r>
              <w:rPr>
                <w:rFonts w:ascii="仿宋_GB2312" w:hAnsi="仿宋_GB2312" w:cs="仿宋_GB2312" w:eastAsia="仿宋_GB2312"/>
              </w:rPr>
              <w:t>根据设计图纸，在每隔</w:t>
            </w:r>
            <w:r>
              <w:rPr>
                <w:rFonts w:ascii="仿宋_GB2312" w:hAnsi="仿宋_GB2312" w:cs="仿宋_GB2312" w:eastAsia="仿宋_GB2312"/>
              </w:rPr>
              <w:t xml:space="preserve">3 </w:t>
            </w:r>
            <w:r>
              <w:rPr>
                <w:rFonts w:ascii="仿宋_GB2312" w:hAnsi="仿宋_GB2312" w:cs="仿宋_GB2312" w:eastAsia="仿宋_GB2312"/>
              </w:rPr>
              <w:t>米的位置设置砖柱。确定砖柱的位置后，进行放样和复核，确保其准确性。砖柱应与围墙同时砌筑，确保连接牢固。在砌筑砖柱时，要保证砖柱的尺寸和形状符合设计要求，表面应平整、垂直。 砖柱的砌筑过程中要注意控制砂浆的饱满度和灰缝的宽度，确保砖柱的强度和质量。</w:t>
            </w:r>
          </w:p>
          <w:p>
            <w:pPr>
              <w:pStyle w:val="null3"/>
            </w:pPr>
            <w:r>
              <w:rPr>
                <w:rFonts w:ascii="仿宋_GB2312" w:hAnsi="仿宋_GB2312" w:cs="仿宋_GB2312" w:eastAsia="仿宋_GB2312"/>
              </w:rPr>
              <w:t>六、质量控制</w:t>
            </w:r>
          </w:p>
          <w:p>
            <w:pPr>
              <w:pStyle w:val="null3"/>
            </w:pPr>
            <w:r>
              <w:rPr>
                <w:rFonts w:ascii="仿宋_GB2312" w:hAnsi="仿宋_GB2312" w:cs="仿宋_GB2312" w:eastAsia="仿宋_GB2312"/>
              </w:rPr>
              <w:t xml:space="preserve">1. </w:t>
            </w:r>
            <w:r>
              <w:rPr>
                <w:rFonts w:ascii="仿宋_GB2312" w:hAnsi="仿宋_GB2312" w:cs="仿宋_GB2312" w:eastAsia="仿宋_GB2312"/>
              </w:rPr>
              <w:t>严格控制材料质量，确保所使用的灰砂砖、砂石、水泥、石灰等材料符合标准。对材料进行进场检验，合格后方可使用。</w:t>
            </w:r>
          </w:p>
          <w:p>
            <w:pPr>
              <w:pStyle w:val="null3"/>
            </w:pPr>
            <w:r>
              <w:rPr>
                <w:rFonts w:ascii="仿宋_GB2312" w:hAnsi="仿宋_GB2312" w:cs="仿宋_GB2312" w:eastAsia="仿宋_GB2312"/>
              </w:rPr>
              <w:t xml:space="preserve">2. </w:t>
            </w:r>
            <w:r>
              <w:rPr>
                <w:rFonts w:ascii="仿宋_GB2312" w:hAnsi="仿宋_GB2312" w:cs="仿宋_GB2312" w:eastAsia="仿宋_GB2312"/>
              </w:rPr>
              <w:t>施工过程中，应严格按照设计图纸和施工规范进行操作，确保施工质量。对每一个施工环节进行质量检查，发现问题及时整改。</w:t>
            </w:r>
          </w:p>
          <w:p>
            <w:pPr>
              <w:pStyle w:val="null3"/>
            </w:pPr>
            <w:r>
              <w:rPr>
                <w:rFonts w:ascii="仿宋_GB2312" w:hAnsi="仿宋_GB2312" w:cs="仿宋_GB2312" w:eastAsia="仿宋_GB2312"/>
              </w:rPr>
              <w:t xml:space="preserve">3. </w:t>
            </w:r>
            <w:r>
              <w:rPr>
                <w:rFonts w:ascii="仿宋_GB2312" w:hAnsi="仿宋_GB2312" w:cs="仿宋_GB2312" w:eastAsia="仿宋_GB2312"/>
              </w:rPr>
              <w:t>加强现场管理，保持施工现场整洁、有序。建立质量管理制度，明确各岗位的质量责任。</w:t>
            </w:r>
          </w:p>
          <w:p>
            <w:pPr>
              <w:pStyle w:val="null3"/>
            </w:pPr>
            <w:r>
              <w:rPr>
                <w:rFonts w:ascii="仿宋_GB2312" w:hAnsi="仿宋_GB2312" w:cs="仿宋_GB2312" w:eastAsia="仿宋_GB2312"/>
              </w:rPr>
              <w:t xml:space="preserve">4. </w:t>
            </w:r>
            <w:r>
              <w:rPr>
                <w:rFonts w:ascii="仿宋_GB2312" w:hAnsi="仿宋_GB2312" w:cs="仿宋_GB2312" w:eastAsia="仿宋_GB2312"/>
              </w:rPr>
              <w:t>定期进行质量检测和评估，对施工质量进行综合评价。针对发现的问题，制定整改措施并落实到位。</w:t>
            </w:r>
          </w:p>
          <w:p>
            <w:pPr>
              <w:pStyle w:val="null3"/>
            </w:pPr>
            <w:r>
              <w:rPr>
                <w:rFonts w:ascii="仿宋_GB2312" w:hAnsi="仿宋_GB2312" w:cs="仿宋_GB2312" w:eastAsia="仿宋_GB2312"/>
              </w:rPr>
              <w:t>七、安全管理</w:t>
            </w:r>
          </w:p>
          <w:p>
            <w:pPr>
              <w:pStyle w:val="null3"/>
            </w:pPr>
            <w:r>
              <w:rPr>
                <w:rFonts w:ascii="仿宋_GB2312" w:hAnsi="仿宋_GB2312" w:cs="仿宋_GB2312" w:eastAsia="仿宋_GB2312"/>
              </w:rPr>
              <w:t xml:space="preserve">1. </w:t>
            </w:r>
            <w:r>
              <w:rPr>
                <w:rFonts w:ascii="仿宋_GB2312" w:hAnsi="仿宋_GB2312" w:cs="仿宋_GB2312" w:eastAsia="仿宋_GB2312"/>
              </w:rPr>
              <w:t>制定详细的安全施工方案，明确各岗位的安全职责。对施工方案进行安全评审，确保其符合安全要求。</w:t>
            </w:r>
          </w:p>
          <w:p>
            <w:pPr>
              <w:pStyle w:val="null3"/>
            </w:pPr>
            <w:r>
              <w:rPr>
                <w:rFonts w:ascii="仿宋_GB2312" w:hAnsi="仿宋_GB2312" w:cs="仿宋_GB2312" w:eastAsia="仿宋_GB2312"/>
              </w:rPr>
              <w:t xml:space="preserve">2. </w:t>
            </w:r>
            <w:r>
              <w:rPr>
                <w:rFonts w:ascii="仿宋_GB2312" w:hAnsi="仿宋_GB2312" w:cs="仿宋_GB2312" w:eastAsia="仿宋_GB2312"/>
              </w:rPr>
              <w:t>对施工人员进行安全教育和培训，提高安全意识和操作技能。培训内容包括安全操作规程、应急预案等。</w:t>
            </w:r>
          </w:p>
          <w:p>
            <w:pPr>
              <w:pStyle w:val="null3"/>
            </w:pPr>
            <w:r>
              <w:rPr>
                <w:rFonts w:ascii="仿宋_GB2312" w:hAnsi="仿宋_GB2312" w:cs="仿宋_GB2312" w:eastAsia="仿宋_GB2312"/>
              </w:rPr>
              <w:t xml:space="preserve">3. </w:t>
            </w:r>
            <w:r>
              <w:rPr>
                <w:rFonts w:ascii="仿宋_GB2312" w:hAnsi="仿宋_GB2312" w:cs="仿宋_GB2312" w:eastAsia="仿宋_GB2312"/>
              </w:rPr>
              <w:t>加强现场安全监督和检查，及时发现和消除安全隐患。设立安全监督员，对施工现场进行全天候监督。</w:t>
            </w:r>
          </w:p>
          <w:p>
            <w:pPr>
              <w:pStyle w:val="null3"/>
            </w:pPr>
            <w:r>
              <w:rPr>
                <w:rFonts w:ascii="仿宋_GB2312" w:hAnsi="仿宋_GB2312" w:cs="仿宋_GB2312" w:eastAsia="仿宋_GB2312"/>
              </w:rPr>
              <w:t xml:space="preserve">4. </w:t>
            </w:r>
            <w:r>
              <w:rPr>
                <w:rFonts w:ascii="仿宋_GB2312" w:hAnsi="仿宋_GB2312" w:cs="仿宋_GB2312" w:eastAsia="仿宋_GB2312"/>
              </w:rPr>
              <w:t>配备必要的安全防护用品，确保施工人员的安全。为施工人员提供安全帽、安全带、防护眼镜等防护用品。</w:t>
            </w:r>
          </w:p>
          <w:p>
            <w:pPr>
              <w:pStyle w:val="null3"/>
            </w:pPr>
            <w:r>
              <w:rPr>
                <w:rFonts w:ascii="仿宋_GB2312" w:hAnsi="仿宋_GB2312" w:cs="仿宋_GB2312" w:eastAsia="仿宋_GB2312"/>
              </w:rPr>
              <w:t>八、环保措施</w:t>
            </w:r>
          </w:p>
          <w:p>
            <w:pPr>
              <w:pStyle w:val="null3"/>
            </w:pPr>
            <w:r>
              <w:rPr>
                <w:rFonts w:ascii="仿宋_GB2312" w:hAnsi="仿宋_GB2312" w:cs="仿宋_GB2312" w:eastAsia="仿宋_GB2312"/>
              </w:rPr>
              <w:t xml:space="preserve">1. </w:t>
            </w:r>
            <w:r>
              <w:rPr>
                <w:rFonts w:ascii="仿宋_GB2312" w:hAnsi="仿宋_GB2312" w:cs="仿宋_GB2312" w:eastAsia="仿宋_GB2312"/>
              </w:rPr>
              <w:t>施工过程中，应采取措施控制扬尘、噪音等环境污染。采用洒水、覆盖等措施抑制扬尘，使用低噪音设备减少噪音污染。</w:t>
            </w:r>
          </w:p>
          <w:p>
            <w:pPr>
              <w:pStyle w:val="null3"/>
            </w:pPr>
            <w:r>
              <w:rPr>
                <w:rFonts w:ascii="仿宋_GB2312" w:hAnsi="仿宋_GB2312" w:cs="仿宋_GB2312" w:eastAsia="仿宋_GB2312"/>
              </w:rPr>
              <w:t xml:space="preserve">2. </w:t>
            </w:r>
            <w:r>
              <w:rPr>
                <w:rFonts w:ascii="仿宋_GB2312" w:hAnsi="仿宋_GB2312" w:cs="仿宋_GB2312" w:eastAsia="仿宋_GB2312"/>
              </w:rPr>
              <w:t>垃圾应及时清运，保持施工现场整洁。设立专门的垃圾堆放点，定期进行清理。</w:t>
            </w:r>
          </w:p>
          <w:p>
            <w:pPr>
              <w:pStyle w:val="null3"/>
              <w:jc w:val="left"/>
            </w:pPr>
            <w:r>
              <w:rPr>
                <w:rFonts w:ascii="仿宋_GB2312" w:hAnsi="仿宋_GB2312" w:cs="仿宋_GB2312" w:eastAsia="仿宋_GB2312"/>
              </w:rPr>
              <w:t>3. 对施工产生的污水进行处理，防止污染环境。设置污水沉淀池，对污水进行沉淀处理后排放。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 《建设工程安全生产管理条例》 《西安市扬尘污染防治条例》 《西安市房屋拆迁管理办法》 《西安市建筑垃圾管理办法》 《西安高新区治污减霾网格化管理工作实施方案》 现行国有及市建筑施工管理规定以及土建、土方的相关施工技术规范，未详尽处应满足国家有关规范和规定，所有的规范执行最高规定。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1、开挖清运垃圾 使用挖掘机对临时停车场进行开挖，深度为 50 厘米。开挖过程中注意控制开挖范围，避免对周边环境造成影响。将开挖出的垃圾及时清运出场，确保施工现场整洁。清运过程中要采取措施防止垃圾散落，避免造成二次污染。 2、回填砂石垫层 将开挖后的基底清理干净，确保无杂物、无积水。对基底进行平整处理，为回填工作做好准备。分层铺摊砂石垫层，每层厚度不超过 30 厘米，使用压路机进行压实，确保压实度达到设计要求。压实过程中要注意控制压路机的速度和遍数，确保压实效果。 砂石垫层总厚度为 50 厘米，压实后表面应平整、密实。对压实后的砂石垫层进行检查，确保其符合设计要求。 3、围墙基础施工 根据设计图纸，放样围墙基础位置。对放样结果进行复核，确保其准确性。 使用挖掘机开挖基础沟槽，深度为 70 厘米。开挖过程中要注意控制开挖深度和宽度，避免超挖或少挖。开挖完成后，进行人工清底、修坡，确保基底平整。清底时要清除松散的土体和杂物，修坡时要保证坡面的平整度和稳定性。 铺设 15cm 三七灰土，分层铺摊并夯实。铺摊时要保证灰土的均匀性，夯实时要控制好夯实的力度和遍数。 砌筑 50cm 放大角砖基础，确保基础稳固。砌筑时要保证砖块的平整度和垂直度，灰缝要饱满均匀。 4、砌筑围墙 使用符合要求的灰砂砖和砂浆进行围墙砌筑，围墙高度为 1.8 米，厚度为 240cm。砌筑时要控制好砖块的间距和灰缝的宽度，保证围墙的整体性。砌筑时，应保持灰缝平直、砂浆饱满，砖块应错缝砌筑。错缝砌筑可以增加围墙的稳定性和抗震性能。每隔 3 米设置砖柱，增强围墙的稳定性。砖柱的砌筑要与围墙同时进行，确保两者之间的连接牢固。 砌筑过程中，应经常检查围墙的垂直度和平整度，确保符合质量要求。使用测量工具对围墙的垂直度和平整度进行检测，及时进行调整。 5、砖柱施工 根据设计图纸，在每隔 3 米的位置设置砖柱。确定砖柱的位置后，进行放样和复核，确保其准确性。砖柱应与围墙同时砌筑，确保连接牢固。在砌筑砖柱时，要保证砖柱的尺寸和形状符合设计要求，表面应平整、垂直。 砖柱的砌筑过程中要注意控制砂浆的饱满度和灰缝的宽度，确保砖柱的强度和质量。</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领取成交通知书前，须向采购代理机构提供纸质版响应文件3套及电子版响应文件1套（电子版提供U盘），且提供的响应文件必须与在陕西省政府采购综合管理平台的项目电子化交易系统中递交的电子响应文件内容一致，纸质版响应文件必须装订成册签字盖章，电子版响应文件为纸质版签字盖章后的扫描件。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如有）、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w:t>
            </w:r>
          </w:p>
        </w:tc>
        <w:tc>
          <w:tcPr>
            <w:tcW w:type="dxa" w:w="3322"/>
          </w:tcPr>
          <w:p>
            <w:pPr>
              <w:pStyle w:val="null3"/>
            </w:pPr>
            <w:r>
              <w:rPr>
                <w:rFonts w:ascii="仿宋_GB2312" w:hAnsi="仿宋_GB2312" w:cs="仿宋_GB2312" w:eastAsia="仿宋_GB2312"/>
              </w:rPr>
              <w:t>供应商拟派项目经理具备建筑工程专业二级以上（含二级）注册建造师资格证书，在本单位注册，且无不良信用记录，无在建工程（提供承诺书）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供应商具备建筑工程施工总承包三级以上（含三级）资质证书、具有有效的安全许可证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法定代表人授权书（附法定代表人、被授权人身份证复印件）及被授权人身份证原件（法定代表人直接参加磋商，须提供法定代表人身份证明及身份证原件），被授权人需提供近3个月的社保缴纳凭证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登记备案</w:t>
            </w:r>
          </w:p>
        </w:tc>
        <w:tc>
          <w:tcPr>
            <w:tcW w:type="dxa" w:w="3322"/>
          </w:tcPr>
          <w:p>
            <w:pPr>
              <w:pStyle w:val="null3"/>
            </w:pPr>
            <w:r>
              <w:rPr>
                <w:rFonts w:ascii="仿宋_GB2312" w:hAnsi="仿宋_GB2312" w:cs="仿宋_GB2312" w:eastAsia="仿宋_GB2312"/>
              </w:rPr>
              <w:t>供应商及项目负责人为陕西省“建筑市场监管与诚信信息一体化平台”登记备案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 3、未超出采购预算或磋商文件规定的最高限价。</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根据方案完整且切实 可行，描述清晰，且能针对性满足 本项目得4分；方案内容较完整，描述一般，可操作性一般，基 本能够满足本项目得（3，2］分；方案内容较简单，描述简单， 可操作性较差得1分；未提供不得分。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充分了解本项目采购需求及安全文 明施工相关政策要求，措施健全、合理、完善、详尽，完全 满足项目的要求且可行性强的得4 分；对本项目采购需求及安全文明 施工相关政策要求了解较为充分， 措施内容较为完整，描述 简单得（3，2］分；对本项目采购 需求及安全文明施工相关政策要求 不够了解，技术组织措施内容较差，描 述不清晰得1分；未提供不得分。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技术组织措施合理、完善、详 尽，完全满足项目的要求且可行性 强的得4分；技术组织措施基 本合理满足项目的要求且有一定可 行性的得（3，2］分；技术组织措施基本合理满足项目的要求且 但可行性较差的得1分；未提供不 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根据措施内容完整，描述清晰，且能针对性满足项目得 4分；措施内容较完 整，描述简单，可行性一般，基本 满足项目得（3，2］分；措施内容笼统，描述简单，可 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有健全可行且完整的技术组织措施，描述清晰，满足项目需求得 4分；技术组织措施较完整，描述简单 , 基本满足项目得（3，2］分；管 理制度内容笼统，描述模糊得1分 ;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施工组织和项目管理机构合理、完善 、详尽，完全满足项目的要求且可 行性强的得4分；施工组织和项目管理机构基本合理满足项目的要求且有一定可行性的得（3，2］分；施工组织和项目管理机构基本合理满足项目的要求但可行性较差的得1分；未提供不得分。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w:t>
            </w:r>
          </w:p>
        </w:tc>
        <w:tc>
          <w:tcPr>
            <w:tcW w:type="dxa" w:w="2492"/>
          </w:tcPr>
          <w:p>
            <w:pPr>
              <w:pStyle w:val="null3"/>
            </w:pPr>
            <w:r>
              <w:rPr>
                <w:rFonts w:ascii="仿宋_GB2312" w:hAnsi="仿宋_GB2312" w:cs="仿宋_GB2312" w:eastAsia="仿宋_GB2312"/>
              </w:rPr>
              <w:t>根据施工总平面布置合理完整，清晰，且能针对性满足项目得4分；施工总平面布置较完整，简单，有一定可行性得（3，2］分；施工总平面布置笼统，模糊，可行性不强得1分；未提供不得分。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技术组织措施合理、完善、详 尽，完全满足项目的要求且可行性 强的得4分；技术组织措施基 本合理满足项目的要求且有一定可 行性的得（3，2］分；技术组织措施基本合理满足项目的要求且 但可行性较差的得1分；未提供不 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根据劳动力计划表合理完整，清晰，且能针对性满足项目得4分；劳动力计划表较完整，简单，有一定可行性得（3，2］分；劳动力计划表笼统，模糊，可行性不强得1分；未提供不得分。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机械配备情况及材料完整能充分满足本 项目需求得4分；机械配备情况及材料一般，基本能满足本项目需求得 (3，2］分；配备情况不够充足，达不到本项目需求得1分；未提供不得分。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1、项目经理具有建筑工程相关专业高级职称得5分，中级职称得3分，其他不得分；2、2021年1月之后作为项目经理完成的类似业绩有一项得1分，满分5分。未提供不得分。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现场组织机构情况</w:t>
            </w:r>
          </w:p>
        </w:tc>
        <w:tc>
          <w:tcPr>
            <w:tcW w:type="dxa" w:w="2492"/>
          </w:tcPr>
          <w:p>
            <w:pPr>
              <w:pStyle w:val="null3"/>
            </w:pPr>
            <w:r>
              <w:rPr>
                <w:rFonts w:ascii="仿宋_GB2312" w:hAnsi="仿宋_GB2312" w:cs="仿宋_GB2312" w:eastAsia="仿宋_GB2312"/>
              </w:rPr>
              <w:t>依据项目部机构设置、人员配备、责任分工、专业配套、工作经验等情况： 1.项目技术负责人：具有建筑工程类高级工程师职称，得5分；具有工程师职称，得3分；不具备者0分,满分5分。 注：附技术负责人技术职称证书等资料。2.项目部组建结构合理、专业配置齐全、主要人员数量充足、工作经验丰富等情况：1.建筑工程专业2人，并具有注册建造师执业资格证书得2分，没有不得分；2.造价人员1人，并具有全国建设工程造价员资格证书或注册造价工程师资格证书得1分，没有不得分；3.资料员 1人，并具有住房和城乡建 设领域施工现场专业人员职业培训合格证书得1分，没有不得分；4、安全员1人，并具有国家注册安全工程师证书得1分，没有不得分。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近三年类似项目的业绩（2021年1 月至今），以合同签订时间为准。每具备1项得2.5 分，最多得10分。评审依据：以申请人加盖公章的合同复印件或扫描件为准。供应商业绩与项目经理业绩可重复。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分统一按照下列公式计算：磋商报 价得分=（磋商基准价/最后磋商报 价） ×价格权值×100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