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6E1CB6">
      <w:pPr>
        <w:pStyle w:val="14"/>
        <w:jc w:val="center"/>
        <w:outlineLvl w:val="1"/>
      </w:pPr>
      <w:bookmarkStart w:id="1190" w:name="_GoBack"/>
      <w:bookmarkEnd w:id="1190"/>
    </w:p>
    <w:p w14:paraId="49F3FBCC">
      <w:pPr>
        <w:spacing w:before="156" w:after="156"/>
        <w:ind w:right="288"/>
        <w:rPr>
          <w:rFonts w:hint="eastAsia" w:ascii="仿宋_GB2312" w:eastAsia="仿宋_GB2312"/>
          <w:b/>
          <w:color w:val="auto"/>
          <w:sz w:val="28"/>
        </w:rPr>
      </w:pPr>
      <w:bookmarkStart w:id="0" w:name="_Toc20668"/>
      <w:bookmarkStart w:id="1" w:name="_Toc1254421522"/>
      <w:bookmarkStart w:id="2" w:name="_Toc13192"/>
      <w:bookmarkStart w:id="3" w:name="_Toc1439523315"/>
      <w:bookmarkStart w:id="4" w:name="_Toc25120"/>
      <w:bookmarkStart w:id="5" w:name="_Toc24563"/>
      <w:bookmarkStart w:id="6" w:name="_Toc538026417"/>
      <w:r>
        <w:rPr>
          <w:rFonts w:hint="eastAsia" w:ascii="仿宋_GB2312" w:eastAsia="仿宋_GB2312"/>
          <w:b/>
          <w:color w:val="auto"/>
          <w:sz w:val="28"/>
        </w:rPr>
        <w:t>项目编号：</w:t>
      </w:r>
    </w:p>
    <w:p w14:paraId="5403F374">
      <w:pPr>
        <w:spacing w:before="156" w:after="156"/>
        <w:ind w:right="288"/>
        <w:jc w:val="center"/>
        <w:rPr>
          <w:rFonts w:hint="eastAsia" w:ascii="仿宋_GB2312" w:eastAsia="仿宋_GB2312"/>
          <w:b/>
          <w:color w:val="auto"/>
          <w:sz w:val="24"/>
        </w:rPr>
      </w:pPr>
    </w:p>
    <w:p w14:paraId="0877C6E3">
      <w:pPr>
        <w:spacing w:before="156" w:after="156"/>
        <w:ind w:right="288"/>
        <w:jc w:val="center"/>
        <w:rPr>
          <w:rFonts w:hint="eastAsia" w:ascii="仿宋_GB2312" w:eastAsia="仿宋_GB2312"/>
          <w:b/>
          <w:color w:val="auto"/>
          <w:sz w:val="24"/>
        </w:rPr>
      </w:pPr>
    </w:p>
    <w:p w14:paraId="07C97AA1">
      <w:pPr>
        <w:spacing w:before="156" w:after="156"/>
        <w:ind w:right="288"/>
        <w:jc w:val="center"/>
        <w:rPr>
          <w:rFonts w:hint="eastAsia" w:ascii="仿宋_GB2312" w:eastAsia="仿宋_GB2312"/>
          <w:b/>
          <w:color w:val="auto"/>
          <w:sz w:val="24"/>
        </w:rPr>
      </w:pPr>
    </w:p>
    <w:p w14:paraId="52204983">
      <w:pPr>
        <w:spacing w:before="156" w:after="156"/>
        <w:ind w:right="288"/>
        <w:jc w:val="center"/>
        <w:rPr>
          <w:rFonts w:hint="eastAsia" w:ascii="仿宋_GB2312" w:eastAsia="仿宋_GB2312"/>
          <w:b/>
          <w:color w:val="auto"/>
          <w:sz w:val="24"/>
        </w:rPr>
      </w:pPr>
      <w:r>
        <w:rPr>
          <w:rFonts w:hint="eastAsia" w:ascii="仿宋_GB2312" w:eastAsia="仿宋_GB2312"/>
          <w:b/>
          <w:color w:val="auto"/>
          <w:sz w:val="24"/>
        </w:rPr>
        <w:t xml:space="preserve">                                        </w:t>
      </w:r>
    </w:p>
    <w:p w14:paraId="6FB41331">
      <w:pPr>
        <w:spacing w:before="156" w:after="156"/>
        <w:jc w:val="center"/>
        <w:rPr>
          <w:rFonts w:hint="eastAsia" w:ascii="宋体" w:hAnsi="宋体"/>
          <w:b/>
          <w:color w:val="auto"/>
          <w:sz w:val="52"/>
          <w:szCs w:val="52"/>
        </w:rPr>
      </w:pPr>
      <w:r>
        <w:rPr>
          <w:rFonts w:hint="eastAsia" w:ascii="宋体" w:hAnsi="宋体" w:eastAsia="宋体"/>
          <w:b/>
          <w:color w:val="auto"/>
          <w:sz w:val="52"/>
          <w:szCs w:val="52"/>
          <w:lang w:eastAsia="zh-CN"/>
        </w:rPr>
        <w:t>东大街道公交场站建设项目</w:t>
      </w:r>
      <w:r>
        <w:rPr>
          <w:rFonts w:hint="eastAsia" w:ascii="宋体" w:hAnsi="宋体" w:eastAsia="宋体"/>
          <w:b/>
          <w:color w:val="auto"/>
          <w:sz w:val="52"/>
          <w:szCs w:val="52"/>
          <w:lang w:val="en-US" w:eastAsia="zh-CN"/>
        </w:rPr>
        <w:t xml:space="preserve">  </w:t>
      </w:r>
      <w:r>
        <w:rPr>
          <w:rFonts w:hint="eastAsia" w:ascii="宋体" w:hAnsi="宋体"/>
          <w:b/>
          <w:color w:val="auto"/>
          <w:sz w:val="52"/>
          <w:szCs w:val="52"/>
        </w:rPr>
        <w:t>合同</w:t>
      </w:r>
    </w:p>
    <w:p w14:paraId="7538BECA">
      <w:pPr>
        <w:spacing w:before="156" w:after="156"/>
        <w:ind w:left="210" w:leftChars="100"/>
        <w:jc w:val="center"/>
        <w:rPr>
          <w:rFonts w:hint="eastAsia" w:ascii="仿宋_GB2312" w:eastAsia="仿宋_GB2312"/>
          <w:color w:val="auto"/>
          <w:sz w:val="24"/>
        </w:rPr>
      </w:pPr>
    </w:p>
    <w:p w14:paraId="51211D7B">
      <w:pPr>
        <w:spacing w:before="156" w:after="156"/>
        <w:ind w:left="210" w:leftChars="100"/>
        <w:jc w:val="center"/>
        <w:rPr>
          <w:rFonts w:hint="eastAsia" w:ascii="仿宋_GB2312" w:eastAsia="仿宋_GB2312"/>
          <w:color w:val="auto"/>
          <w:sz w:val="24"/>
        </w:rPr>
      </w:pPr>
    </w:p>
    <w:p w14:paraId="23296710">
      <w:pPr>
        <w:spacing w:before="156" w:after="156"/>
        <w:ind w:left="210" w:leftChars="100"/>
        <w:jc w:val="center"/>
        <w:rPr>
          <w:rFonts w:hint="eastAsia" w:ascii="仿宋_GB2312" w:eastAsia="仿宋_GB2312"/>
          <w:color w:val="auto"/>
          <w:sz w:val="24"/>
        </w:rPr>
      </w:pPr>
    </w:p>
    <w:p w14:paraId="392A7B8F">
      <w:pPr>
        <w:spacing w:before="156" w:after="156"/>
        <w:ind w:left="210" w:leftChars="100"/>
        <w:jc w:val="center"/>
        <w:rPr>
          <w:rFonts w:hint="eastAsia" w:ascii="仿宋_GB2312" w:eastAsia="仿宋_GB2312"/>
          <w:color w:val="auto"/>
          <w:sz w:val="24"/>
        </w:rPr>
      </w:pPr>
    </w:p>
    <w:p w14:paraId="7B8E8765">
      <w:pPr>
        <w:spacing w:before="156" w:after="156"/>
        <w:rPr>
          <w:rFonts w:hint="eastAsia" w:ascii="宋体" w:hAnsi="宋体"/>
          <w:color w:val="auto"/>
          <w:sz w:val="32"/>
        </w:rPr>
      </w:pPr>
    </w:p>
    <w:p w14:paraId="2A8B16A6">
      <w:pPr>
        <w:spacing w:before="156" w:after="156"/>
        <w:rPr>
          <w:rFonts w:hint="eastAsia" w:ascii="宋体" w:hAnsi="宋体"/>
          <w:color w:val="auto"/>
          <w:sz w:val="32"/>
        </w:rPr>
      </w:pPr>
    </w:p>
    <w:p w14:paraId="31B0FF5E">
      <w:pPr>
        <w:spacing w:before="156" w:after="156"/>
        <w:rPr>
          <w:rFonts w:hint="eastAsia" w:ascii="宋体" w:hAnsi="宋体"/>
          <w:color w:val="auto"/>
          <w:sz w:val="32"/>
        </w:rPr>
      </w:pPr>
    </w:p>
    <w:p w14:paraId="4C4CDB3E">
      <w:pPr>
        <w:spacing w:before="156" w:after="156"/>
        <w:rPr>
          <w:rFonts w:hint="eastAsia" w:ascii="宋体" w:hAnsi="宋体"/>
          <w:color w:val="auto"/>
          <w:sz w:val="32"/>
        </w:rPr>
      </w:pPr>
    </w:p>
    <w:p w14:paraId="11C61DF4">
      <w:pPr>
        <w:spacing w:before="156" w:after="156"/>
        <w:rPr>
          <w:rFonts w:hint="eastAsia" w:ascii="宋体" w:hAnsi="宋体"/>
          <w:color w:val="auto"/>
          <w:sz w:val="32"/>
        </w:rPr>
      </w:pPr>
    </w:p>
    <w:p w14:paraId="5BB78B1F">
      <w:pPr>
        <w:spacing w:before="156" w:after="156"/>
        <w:ind w:firstLine="640" w:firstLineChars="200"/>
        <w:rPr>
          <w:rFonts w:hint="eastAsia" w:ascii="宋体" w:hAnsi="宋体"/>
          <w:color w:val="auto"/>
          <w:sz w:val="32"/>
        </w:rPr>
      </w:pPr>
      <w:r>
        <w:rPr>
          <w:rFonts w:hint="eastAsia" w:ascii="宋体" w:hAnsi="宋体"/>
          <w:color w:val="auto"/>
          <w:sz w:val="32"/>
        </w:rPr>
        <w:t>甲方：</w:t>
      </w:r>
    </w:p>
    <w:p w14:paraId="73797A5A">
      <w:pPr>
        <w:spacing w:before="156" w:after="156"/>
        <w:rPr>
          <w:rFonts w:hint="eastAsia" w:ascii="宋体" w:hAnsi="宋体"/>
          <w:color w:val="auto"/>
          <w:sz w:val="32"/>
        </w:rPr>
      </w:pPr>
      <w:r>
        <w:rPr>
          <w:rFonts w:hint="eastAsia" w:ascii="宋体" w:hAnsi="宋体"/>
          <w:color w:val="auto"/>
          <w:sz w:val="32"/>
        </w:rPr>
        <w:t xml:space="preserve">    乙方：</w:t>
      </w:r>
    </w:p>
    <w:p w14:paraId="4793364C">
      <w:pPr>
        <w:pStyle w:val="11"/>
        <w:spacing w:before="50" w:beforeAutospacing="0" w:after="50" w:afterAutospacing="0" w:line="280" w:lineRule="atLeast"/>
        <w:jc w:val="center"/>
        <w:rPr>
          <w:rFonts w:hint="eastAsia" w:ascii="仿宋_GB2312" w:hAnsi="Times New Roman" w:eastAsia="仿宋_GB2312"/>
          <w:color w:val="auto"/>
          <w:sz w:val="32"/>
        </w:rPr>
      </w:pPr>
    </w:p>
    <w:p w14:paraId="319D1095">
      <w:pPr>
        <w:pStyle w:val="11"/>
        <w:spacing w:before="50" w:beforeAutospacing="0" w:after="50" w:afterAutospacing="0" w:line="280" w:lineRule="atLeast"/>
        <w:jc w:val="center"/>
        <w:rPr>
          <w:rFonts w:hint="eastAsia" w:ascii="仿宋_GB2312" w:hAnsi="Times New Roman" w:eastAsia="仿宋_GB2312"/>
          <w:color w:val="auto"/>
          <w:sz w:val="32"/>
        </w:rPr>
      </w:pPr>
    </w:p>
    <w:p w14:paraId="746E1B53">
      <w:pPr>
        <w:pStyle w:val="5"/>
        <w:keepNext/>
        <w:keepLines w:val="0"/>
        <w:pageBreakBefore w:val="0"/>
        <w:widowControl w:val="0"/>
        <w:numPr>
          <w:ilvl w:val="0"/>
          <w:numId w:val="0"/>
        </w:numPr>
        <w:shd w:val="clear" w:color="auto" w:fill="auto"/>
        <w:kinsoku/>
        <w:wordWrap/>
        <w:overflowPunct/>
        <w:topLinePunct w:val="0"/>
        <w:autoSpaceDE/>
        <w:autoSpaceDN/>
        <w:bidi w:val="0"/>
        <w:adjustRightInd/>
        <w:snapToGrid/>
        <w:spacing w:before="157" w:beforeLines="50" w:after="157" w:afterLines="50"/>
        <w:ind w:leftChars="0"/>
        <w:jc w:val="center"/>
        <w:textAlignment w:val="auto"/>
        <w:rPr>
          <w:rFonts w:hint="eastAsia" w:ascii="宋体" w:hAnsi="宋体" w:eastAsia="宋体" w:cs="宋体"/>
          <w:b w:val="0"/>
          <w:bCs w:val="0"/>
          <w:color w:val="auto"/>
          <w:kern w:val="2"/>
          <w:szCs w:val="32"/>
          <w:highlight w:val="none"/>
        </w:rPr>
      </w:pPr>
      <w:r>
        <w:rPr>
          <w:b/>
          <w:color w:val="auto"/>
          <w:sz w:val="36"/>
        </w:rPr>
        <w:br w:type="page"/>
      </w:r>
      <w:bookmarkStart w:id="7" w:name="_Toc509499434"/>
      <w:bookmarkStart w:id="8" w:name="_Toc2143857470"/>
      <w:bookmarkStart w:id="9" w:name="_Toc2128344692"/>
      <w:r>
        <w:rPr>
          <w:rFonts w:hint="eastAsia"/>
          <w:color w:val="auto"/>
          <w:highlight w:val="none"/>
        </w:rPr>
        <w:t xml:space="preserve">第一部分 </w:t>
      </w:r>
      <w:r>
        <w:rPr>
          <w:rFonts w:hint="eastAsia"/>
          <w:color w:val="auto"/>
          <w:highlight w:val="none"/>
          <w:lang w:val="en-US" w:eastAsia="zh-CN"/>
        </w:rPr>
        <w:t xml:space="preserve"> </w:t>
      </w:r>
      <w:r>
        <w:rPr>
          <w:rFonts w:hint="eastAsia"/>
          <w:color w:val="auto"/>
          <w:highlight w:val="none"/>
        </w:rPr>
        <w:t>合同协议书</w:t>
      </w:r>
      <w:bookmarkEnd w:id="7"/>
      <w:bookmarkEnd w:id="8"/>
      <w:bookmarkEnd w:id="9"/>
    </w:p>
    <w:p w14:paraId="4B1F225B">
      <w:pPr>
        <w:keepNext w:val="0"/>
        <w:pageBreakBefore w:val="0"/>
        <w:widowControl w:val="0"/>
        <w:shd w:val="clear" w:color="auto" w:fill="auto"/>
        <w:kinsoku/>
        <w:wordWrap/>
        <w:overflowPunct/>
        <w:topLinePunct w:val="0"/>
        <w:bidi w:val="0"/>
        <w:spacing w:line="360" w:lineRule="auto"/>
        <w:textAlignment w:val="auto"/>
        <w:outlineLvl w:val="9"/>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发包人（全称）：</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西安市长安区东大街道办事处</w:t>
      </w:r>
      <w:r>
        <w:rPr>
          <w:rFonts w:hint="eastAsia" w:ascii="宋体" w:hAnsi="宋体" w:eastAsia="宋体" w:cs="宋体"/>
          <w:bCs/>
          <w:color w:val="auto"/>
          <w:sz w:val="21"/>
          <w:szCs w:val="21"/>
          <w:highlight w:val="none"/>
          <w:u w:val="single"/>
        </w:rPr>
        <w:t xml:space="preserve"> </w:t>
      </w:r>
    </w:p>
    <w:p w14:paraId="24DC6D12">
      <w:pPr>
        <w:keepNext w:val="0"/>
        <w:pageBreakBefore w:val="0"/>
        <w:widowControl w:val="0"/>
        <w:shd w:val="clear" w:color="auto" w:fill="auto"/>
        <w:kinsoku/>
        <w:wordWrap/>
        <w:overflowPunct/>
        <w:topLinePunct w:val="0"/>
        <w:bidi w:val="0"/>
        <w:spacing w:line="360" w:lineRule="auto"/>
        <w:textAlignment w:val="auto"/>
        <w:outlineLvl w:val="9"/>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承包人（全称）：</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p>
    <w:p w14:paraId="048EA1C0">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根据《中华人民共和国民法典》《中华人民共和国建筑法》及有关法律规定，遵循平等、自愿、公平和诚实信用的原则，双方就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东大街道公交场站建设项目</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施工及有关事项协商一致，共同达成如下协议：</w:t>
      </w:r>
    </w:p>
    <w:p w14:paraId="14CA900A">
      <w:pPr>
        <w:keepNext w:val="0"/>
        <w:pageBreakBefore w:val="0"/>
        <w:widowControl w:val="0"/>
        <w:numPr>
          <w:ilvl w:val="0"/>
          <w:numId w:val="0"/>
        </w:numPr>
        <w:shd w:val="clear" w:color="auto" w:fill="auto"/>
        <w:kinsoku/>
        <w:wordWrap/>
        <w:overflowPunct/>
        <w:topLinePunct w:val="0"/>
        <w:bidi w:val="0"/>
        <w:spacing w:before="0" w:after="0" w:line="360" w:lineRule="auto"/>
        <w:ind w:leftChars="0"/>
        <w:jc w:val="left"/>
        <w:textAlignment w:val="auto"/>
        <w:outlineLvl w:val="9"/>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 xml:space="preserve">    </w:t>
      </w:r>
      <w:bookmarkStart w:id="10" w:name="_Toc445784615"/>
      <w:bookmarkStart w:id="11" w:name="_Toc1433341455"/>
      <w:r>
        <w:rPr>
          <w:rFonts w:hint="eastAsia" w:ascii="宋体" w:hAnsi="宋体" w:eastAsia="宋体" w:cs="宋体"/>
          <w:b w:val="0"/>
          <w:color w:val="auto"/>
          <w:sz w:val="21"/>
          <w:szCs w:val="21"/>
          <w:highlight w:val="none"/>
        </w:rPr>
        <w:t>一、工程概况</w:t>
      </w:r>
      <w:bookmarkEnd w:id="10"/>
      <w:bookmarkEnd w:id="11"/>
    </w:p>
    <w:p w14:paraId="6744FD36">
      <w:pPr>
        <w:keepNext w:val="0"/>
        <w:pageBreakBefore w:val="0"/>
        <w:widowControl w:val="0"/>
        <w:shd w:val="clear" w:color="auto" w:fill="auto"/>
        <w:kinsoku/>
        <w:wordWrap/>
        <w:overflowPunct/>
        <w:topLinePunct w:val="0"/>
        <w:bidi w:val="0"/>
        <w:spacing w:line="360" w:lineRule="auto"/>
        <w:ind w:firstLine="411" w:firstLineChars="196"/>
        <w:textAlignment w:val="auto"/>
        <w:outlineLvl w:val="9"/>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1.工程名称：</w:t>
      </w:r>
      <w:r>
        <w:rPr>
          <w:rFonts w:hint="eastAsia" w:ascii="宋体" w:hAnsi="宋体" w:eastAsia="宋体" w:cs="宋体"/>
          <w:bCs/>
          <w:color w:val="auto"/>
          <w:sz w:val="21"/>
          <w:szCs w:val="21"/>
          <w:highlight w:val="none"/>
          <w:u w:val="single"/>
          <w:lang w:eastAsia="zh-CN"/>
        </w:rPr>
        <w:t>东大街道公交场站建设项目</w:t>
      </w:r>
      <w:r>
        <w:rPr>
          <w:rFonts w:hint="eastAsia" w:ascii="宋体" w:hAnsi="宋体" w:eastAsia="宋体" w:cs="宋体"/>
          <w:bCs/>
          <w:color w:val="auto"/>
          <w:sz w:val="21"/>
          <w:szCs w:val="21"/>
          <w:highlight w:val="none"/>
        </w:rPr>
        <w:t>。</w:t>
      </w:r>
    </w:p>
    <w:p w14:paraId="205CCE4B">
      <w:pPr>
        <w:keepNext w:val="0"/>
        <w:pageBreakBefore w:val="0"/>
        <w:widowControl w:val="0"/>
        <w:shd w:val="clear" w:color="auto" w:fill="auto"/>
        <w:kinsoku/>
        <w:wordWrap/>
        <w:overflowPunct/>
        <w:topLinePunct w:val="0"/>
        <w:bidi w:val="0"/>
        <w:spacing w:line="360" w:lineRule="auto"/>
        <w:ind w:firstLine="411" w:firstLineChars="196"/>
        <w:textAlignment w:val="auto"/>
        <w:outlineLvl w:val="9"/>
        <w:rPr>
          <w:rFonts w:hint="default" w:ascii="宋体" w:hAnsi="宋体" w:eastAsia="宋体" w:cs="宋体"/>
          <w:bCs/>
          <w:color w:val="auto"/>
          <w:sz w:val="21"/>
          <w:szCs w:val="21"/>
          <w:highlight w:val="none"/>
          <w:u w:val="single"/>
          <w:lang w:val="en-US" w:eastAsia="zh-CN"/>
        </w:rPr>
      </w:pPr>
      <w:r>
        <w:rPr>
          <w:rFonts w:hint="eastAsia" w:ascii="宋体" w:hAnsi="宋体" w:eastAsia="宋体" w:cs="宋体"/>
          <w:bCs/>
          <w:color w:val="auto"/>
          <w:sz w:val="21"/>
          <w:szCs w:val="21"/>
          <w:highlight w:val="none"/>
        </w:rPr>
        <w:t>2.工程地点：</w:t>
      </w:r>
      <w:r>
        <w:rPr>
          <w:rFonts w:hint="eastAsia" w:ascii="宋体" w:hAnsi="宋体" w:eastAsia="宋体" w:cs="宋体"/>
          <w:bCs/>
          <w:color w:val="auto"/>
          <w:sz w:val="21"/>
          <w:szCs w:val="21"/>
          <w:highlight w:val="none"/>
          <w:u w:val="single"/>
          <w:lang w:val="en-US" w:eastAsia="zh-CN"/>
        </w:rPr>
        <w:t xml:space="preserve">                                 </w:t>
      </w:r>
    </w:p>
    <w:p w14:paraId="50A12FD2">
      <w:pPr>
        <w:keepNext w:val="0"/>
        <w:pageBreakBefore w:val="0"/>
        <w:widowControl w:val="0"/>
        <w:shd w:val="clear" w:color="auto" w:fill="auto"/>
        <w:kinsoku/>
        <w:wordWrap/>
        <w:overflowPunct/>
        <w:topLinePunct w:val="0"/>
        <w:bidi w:val="0"/>
        <w:spacing w:line="360" w:lineRule="auto"/>
        <w:ind w:firstLine="411" w:firstLineChars="196"/>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3.工程立项批准文号：</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w:t>
      </w:r>
    </w:p>
    <w:p w14:paraId="0F1E406B">
      <w:pPr>
        <w:keepNext w:val="0"/>
        <w:pageBreakBefore w:val="0"/>
        <w:widowControl w:val="0"/>
        <w:shd w:val="clear" w:color="auto" w:fill="auto"/>
        <w:kinsoku/>
        <w:wordWrap/>
        <w:overflowPunct/>
        <w:topLinePunct w:val="0"/>
        <w:bidi w:val="0"/>
        <w:spacing w:line="360" w:lineRule="auto"/>
        <w:ind w:firstLine="411" w:firstLineChars="196"/>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4.资金来源：</w:t>
      </w:r>
      <w:r>
        <w:rPr>
          <w:rFonts w:hint="eastAsia" w:ascii="宋体" w:hAnsi="宋体" w:eastAsia="宋体" w:cs="宋体"/>
          <w:bCs/>
          <w:color w:val="auto"/>
          <w:sz w:val="21"/>
          <w:szCs w:val="21"/>
          <w:highlight w:val="none"/>
          <w:u w:val="single"/>
          <w:lang w:val="en-US" w:eastAsia="zh-CN"/>
        </w:rPr>
        <w:t>政府投资</w:t>
      </w:r>
      <w:r>
        <w:rPr>
          <w:rFonts w:hint="eastAsia" w:ascii="宋体" w:hAnsi="宋体" w:eastAsia="宋体" w:cs="宋体"/>
          <w:bCs/>
          <w:color w:val="auto"/>
          <w:sz w:val="21"/>
          <w:szCs w:val="21"/>
          <w:highlight w:val="none"/>
        </w:rPr>
        <w:t>。</w:t>
      </w:r>
    </w:p>
    <w:p w14:paraId="613B8828">
      <w:pPr>
        <w:keepNext w:val="0"/>
        <w:pageBreakBefore w:val="0"/>
        <w:widowControl w:val="0"/>
        <w:shd w:val="clear" w:color="auto" w:fill="auto"/>
        <w:kinsoku/>
        <w:wordWrap/>
        <w:overflowPunct/>
        <w:topLinePunct w:val="0"/>
        <w:bidi w:val="0"/>
        <w:spacing w:line="360" w:lineRule="auto"/>
        <w:ind w:firstLine="411" w:firstLineChars="196"/>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5.工程规模：</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w:t>
      </w:r>
    </w:p>
    <w:p w14:paraId="7E69A535">
      <w:pPr>
        <w:keepNext w:val="0"/>
        <w:pageBreakBefore w:val="0"/>
        <w:widowControl w:val="0"/>
        <w:shd w:val="clear" w:color="auto" w:fill="auto"/>
        <w:kinsoku/>
        <w:wordWrap/>
        <w:overflowPunct/>
        <w:topLinePunct w:val="0"/>
        <w:bidi w:val="0"/>
        <w:spacing w:line="360" w:lineRule="auto"/>
        <w:ind w:firstLine="411" w:firstLineChars="196"/>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群体工程应附《承包人承揽工程项目一览表》（附件1）。</w:t>
      </w:r>
    </w:p>
    <w:p w14:paraId="37585C10">
      <w:pPr>
        <w:keepNext w:val="0"/>
        <w:pageBreakBefore w:val="0"/>
        <w:widowControl w:val="0"/>
        <w:shd w:val="clear" w:color="auto" w:fill="auto"/>
        <w:kinsoku/>
        <w:wordWrap/>
        <w:overflowPunct/>
        <w:topLinePunct w:val="0"/>
        <w:bidi w:val="0"/>
        <w:spacing w:line="360" w:lineRule="auto"/>
        <w:ind w:firstLine="411" w:firstLineChars="196"/>
        <w:textAlignment w:val="auto"/>
        <w:outlineLvl w:val="9"/>
        <w:rPr>
          <w:rFonts w:hint="eastAsia" w:ascii="宋体" w:hAnsi="宋体" w:eastAsia="宋体" w:cs="宋体"/>
          <w:bCs/>
          <w:color w:val="auto"/>
          <w:sz w:val="21"/>
          <w:szCs w:val="21"/>
          <w:highlight w:val="none"/>
          <w:u w:val="single"/>
          <w:lang w:eastAsia="zh-CN"/>
        </w:rPr>
      </w:pPr>
      <w:r>
        <w:rPr>
          <w:rFonts w:hint="eastAsia" w:ascii="宋体" w:hAnsi="宋体" w:eastAsia="宋体" w:cs="宋体"/>
          <w:bCs/>
          <w:color w:val="auto"/>
          <w:sz w:val="21"/>
          <w:szCs w:val="21"/>
          <w:highlight w:val="none"/>
        </w:rPr>
        <w:t>6.工程承包范围：</w:t>
      </w:r>
      <w:r>
        <w:rPr>
          <w:rFonts w:hint="eastAsia" w:ascii="宋体" w:hAnsi="宋体" w:eastAsia="宋体" w:cs="宋体"/>
          <w:bCs/>
          <w:color w:val="auto"/>
          <w:sz w:val="21"/>
          <w:szCs w:val="21"/>
          <w:highlight w:val="none"/>
          <w:u w:val="single"/>
          <w:lang w:eastAsia="zh-CN"/>
        </w:rPr>
        <w:t xml:space="preserve"> </w:t>
      </w:r>
      <w:r>
        <w:rPr>
          <w:rFonts w:hint="eastAsia" w:ascii="宋体" w:hAnsi="宋体" w:eastAsia="宋体" w:cs="宋体"/>
          <w:bCs/>
          <w:color w:val="auto"/>
          <w:sz w:val="21"/>
          <w:szCs w:val="21"/>
          <w:highlight w:val="none"/>
          <w:u w:val="single"/>
          <w:lang w:val="en-US" w:eastAsia="zh-CN"/>
        </w:rPr>
        <w:t>本项目旨在对9988平方米公交车临时停车场进行改造，开挖原始垃圾清运 ，然后回填 50 cm厚的砂石垫层；砌筑高 1.8 米、厚 240cm的围墙400米，围墙基础开挖深度为 70cm，回填 15cm 三七灰土，并设置 50cm 放大角砖基础，每隔 3 米设置350*350mm砖柱，以确保围墙的稳定性和安全性；安装伸缩门两组每组12米；埋设φ50焊接穿线管60米，BV-4mm²线缆210米；5cm厚岩棉双层夹心板管理用房276平方，管理用房综合布线BV-4mm²线缆100米，BV-2.5mm²线缆600米，PVC25线管40米，PVC25线槽250米。详见设计图纸及工程量清单。</w:t>
      </w:r>
    </w:p>
    <w:p w14:paraId="08B56949">
      <w:pPr>
        <w:keepNext w:val="0"/>
        <w:pageBreakBefore w:val="0"/>
        <w:widowControl w:val="0"/>
        <w:shd w:val="clear" w:color="auto" w:fill="auto"/>
        <w:tabs>
          <w:tab w:val="left" w:pos="2085"/>
        </w:tabs>
        <w:kinsoku/>
        <w:wordWrap/>
        <w:overflowPunct/>
        <w:topLinePunct w:val="0"/>
        <w:bidi w:val="0"/>
        <w:spacing w:before="0" w:after="0" w:line="360" w:lineRule="auto"/>
        <w:ind w:firstLine="420" w:firstLineChars="200"/>
        <w:textAlignment w:val="auto"/>
        <w:outlineLvl w:val="9"/>
        <w:rPr>
          <w:rFonts w:hint="eastAsia" w:ascii="宋体" w:hAnsi="宋体" w:eastAsia="宋体" w:cs="宋体"/>
          <w:b w:val="0"/>
          <w:color w:val="auto"/>
          <w:sz w:val="21"/>
          <w:szCs w:val="21"/>
          <w:highlight w:val="none"/>
        </w:rPr>
      </w:pPr>
      <w:bookmarkStart w:id="12" w:name="_Toc712002224"/>
      <w:bookmarkStart w:id="13" w:name="_Toc1515347488"/>
      <w:r>
        <w:rPr>
          <w:rFonts w:hint="eastAsia" w:ascii="宋体" w:hAnsi="宋体" w:eastAsia="宋体" w:cs="宋体"/>
          <w:b w:val="0"/>
          <w:color w:val="auto"/>
          <w:sz w:val="21"/>
          <w:szCs w:val="21"/>
          <w:highlight w:val="none"/>
        </w:rPr>
        <w:t>二、合同工期</w:t>
      </w:r>
      <w:bookmarkEnd w:id="12"/>
      <w:bookmarkEnd w:id="13"/>
    </w:p>
    <w:p w14:paraId="7E9BD571">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计划开工日期：</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年</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月</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日。</w:t>
      </w:r>
    </w:p>
    <w:p w14:paraId="71326D2E">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计划竣工日期：</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年</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月</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日。</w:t>
      </w:r>
    </w:p>
    <w:p w14:paraId="78C5C4F6">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工期总日历天数：</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天。</w:t>
      </w:r>
    </w:p>
    <w:p w14:paraId="17864BEE">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工期总日历天数与根据前述计划开竣工日期计算的工期天数不一致的，以工期总日历天数为准。</w:t>
      </w:r>
    </w:p>
    <w:p w14:paraId="24678E4D">
      <w:pPr>
        <w:keepNext w:val="0"/>
        <w:pageBreakBefore w:val="0"/>
        <w:widowControl w:val="0"/>
        <w:shd w:val="clear" w:color="auto" w:fill="auto"/>
        <w:tabs>
          <w:tab w:val="left" w:pos="2085"/>
        </w:tabs>
        <w:kinsoku/>
        <w:wordWrap/>
        <w:overflowPunct/>
        <w:topLinePunct w:val="0"/>
        <w:bidi w:val="0"/>
        <w:spacing w:before="0" w:after="0" w:line="360" w:lineRule="auto"/>
        <w:ind w:firstLine="420" w:firstLineChars="200"/>
        <w:textAlignment w:val="auto"/>
        <w:outlineLvl w:val="9"/>
        <w:rPr>
          <w:rFonts w:hint="eastAsia" w:ascii="宋体" w:hAnsi="宋体" w:eastAsia="宋体" w:cs="宋体"/>
          <w:b w:val="0"/>
          <w:color w:val="auto"/>
          <w:sz w:val="21"/>
          <w:szCs w:val="21"/>
          <w:highlight w:val="none"/>
        </w:rPr>
      </w:pPr>
      <w:bookmarkStart w:id="14" w:name="_Toc1520902222"/>
      <w:bookmarkStart w:id="15" w:name="_Toc385210886"/>
      <w:r>
        <w:rPr>
          <w:rFonts w:hint="eastAsia" w:ascii="宋体" w:hAnsi="宋体" w:eastAsia="宋体" w:cs="宋体"/>
          <w:b w:val="0"/>
          <w:color w:val="auto"/>
          <w:sz w:val="21"/>
          <w:szCs w:val="21"/>
          <w:highlight w:val="none"/>
        </w:rPr>
        <w:t>三、质量标准</w:t>
      </w:r>
      <w:bookmarkEnd w:id="14"/>
      <w:bookmarkEnd w:id="15"/>
    </w:p>
    <w:p w14:paraId="1E9D9B98">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color w:val="auto"/>
          <w:sz w:val="21"/>
          <w:szCs w:val="21"/>
          <w:highlight w:val="none"/>
          <w:u w:val="single"/>
        </w:rPr>
      </w:pPr>
      <w:bookmarkStart w:id="16" w:name="_Toc204832942"/>
      <w:bookmarkStart w:id="17" w:name="_Toc1032760150"/>
      <w:r>
        <w:rPr>
          <w:rFonts w:hint="eastAsia" w:ascii="宋体" w:hAnsi="宋体" w:eastAsia="宋体" w:cs="宋体"/>
          <w:color w:val="auto"/>
          <w:sz w:val="21"/>
          <w:szCs w:val="21"/>
          <w:highlight w:val="none"/>
          <w:u w:val="single"/>
        </w:rPr>
        <w:t>《安全生产法》</w:t>
      </w:r>
    </w:p>
    <w:p w14:paraId="539ED8CD">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《建设工程安全生产管理条例》</w:t>
      </w:r>
    </w:p>
    <w:p w14:paraId="2BABD2F8">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《西安市扬尘污染防治条例》</w:t>
      </w:r>
    </w:p>
    <w:p w14:paraId="74763841">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《西安市房屋拆迁管理办法》</w:t>
      </w:r>
    </w:p>
    <w:p w14:paraId="3553C188">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《西安市建筑垃圾管理办法》</w:t>
      </w:r>
    </w:p>
    <w:p w14:paraId="5FFA65DB">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《西安高新区治污减霾网格化管理工作实施方案》</w:t>
      </w:r>
    </w:p>
    <w:p w14:paraId="2EB4C87F">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 w:val="0"/>
          <w:color w:val="auto"/>
          <w:sz w:val="21"/>
          <w:szCs w:val="21"/>
          <w:highlight w:val="none"/>
          <w:u w:val="single"/>
        </w:rPr>
      </w:pPr>
      <w:r>
        <w:rPr>
          <w:rFonts w:hint="eastAsia" w:ascii="宋体" w:hAnsi="宋体" w:eastAsia="宋体" w:cs="宋体"/>
          <w:color w:val="auto"/>
          <w:sz w:val="21"/>
          <w:szCs w:val="21"/>
          <w:highlight w:val="none"/>
          <w:u w:val="single"/>
        </w:rPr>
        <w:t>现行国有及市建筑施工管理规定以及土建、土方的相关施工技术规范，未详尽处应满足国家有关规范和规定，所有的规范执行最高规定。</w:t>
      </w:r>
    </w:p>
    <w:p w14:paraId="61AC7B93">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四、签约合同价与合同价格形式</w:t>
      </w:r>
      <w:bookmarkEnd w:id="16"/>
      <w:bookmarkEnd w:id="17"/>
      <w:r>
        <w:rPr>
          <w:rFonts w:hint="eastAsia" w:ascii="宋体" w:hAnsi="宋体" w:eastAsia="宋体" w:cs="宋体"/>
          <w:b w:val="0"/>
          <w:color w:val="auto"/>
          <w:sz w:val="21"/>
          <w:szCs w:val="21"/>
          <w:highlight w:val="none"/>
        </w:rPr>
        <w:tab/>
      </w:r>
    </w:p>
    <w:p w14:paraId="1B480344">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1.签约合同价（不含税）为：</w:t>
      </w:r>
    </w:p>
    <w:p w14:paraId="7A0FC0E1">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人民币（大写）</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元)；税率：</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p>
    <w:p w14:paraId="62F59921">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含税金额：人民币（大写）</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元)。</w:t>
      </w:r>
    </w:p>
    <w:p w14:paraId="1E83FA03">
      <w:pPr>
        <w:keepNext w:val="0"/>
        <w:pageBreakBefore w:val="0"/>
        <w:widowControl w:val="0"/>
        <w:shd w:val="clear" w:color="auto" w:fill="auto"/>
        <w:kinsoku/>
        <w:wordWrap/>
        <w:overflowPunct/>
        <w:topLinePunct w:val="0"/>
        <w:bidi w:val="0"/>
        <w:spacing w:line="360" w:lineRule="auto"/>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其中：</w:t>
      </w:r>
    </w:p>
    <w:p w14:paraId="6C7FDD61">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（1）安全文明施工费（含税）：</w:t>
      </w:r>
    </w:p>
    <w:p w14:paraId="0DE20EA4">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人民币（大写）</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元)；</w:t>
      </w:r>
    </w:p>
    <w:p w14:paraId="5CB88DF3">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（2）暂估价金额（含税）：</w:t>
      </w:r>
    </w:p>
    <w:p w14:paraId="2F6FDB2B">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人民币（大写）</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元)；</w:t>
      </w:r>
    </w:p>
    <w:p w14:paraId="1486B2D2">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（3）暂列金额（含税）：</w:t>
      </w:r>
    </w:p>
    <w:p w14:paraId="275D87EE">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人民币（大写）</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元)；</w:t>
      </w:r>
    </w:p>
    <w:p w14:paraId="2817078E">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（4）农民工工伤保险（含税）：</w:t>
      </w:r>
    </w:p>
    <w:p w14:paraId="01363C25">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人民币（大写）</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元)。</w:t>
      </w:r>
    </w:p>
    <w:p w14:paraId="294DAD2A">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2.合同价格形式：</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color w:val="auto"/>
          <w:sz w:val="21"/>
          <w:szCs w:val="21"/>
          <w:highlight w:val="none"/>
          <w:u w:val="single"/>
        </w:rPr>
        <w:t>固定综合单价</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p>
    <w:p w14:paraId="1A4CDAFC">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bookmarkStart w:id="18" w:name="_Toc578358000"/>
      <w:bookmarkStart w:id="19" w:name="_Toc1266145827"/>
      <w:r>
        <w:rPr>
          <w:rFonts w:hint="eastAsia" w:ascii="宋体" w:hAnsi="宋体" w:eastAsia="宋体" w:cs="宋体"/>
          <w:bCs/>
          <w:color w:val="auto"/>
          <w:sz w:val="21"/>
          <w:szCs w:val="21"/>
          <w:highlight w:val="none"/>
        </w:rPr>
        <w:t>五、承包人项目负责人</w:t>
      </w:r>
      <w:bookmarkEnd w:id="18"/>
      <w:bookmarkEnd w:id="19"/>
    </w:p>
    <w:p w14:paraId="315149E8">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姓名：</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；身份证号：</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p>
    <w:p w14:paraId="39E0AA55">
      <w:pPr>
        <w:keepNext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bookmarkStart w:id="20" w:name="_Toc1315372893"/>
      <w:bookmarkStart w:id="21" w:name="_Toc565350378"/>
      <w:r>
        <w:rPr>
          <w:rFonts w:hint="eastAsia" w:ascii="宋体" w:hAnsi="宋体" w:eastAsia="宋体" w:cs="宋体"/>
          <w:bCs/>
          <w:color w:val="auto"/>
          <w:sz w:val="21"/>
          <w:szCs w:val="21"/>
          <w:highlight w:val="none"/>
        </w:rPr>
        <w:t>六、预付款</w:t>
      </w:r>
      <w:bookmarkEnd w:id="20"/>
      <w:bookmarkEnd w:id="21"/>
    </w:p>
    <w:p w14:paraId="6E6D2609">
      <w:pPr>
        <w:keepNext w:val="0"/>
        <w:keepLines w:val="0"/>
        <w:pageBreakBefore w:val="0"/>
        <w:widowControl w:val="0"/>
        <w:shd w:val="clear" w:color="auto" w:fill="auto"/>
        <w:kinsoku/>
        <w:wordWrap/>
        <w:overflowPunct/>
        <w:topLinePunct w:val="0"/>
        <w:bidi w:val="0"/>
        <w:snapToGrid w:val="0"/>
        <w:spacing w:line="360" w:lineRule="auto"/>
        <w:ind w:firstLine="480"/>
        <w:textAlignment w:val="auto"/>
        <w:outlineLvl w:val="9"/>
        <w:rPr>
          <w:rFonts w:hint="eastAsia" w:ascii="宋体" w:hAnsi="宋体" w:eastAsia="宋体" w:cs="宋体"/>
          <w:color w:val="auto"/>
          <w:sz w:val="21"/>
          <w:szCs w:val="21"/>
          <w:highlight w:val="none"/>
          <w:u w:val="single"/>
          <w:lang w:val="zh-CN"/>
        </w:rPr>
      </w:pPr>
      <w:r>
        <w:rPr>
          <w:rFonts w:hint="eastAsia" w:ascii="宋体" w:hAnsi="宋体" w:eastAsia="宋体" w:cs="宋体"/>
          <w:bCs/>
          <w:color w:val="auto"/>
          <w:sz w:val="21"/>
          <w:szCs w:val="21"/>
          <w:highlight w:val="none"/>
        </w:rPr>
        <w:t>预付款：</w:t>
      </w:r>
      <w:r>
        <w:rPr>
          <w:rFonts w:hint="eastAsia" w:ascii="宋体" w:hAnsi="宋体" w:eastAsia="宋体" w:cs="宋体"/>
          <w:color w:val="auto"/>
          <w:sz w:val="21"/>
          <w:szCs w:val="21"/>
          <w:highlight w:val="none"/>
          <w:u w:val="single"/>
        </w:rPr>
        <w:t>施工合同签订后一个月内或不迟于约定的开工日期前7日。发包人向承包人支付合同价</w:t>
      </w:r>
      <w:r>
        <w:rPr>
          <w:rFonts w:hint="eastAsia" w:ascii="宋体" w:hAnsi="宋体" w:eastAsia="宋体" w:cs="宋体"/>
          <w:color w:val="auto"/>
          <w:sz w:val="21"/>
          <w:szCs w:val="21"/>
          <w:highlight w:val="none"/>
          <w:u w:val="single"/>
          <w:lang w:val="zh-CN"/>
        </w:rPr>
        <w:t>款（扣除合同内其他项目费、预付安全、文明施工措施费）</w:t>
      </w:r>
      <w:r>
        <w:rPr>
          <w:rFonts w:hint="eastAsia" w:ascii="宋体" w:hAnsi="宋体" w:eastAsia="宋体" w:cs="宋体"/>
          <w:color w:val="auto"/>
          <w:sz w:val="21"/>
          <w:szCs w:val="21"/>
          <w:highlight w:val="none"/>
          <w:u w:val="single"/>
          <w:lang w:val="en-US" w:eastAsia="zh-CN"/>
        </w:rPr>
        <w:t>40</w:t>
      </w:r>
      <w:r>
        <w:rPr>
          <w:rFonts w:hint="eastAsia" w:ascii="宋体" w:hAnsi="宋体" w:eastAsia="宋体" w:cs="宋体"/>
          <w:color w:val="auto"/>
          <w:sz w:val="21"/>
          <w:szCs w:val="21"/>
          <w:highlight w:val="none"/>
          <w:u w:val="single"/>
          <w:lang w:val="zh-CN"/>
        </w:rPr>
        <w:t>%的工程预付款。</w:t>
      </w:r>
    </w:p>
    <w:p w14:paraId="20D95A1E">
      <w:pPr>
        <w:keepNext w:val="0"/>
        <w:keepLines w:val="0"/>
        <w:pageBreakBefore w:val="0"/>
        <w:widowControl w:val="0"/>
        <w:shd w:val="clear" w:color="auto" w:fill="auto"/>
        <w:kinsoku/>
        <w:wordWrap/>
        <w:overflowPunct/>
        <w:topLinePunct w:val="0"/>
        <w:bidi w:val="0"/>
        <w:snapToGrid w:val="0"/>
        <w:spacing w:line="360" w:lineRule="auto"/>
        <w:ind w:firstLine="480"/>
        <w:textAlignment w:val="auto"/>
        <w:outlineLvl w:val="9"/>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zh-CN" w:eastAsia="zh-CN"/>
        </w:rPr>
        <w:t>付款条件说明：1.合同签订后支付合同总价款的</w:t>
      </w:r>
      <w:r>
        <w:rPr>
          <w:rFonts w:hint="eastAsia" w:ascii="宋体" w:hAnsi="宋体" w:eastAsia="宋体" w:cs="宋体"/>
          <w:b w:val="0"/>
          <w:bCs w:val="0"/>
          <w:color w:val="auto"/>
          <w:sz w:val="21"/>
          <w:szCs w:val="21"/>
          <w:highlight w:val="none"/>
          <w:u w:val="none"/>
          <w:lang w:val="en-US" w:eastAsia="zh-CN"/>
        </w:rPr>
        <w:t>4</w:t>
      </w:r>
      <w:r>
        <w:rPr>
          <w:rFonts w:hint="eastAsia" w:ascii="宋体" w:hAnsi="宋体" w:eastAsia="宋体" w:cs="宋体"/>
          <w:b w:val="0"/>
          <w:bCs w:val="0"/>
          <w:color w:val="auto"/>
          <w:sz w:val="21"/>
          <w:szCs w:val="21"/>
          <w:highlight w:val="none"/>
          <w:u w:val="none"/>
          <w:lang w:val="zh-CN" w:eastAsia="zh-CN"/>
        </w:rPr>
        <w:t>0%；2.根据工程形象进度支付1～2次，待支付到总价款的80%停止支付；3.项目完工后，经采购人及上级部门验收合格并完成结算审核后支付至结算价的97%，质保期满后支付剩余价款。</w:t>
      </w:r>
    </w:p>
    <w:p w14:paraId="26A6CEA4">
      <w:pPr>
        <w:keepNext w:val="0"/>
        <w:keepLines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default" w:ascii="宋体" w:hAnsi="宋体" w:eastAsia="宋体" w:cs="宋体"/>
          <w:bCs/>
          <w:color w:val="auto"/>
          <w:sz w:val="21"/>
          <w:szCs w:val="21"/>
          <w:highlight w:val="none"/>
          <w:lang w:val="en-US" w:eastAsia="zh-CN"/>
        </w:rPr>
      </w:pPr>
      <w:bookmarkStart w:id="22" w:name="_Toc1555190768"/>
      <w:bookmarkStart w:id="23" w:name="_Toc1430992058"/>
      <w:r>
        <w:rPr>
          <w:rFonts w:hint="eastAsia" w:ascii="宋体" w:hAnsi="宋体" w:eastAsia="宋体" w:cs="宋体"/>
          <w:bCs/>
          <w:color w:val="auto"/>
          <w:sz w:val="21"/>
          <w:szCs w:val="21"/>
          <w:highlight w:val="none"/>
        </w:rPr>
        <w:t>七、</w:t>
      </w:r>
      <w:bookmarkEnd w:id="22"/>
      <w:bookmarkEnd w:id="23"/>
      <w:r>
        <w:rPr>
          <w:rFonts w:hint="eastAsia" w:ascii="宋体" w:hAnsi="宋体" w:eastAsia="宋体" w:cs="宋体"/>
          <w:bCs/>
          <w:color w:val="auto"/>
          <w:sz w:val="21"/>
          <w:szCs w:val="21"/>
          <w:highlight w:val="none"/>
          <w:lang w:val="en-US" w:eastAsia="zh-CN"/>
        </w:rPr>
        <w:t>工程质量技术要求</w:t>
      </w:r>
    </w:p>
    <w:p w14:paraId="73AACAEF">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bookmarkStart w:id="24" w:name="_Toc367134989"/>
      <w:bookmarkStart w:id="25" w:name="_Toc1430684837"/>
      <w:r>
        <w:rPr>
          <w:rFonts w:hint="eastAsia" w:ascii="宋体" w:hAnsi="宋体" w:eastAsia="宋体" w:cs="宋体"/>
          <w:bCs/>
          <w:color w:val="auto"/>
          <w:sz w:val="21"/>
          <w:szCs w:val="21"/>
          <w:highlight w:val="none"/>
        </w:rPr>
        <w:t>1、质量方针和质量目标</w:t>
      </w:r>
    </w:p>
    <w:p w14:paraId="4D6DEA6D">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1）规范管理诚信施工 </w:t>
      </w:r>
    </w:p>
    <w:p w14:paraId="2AB825A9">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2）工程质量合格率 100℅</w:t>
      </w:r>
    </w:p>
    <w:p w14:paraId="285DE0D3">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2、工程质量保证措施</w:t>
      </w:r>
    </w:p>
    <w:p w14:paraId="5B18D233">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1）、管理保证措施</w:t>
      </w:r>
    </w:p>
    <w:p w14:paraId="3716F41C">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全面实现项目质量目标，重点做好以下几方面：</w:t>
      </w:r>
    </w:p>
    <w:p w14:paraId="1F75F724">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（1）始终坚持“质量精品”目标不动摇，提高所有参战员工的质量意识，树立“企业的质量品牌”意识。</w:t>
      </w:r>
    </w:p>
    <w:p w14:paraId="2D66AF2A">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（2）细化分解质量目标，做好质量计划、创优规划、样板工程规划，确定保证措施及费用投入预算。</w:t>
      </w:r>
    </w:p>
    <w:p w14:paraId="2E47E61C">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（3）根据工程创优规划，制定内控标准。</w:t>
      </w:r>
    </w:p>
    <w:p w14:paraId="3DADF00D">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（4）坚持管件样板先行，制定质量通病防治技术措施。</w:t>
      </w:r>
    </w:p>
    <w:p w14:paraId="3D17D5C6">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坚持项目一级专检制，重要、关键工序由项目经理部组织联合检查验收制度，强调工序控制和验收，强化自检，重点抓监理验收一次通过率。质检站设专职从事材料、半成品检查验收人员，强调从源头抓起。</w:t>
      </w:r>
    </w:p>
    <w:p w14:paraId="77ED378F">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（6）加强对操作工技术培训，坚持重要工种、岗位的持证上岗制度。</w:t>
      </w:r>
    </w:p>
    <w:p w14:paraId="3F4E7ACD">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（7）加强计量管理工作，分包队伍使用的计量器具管理，纳入到公司计量管理制度控制范围中。</w:t>
      </w:r>
    </w:p>
    <w:p w14:paraId="781F0487">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（8）加强质量信息沟通，对业主、监督站、监理反映的问题或质量隐患及时处理，建立快速反映管理流程。</w:t>
      </w:r>
    </w:p>
    <w:p w14:paraId="107C7518">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3、项目技术保证措施</w:t>
      </w:r>
    </w:p>
    <w:p w14:paraId="4AF73142">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（1）质量控制点。</w:t>
      </w:r>
    </w:p>
    <w:p w14:paraId="3750FCEB">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（2）测量控制网的轴线位置和标高控制点。</w:t>
      </w:r>
    </w:p>
    <w:p w14:paraId="6163E12D">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（3）厂房柱基础杯口底和面的标高和轴线位移。</w:t>
      </w:r>
    </w:p>
    <w:p w14:paraId="2B006148">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（4）施工缝的止水处理。</w:t>
      </w:r>
    </w:p>
    <w:p w14:paraId="4171859D">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（5）平整度、无通病。</w:t>
      </w:r>
    </w:p>
    <w:p w14:paraId="0F11B9AA">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（6）混凝土顶面的标高和各轴线的偏差，设备基础直埋螺栓和预埋螺栓孔的标高和中心偏差。</w:t>
      </w:r>
    </w:p>
    <w:p w14:paraId="5A34B0E2">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（7）预埋铁件安装的标高、平整度和中心线控制，长宽尺寸大于0.2m的平面预埋铁件产生空鼓控制。</w:t>
      </w:r>
    </w:p>
    <w:p w14:paraId="23769B55">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4、钢结构质量保证措施</w:t>
      </w:r>
    </w:p>
    <w:p w14:paraId="3F57AEE8">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（1）强化过程控制，严格工序交接，控制好原材料、半成品和成品的质量。严禁不合格的生产用材料进入施工现场。</w:t>
      </w:r>
    </w:p>
    <w:p w14:paraId="7DD4788B">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钢筋的品种、质量，焊条、焊剂的牌号、性能必须符合有关要求。钢筋的规格、形状、尺寸、间距、锚固长度及接头设置必须符合设计要求和施工规范规定钢筋必须有出厂合格证及检验报告、钢筋对焊报告单。</w:t>
      </w:r>
    </w:p>
    <w:p w14:paraId="6534C5C1">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严格控制主体工程施工的轴线、标高、垂直度。基础施工时设置控制中心线、标高的牢固可靠的辅助控制点，浇注砼之前必须复核已投的测量线，复核垂直度，检查中线是否偏移，以确保每施工段的中线、标高正确无误。</w:t>
      </w:r>
    </w:p>
    <w:p w14:paraId="5FD032E5">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（4）基础施工完成立即分层回填土方，确保回填密实。</w:t>
      </w:r>
    </w:p>
    <w:p w14:paraId="7C64E6E2">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5、质量控制点</w:t>
      </w:r>
    </w:p>
    <w:p w14:paraId="757084CE">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（1）钢材、焊接材料、高强度螺栓、涂料质量检验。</w:t>
      </w:r>
    </w:p>
    <w:p w14:paraId="4224D107">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（2）加工构件外观质量检查。</w:t>
      </w:r>
    </w:p>
    <w:p w14:paraId="40C64AAA">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（3）主框架安装质量及高强螺栓安装质量检查。</w:t>
      </w:r>
    </w:p>
    <w:p w14:paraId="7642BA15">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6、质量保证体系</w:t>
      </w:r>
    </w:p>
    <w:p w14:paraId="18B1D26A">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lang w:val="en-US"/>
        </w:rPr>
      </w:pPr>
      <w:r>
        <w:rPr>
          <w:rFonts w:hint="eastAsia" w:ascii="宋体" w:hAnsi="宋体" w:eastAsia="宋体" w:cs="宋体"/>
          <w:bCs/>
          <w:color w:val="auto"/>
          <w:sz w:val="21"/>
          <w:szCs w:val="21"/>
          <w:highlight w:val="none"/>
        </w:rPr>
        <w:t>建立本项目的质量保证体系, 实施质量管理, 建立组织结构、职责、程序、过程和资源全方位的管理, 把项目的人、财、物等生产要素, 按各种工作标准、管理标准、技术标准等组成统一的整体。从磋商、签定合同, 材料设备供应, 现场施 工到交工验收等运行质量保证体系。</w:t>
      </w:r>
    </w:p>
    <w:p w14:paraId="6181A109">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rPr>
        <w:t>八、其他要求：</w:t>
      </w:r>
      <w:bookmarkEnd w:id="24"/>
      <w:bookmarkEnd w:id="25"/>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eastAsia="zh-CN"/>
        </w:rPr>
        <w:t>。</w:t>
      </w:r>
    </w:p>
    <w:p w14:paraId="5F85154C">
      <w:pPr>
        <w:keepNext w:val="0"/>
        <w:keepLines w:val="0"/>
        <w:pageBreakBefore w:val="0"/>
        <w:widowControl w:val="0"/>
        <w:shd w:val="clear" w:color="auto" w:fill="auto"/>
        <w:kinsoku/>
        <w:wordWrap/>
        <w:overflowPunct/>
        <w:topLinePunct w:val="0"/>
        <w:bidi w:val="0"/>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bookmarkStart w:id="26" w:name="_Toc184090255"/>
      <w:bookmarkStart w:id="27" w:name="_Toc1318737122"/>
      <w:r>
        <w:rPr>
          <w:rFonts w:hint="eastAsia" w:ascii="宋体" w:hAnsi="宋体" w:eastAsia="宋体" w:cs="宋体"/>
          <w:bCs/>
          <w:color w:val="auto"/>
          <w:sz w:val="21"/>
          <w:szCs w:val="21"/>
          <w:highlight w:val="none"/>
        </w:rPr>
        <w:t>九、合同文件构成</w:t>
      </w:r>
      <w:bookmarkEnd w:id="26"/>
      <w:bookmarkEnd w:id="27"/>
    </w:p>
    <w:p w14:paraId="2A533780">
      <w:pPr>
        <w:keepNext w:val="0"/>
        <w:keepLines w:val="0"/>
        <w:pageBreakBefore w:val="0"/>
        <w:widowControl w:val="0"/>
        <w:shd w:val="clear" w:color="auto" w:fill="auto"/>
        <w:kinsoku/>
        <w:wordWrap/>
        <w:overflowPunct/>
        <w:topLinePunct w:val="0"/>
        <w:bidi w:val="0"/>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本协议书与下列文件一起构成合同文件：</w:t>
      </w:r>
    </w:p>
    <w:p w14:paraId="07103C5E">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（1）中标通知书（如果有）；（2）投标函及其附录（如果有）；（3）专用合同条款及其附件；（4）通用合同条款；（5）技术标准和要求；（6）图纸；（7）已标价工程量清单或预算书；（8）其他合同文件。</w:t>
      </w:r>
    </w:p>
    <w:p w14:paraId="55CA3657">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在合同订立及履行过程中形成的与合同有关的文件均构成合同文件组成部分。</w:t>
      </w:r>
    </w:p>
    <w:p w14:paraId="2BE02620">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5795F610">
      <w:pPr>
        <w:keepNext w:val="0"/>
        <w:keepLines w:val="0"/>
        <w:pageBreakBefore w:val="0"/>
        <w:widowControl w:val="0"/>
        <w:shd w:val="clear" w:color="auto" w:fill="auto"/>
        <w:kinsoku/>
        <w:wordWrap/>
        <w:overflowPunct/>
        <w:topLinePunct w:val="0"/>
        <w:bidi w:val="0"/>
        <w:snapToGrid/>
        <w:spacing w:line="360" w:lineRule="auto"/>
        <w:ind w:firstLine="420" w:firstLineChars="200"/>
        <w:jc w:val="left"/>
        <w:textAlignment w:val="auto"/>
        <w:outlineLvl w:val="9"/>
        <w:rPr>
          <w:rFonts w:hint="eastAsia" w:ascii="宋体" w:hAnsi="宋体" w:eastAsia="宋体" w:cs="宋体"/>
          <w:bCs/>
          <w:color w:val="auto"/>
          <w:sz w:val="21"/>
          <w:szCs w:val="21"/>
          <w:highlight w:val="none"/>
        </w:rPr>
      </w:pPr>
      <w:bookmarkStart w:id="28" w:name="_Toc410640064"/>
      <w:bookmarkStart w:id="29" w:name="_Toc1718441829"/>
      <w:r>
        <w:rPr>
          <w:rFonts w:hint="eastAsia" w:ascii="宋体" w:hAnsi="宋体" w:eastAsia="宋体" w:cs="宋体"/>
          <w:bCs/>
          <w:color w:val="auto"/>
          <w:sz w:val="21"/>
          <w:szCs w:val="21"/>
          <w:highlight w:val="none"/>
        </w:rPr>
        <w:t>十、承诺</w:t>
      </w:r>
      <w:bookmarkEnd w:id="28"/>
      <w:bookmarkEnd w:id="29"/>
    </w:p>
    <w:p w14:paraId="7C854D75">
      <w:pPr>
        <w:keepNext w:val="0"/>
        <w:keepLines w:val="0"/>
        <w:pageBreakBefore w:val="0"/>
        <w:widowControl w:val="0"/>
        <w:shd w:val="clear" w:color="auto" w:fill="auto"/>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发包人承诺按照法律规定履行项目审批手续、筹集工程建设资金并按照合同约定的期限和方式支付合同价款，及时足额支付人工费用至农民工工资专用账户，并加强对施工总承包单位按时足额支付农民工工资的监督。</w:t>
      </w:r>
    </w:p>
    <w:p w14:paraId="61913125">
      <w:pPr>
        <w:keepNext w:val="0"/>
        <w:keepLines w:val="0"/>
        <w:pageBreakBefore w:val="0"/>
        <w:widowControl w:val="0"/>
        <w:shd w:val="clear" w:color="auto" w:fill="auto"/>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承包人承诺按照法律规定及合同约定组织完成工程施工，确保工程质量和安全，不进行转包及违法分包，并在缺陷责任期及保修期内承担相应的工程维修责任；按照有关规定开设农民工工资专用账户，专项用于支付本工程农民工工资。农民工工资拨付周期不超过1个月。</w:t>
      </w:r>
    </w:p>
    <w:p w14:paraId="7CD5FDA2">
      <w:pPr>
        <w:keepNext w:val="0"/>
        <w:keepLines w:val="0"/>
        <w:pageBreakBefore w:val="0"/>
        <w:widowControl w:val="0"/>
        <w:shd w:val="clear" w:color="auto" w:fill="auto"/>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3.发包人和承包人通过招投标形式签订合同的，双方理解并承诺不再就同一工程另行签订与合同实质性内容相背离的协议。</w:t>
      </w:r>
    </w:p>
    <w:p w14:paraId="38F10932">
      <w:pPr>
        <w:keepNext w:val="0"/>
        <w:keepLines w:val="0"/>
        <w:pageBreakBefore w:val="0"/>
        <w:widowControl w:val="0"/>
        <w:shd w:val="clear" w:color="auto" w:fill="auto"/>
        <w:kinsoku/>
        <w:wordWrap/>
        <w:overflowPunct/>
        <w:topLinePunct w:val="0"/>
        <w:bidi w:val="0"/>
        <w:snapToGrid/>
        <w:spacing w:line="360" w:lineRule="auto"/>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bookmarkStart w:id="30" w:name="_Toc1209713496"/>
      <w:bookmarkStart w:id="31" w:name="_Toc1094819545"/>
      <w:r>
        <w:rPr>
          <w:rFonts w:hint="eastAsia" w:ascii="宋体" w:hAnsi="宋体" w:eastAsia="宋体" w:cs="宋体"/>
          <w:bCs/>
          <w:color w:val="auto"/>
          <w:sz w:val="21"/>
          <w:szCs w:val="21"/>
          <w:highlight w:val="none"/>
        </w:rPr>
        <w:t>十一、词语含义</w:t>
      </w:r>
      <w:bookmarkEnd w:id="30"/>
      <w:bookmarkEnd w:id="31"/>
    </w:p>
    <w:p w14:paraId="30DDA325">
      <w:pPr>
        <w:keepNext w:val="0"/>
        <w:keepLines w:val="0"/>
        <w:pageBreakBefore w:val="0"/>
        <w:widowControl w:val="0"/>
        <w:shd w:val="clear" w:color="auto" w:fill="auto"/>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本协议书中词语含义与通用合同条款、专用合同条款中赋予的含义相同。</w:t>
      </w:r>
    </w:p>
    <w:p w14:paraId="46D42652">
      <w:pPr>
        <w:keepNext w:val="0"/>
        <w:keepLines w:val="0"/>
        <w:pageBreakBefore w:val="0"/>
        <w:widowControl w:val="0"/>
        <w:shd w:val="clear" w:color="auto" w:fill="auto"/>
        <w:tabs>
          <w:tab w:val="left" w:pos="2085"/>
        </w:tabs>
        <w:kinsoku/>
        <w:wordWrap/>
        <w:overflowPunct/>
        <w:topLinePunct w:val="0"/>
        <w:bidi w:val="0"/>
        <w:snapToGrid/>
        <w:spacing w:before="0" w:after="0" w:line="360" w:lineRule="auto"/>
        <w:textAlignment w:val="auto"/>
        <w:outlineLvl w:val="9"/>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 xml:space="preserve">    </w:t>
      </w:r>
      <w:bookmarkStart w:id="32" w:name="_Toc1302915076"/>
      <w:bookmarkStart w:id="33" w:name="_Toc1843922025"/>
      <w:r>
        <w:rPr>
          <w:rFonts w:hint="eastAsia" w:ascii="宋体" w:hAnsi="宋体" w:eastAsia="宋体" w:cs="宋体"/>
          <w:b w:val="0"/>
          <w:color w:val="auto"/>
          <w:sz w:val="21"/>
          <w:szCs w:val="21"/>
          <w:highlight w:val="none"/>
        </w:rPr>
        <w:t>十二、签订时间</w:t>
      </w:r>
      <w:bookmarkEnd w:id="32"/>
      <w:bookmarkEnd w:id="33"/>
    </w:p>
    <w:p w14:paraId="66CDA4D9">
      <w:pPr>
        <w:keepNext w:val="0"/>
        <w:keepLines w:val="0"/>
        <w:pageBreakBefore w:val="0"/>
        <w:widowControl w:val="0"/>
        <w:shd w:val="clear" w:color="auto" w:fill="auto"/>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本合同于</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年</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月</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日签订。</w:t>
      </w:r>
    </w:p>
    <w:p w14:paraId="4C2C68CC">
      <w:pPr>
        <w:keepNext w:val="0"/>
        <w:keepLines w:val="0"/>
        <w:pageBreakBefore w:val="0"/>
        <w:widowControl w:val="0"/>
        <w:shd w:val="clear" w:color="auto" w:fill="auto"/>
        <w:tabs>
          <w:tab w:val="left" w:pos="2085"/>
        </w:tabs>
        <w:kinsoku/>
        <w:wordWrap/>
        <w:overflowPunct/>
        <w:topLinePunct w:val="0"/>
        <w:bidi w:val="0"/>
        <w:snapToGrid/>
        <w:spacing w:before="0" w:after="0" w:line="360" w:lineRule="auto"/>
        <w:textAlignment w:val="auto"/>
        <w:outlineLvl w:val="9"/>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 xml:space="preserve">    </w:t>
      </w:r>
      <w:bookmarkStart w:id="34" w:name="_Toc251726425"/>
      <w:bookmarkStart w:id="35" w:name="_Toc441671965"/>
      <w:r>
        <w:rPr>
          <w:rFonts w:hint="eastAsia" w:ascii="宋体" w:hAnsi="宋体" w:eastAsia="宋体" w:cs="宋体"/>
          <w:b w:val="0"/>
          <w:color w:val="auto"/>
          <w:sz w:val="21"/>
          <w:szCs w:val="21"/>
          <w:highlight w:val="none"/>
        </w:rPr>
        <w:t>十三、签订地点</w:t>
      </w:r>
      <w:bookmarkEnd w:id="34"/>
      <w:bookmarkEnd w:id="35"/>
    </w:p>
    <w:p w14:paraId="43F25BFD">
      <w:pPr>
        <w:keepNext w:val="0"/>
        <w:keepLines w:val="0"/>
        <w:pageBreakBefore w:val="0"/>
        <w:widowControl w:val="0"/>
        <w:shd w:val="clear" w:color="auto" w:fill="auto"/>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本合同在</w:t>
      </w:r>
      <w:r>
        <w:rPr>
          <w:rFonts w:hint="eastAsia" w:ascii="宋体" w:hAnsi="宋体" w:eastAsia="宋体" w:cs="宋体"/>
          <w:bCs/>
          <w:color w:val="auto"/>
          <w:sz w:val="21"/>
          <w:szCs w:val="21"/>
          <w:highlight w:val="none"/>
          <w:u w:val="single"/>
        </w:rPr>
        <w:t xml:space="preserve">   西安市   </w:t>
      </w:r>
      <w:r>
        <w:rPr>
          <w:rFonts w:hint="eastAsia" w:ascii="宋体" w:hAnsi="宋体" w:eastAsia="宋体" w:cs="宋体"/>
          <w:bCs/>
          <w:color w:val="auto"/>
          <w:sz w:val="21"/>
          <w:szCs w:val="21"/>
          <w:highlight w:val="none"/>
        </w:rPr>
        <w:t>签订。</w:t>
      </w:r>
    </w:p>
    <w:p w14:paraId="3B741AD1">
      <w:pPr>
        <w:keepNext w:val="0"/>
        <w:keepLines w:val="0"/>
        <w:pageBreakBefore w:val="0"/>
        <w:widowControl w:val="0"/>
        <w:shd w:val="clear" w:color="auto" w:fill="auto"/>
        <w:tabs>
          <w:tab w:val="left" w:pos="2085"/>
        </w:tabs>
        <w:kinsoku/>
        <w:wordWrap/>
        <w:overflowPunct/>
        <w:topLinePunct w:val="0"/>
        <w:bidi w:val="0"/>
        <w:snapToGrid/>
        <w:spacing w:before="0" w:after="0" w:line="360" w:lineRule="auto"/>
        <w:textAlignment w:val="auto"/>
        <w:outlineLvl w:val="9"/>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 xml:space="preserve">    </w:t>
      </w:r>
      <w:bookmarkStart w:id="36" w:name="_Toc1858176615"/>
      <w:bookmarkStart w:id="37" w:name="_Toc1799890158"/>
      <w:r>
        <w:rPr>
          <w:rFonts w:hint="eastAsia" w:ascii="宋体" w:hAnsi="宋体" w:eastAsia="宋体" w:cs="宋体"/>
          <w:b w:val="0"/>
          <w:color w:val="auto"/>
          <w:sz w:val="21"/>
          <w:szCs w:val="21"/>
          <w:highlight w:val="none"/>
        </w:rPr>
        <w:t>十四、补充协议</w:t>
      </w:r>
      <w:bookmarkEnd w:id="36"/>
      <w:bookmarkEnd w:id="37"/>
    </w:p>
    <w:p w14:paraId="6CEBFD60">
      <w:pPr>
        <w:keepNext w:val="0"/>
        <w:pageBreakBefore w:val="0"/>
        <w:widowControl w:val="0"/>
        <w:shd w:val="clear" w:color="auto" w:fill="auto"/>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合同未尽事宜，合同当事人另行签订补充协议，补充协议是合同的组成部分。</w:t>
      </w:r>
    </w:p>
    <w:p w14:paraId="4DBF5086">
      <w:pPr>
        <w:keepNext w:val="0"/>
        <w:pageBreakBefore w:val="0"/>
        <w:widowControl w:val="0"/>
        <w:shd w:val="clear" w:color="auto" w:fill="auto"/>
        <w:tabs>
          <w:tab w:val="left" w:pos="2085"/>
        </w:tabs>
        <w:kinsoku/>
        <w:wordWrap/>
        <w:overflowPunct/>
        <w:topLinePunct w:val="0"/>
        <w:bidi w:val="0"/>
        <w:snapToGrid/>
        <w:spacing w:before="0" w:after="0" w:line="360" w:lineRule="auto"/>
        <w:textAlignment w:val="auto"/>
        <w:outlineLvl w:val="9"/>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 xml:space="preserve">    </w:t>
      </w:r>
      <w:bookmarkStart w:id="38" w:name="_Toc111240637"/>
      <w:bookmarkStart w:id="39" w:name="_Toc1600665821"/>
      <w:r>
        <w:rPr>
          <w:rFonts w:hint="eastAsia" w:ascii="宋体" w:hAnsi="宋体" w:eastAsia="宋体" w:cs="宋体"/>
          <w:b w:val="0"/>
          <w:color w:val="auto"/>
          <w:sz w:val="21"/>
          <w:szCs w:val="21"/>
          <w:highlight w:val="none"/>
        </w:rPr>
        <w:t>十五、合同生效</w:t>
      </w:r>
      <w:bookmarkEnd w:id="38"/>
      <w:bookmarkEnd w:id="39"/>
    </w:p>
    <w:p w14:paraId="7E492889">
      <w:pPr>
        <w:keepNext w:val="0"/>
        <w:pageBreakBefore w:val="0"/>
        <w:widowControl w:val="0"/>
        <w:shd w:val="clear" w:color="auto" w:fill="auto"/>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本合同自</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生效。</w:t>
      </w:r>
    </w:p>
    <w:p w14:paraId="45664274">
      <w:pPr>
        <w:keepNext w:val="0"/>
        <w:pageBreakBefore w:val="0"/>
        <w:widowControl w:val="0"/>
        <w:shd w:val="clear" w:color="auto" w:fill="auto"/>
        <w:tabs>
          <w:tab w:val="left" w:pos="2085"/>
        </w:tabs>
        <w:kinsoku/>
        <w:wordWrap/>
        <w:overflowPunct/>
        <w:topLinePunct w:val="0"/>
        <w:bidi w:val="0"/>
        <w:snapToGrid/>
        <w:spacing w:before="0" w:after="0" w:line="360" w:lineRule="auto"/>
        <w:textAlignment w:val="auto"/>
        <w:outlineLvl w:val="9"/>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 xml:space="preserve">    </w:t>
      </w:r>
      <w:bookmarkStart w:id="40" w:name="_Toc273056816"/>
      <w:bookmarkStart w:id="41" w:name="_Toc118154563"/>
      <w:r>
        <w:rPr>
          <w:rFonts w:hint="eastAsia" w:ascii="宋体" w:hAnsi="宋体" w:eastAsia="宋体" w:cs="宋体"/>
          <w:b w:val="0"/>
          <w:color w:val="auto"/>
          <w:sz w:val="21"/>
          <w:szCs w:val="21"/>
          <w:highlight w:val="none"/>
        </w:rPr>
        <w:t>十六、合同份数</w:t>
      </w:r>
      <w:bookmarkEnd w:id="40"/>
      <w:bookmarkEnd w:id="41"/>
    </w:p>
    <w:p w14:paraId="07254556">
      <w:pPr>
        <w:keepNext w:val="0"/>
        <w:pageBreakBefore w:val="0"/>
        <w:widowControl w:val="0"/>
        <w:shd w:val="clear" w:color="auto" w:fill="auto"/>
        <w:kinsoku/>
        <w:wordWrap/>
        <w:overflowPunct/>
        <w:topLinePunct w:val="0"/>
        <w:bidi w:val="0"/>
        <w:snapToGrid/>
        <w:spacing w:line="360" w:lineRule="auto"/>
        <w:ind w:firstLine="420" w:firstLineChars="200"/>
        <w:textAlignment w:val="auto"/>
        <w:outlineLvl w:val="9"/>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本合同一式</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份，均具有同等法律效力，发包人执</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份，承包人执</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份。</w:t>
      </w:r>
    </w:p>
    <w:p w14:paraId="01C3CB93">
      <w:pPr>
        <w:keepNext w:val="0"/>
        <w:pageBreakBefore w:val="0"/>
        <w:widowControl w:val="0"/>
        <w:shd w:val="clear" w:color="auto" w:fill="auto"/>
        <w:kinsoku/>
        <w:wordWrap/>
        <w:overflowPunct/>
        <w:topLinePunct w:val="0"/>
        <w:bidi w:val="0"/>
        <w:snapToGrid/>
        <w:spacing w:line="360" w:lineRule="auto"/>
        <w:textAlignment w:val="auto"/>
        <w:outlineLvl w:val="9"/>
        <w:rPr>
          <w:rFonts w:hint="eastAsia" w:ascii="宋体" w:hAnsi="宋体" w:eastAsia="宋体" w:cs="宋体"/>
          <w:color w:val="auto"/>
          <w:sz w:val="21"/>
          <w:szCs w:val="21"/>
          <w:highlight w:val="none"/>
        </w:rPr>
      </w:pPr>
    </w:p>
    <w:p w14:paraId="18595B8A">
      <w:pPr>
        <w:keepNext w:val="0"/>
        <w:pageBreakBefore w:val="0"/>
        <w:widowControl w:val="0"/>
        <w:shd w:val="clear" w:color="auto" w:fill="auto"/>
        <w:kinsoku/>
        <w:wordWrap/>
        <w:overflowPunct/>
        <w:topLinePunct w:val="0"/>
        <w:bidi w:val="0"/>
        <w:snapToGrid/>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726DC642">
      <w:pPr>
        <w:keepNext w:val="0"/>
        <w:pageBreakBefore w:val="0"/>
        <w:widowControl w:val="0"/>
        <w:shd w:val="clear" w:color="auto" w:fill="auto"/>
        <w:kinsoku/>
        <w:wordWrap/>
        <w:overflowPunct/>
        <w:topLinePunct w:val="0"/>
        <w:bidi w:val="0"/>
        <w:snapToGrid/>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发包人：（公章）                        承包人：（公章）</w:t>
      </w:r>
    </w:p>
    <w:p w14:paraId="4E3BFFC4">
      <w:pPr>
        <w:keepNext w:val="0"/>
        <w:pageBreakBefore w:val="0"/>
        <w:widowControl/>
        <w:shd w:val="clear" w:color="auto" w:fill="auto"/>
        <w:kinsoku/>
        <w:wordWrap/>
        <w:overflowPunct/>
        <w:topLinePunct w:val="0"/>
        <w:bidi w:val="0"/>
        <w:spacing w:line="360" w:lineRule="auto"/>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w:t>
      </w:r>
    </w:p>
    <w:p w14:paraId="4A5CE251">
      <w:pPr>
        <w:keepNext w:val="0"/>
        <w:pageBreakBefore w:val="0"/>
        <w:widowControl/>
        <w:shd w:val="clear" w:color="auto" w:fill="auto"/>
        <w:tabs>
          <w:tab w:val="left" w:pos="4410"/>
        </w:tabs>
        <w:kinsoku/>
        <w:wordWrap/>
        <w:overflowPunct/>
        <w:topLinePunct w:val="0"/>
        <w:bidi w:val="0"/>
        <w:spacing w:line="360" w:lineRule="auto"/>
        <w:textAlignment w:val="auto"/>
        <w:outlineLvl w:val="9"/>
        <w:rPr>
          <w:rFonts w:hint="eastAsia" w:ascii="宋体" w:hAnsi="宋体" w:eastAsia="宋体" w:cs="宋体"/>
          <w:color w:val="auto"/>
          <w:sz w:val="21"/>
          <w:szCs w:val="21"/>
          <w:highlight w:val="none"/>
        </w:rPr>
      </w:pPr>
    </w:p>
    <w:p w14:paraId="3832A172">
      <w:pPr>
        <w:keepNext w:val="0"/>
        <w:pageBreakBefore w:val="0"/>
        <w:widowControl/>
        <w:shd w:val="clear" w:color="auto" w:fill="auto"/>
        <w:tabs>
          <w:tab w:val="left" w:pos="4410"/>
        </w:tabs>
        <w:kinsoku/>
        <w:wordWrap/>
        <w:overflowPunct/>
        <w:topLinePunct w:val="0"/>
        <w:bidi w:val="0"/>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社会统一信用代码：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社会统一信用代码：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24B31033">
      <w:pPr>
        <w:keepNext w:val="0"/>
        <w:pageBreakBefore w:val="0"/>
        <w:widowControl/>
        <w:shd w:val="clear" w:color="auto" w:fill="auto"/>
        <w:kinsoku/>
        <w:wordWrap/>
        <w:overflowPunct/>
        <w:topLinePunct w:val="0"/>
        <w:bidi w:val="0"/>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地  址：</w:t>
      </w:r>
      <w:r>
        <w:rPr>
          <w:rFonts w:hint="eastAsia" w:ascii="宋体" w:hAnsi="宋体" w:eastAsia="宋体" w:cs="宋体"/>
          <w:color w:val="auto"/>
          <w:sz w:val="21"/>
          <w:szCs w:val="21"/>
          <w:highlight w:val="none"/>
          <w:u w:val="single"/>
        </w:rPr>
        <w:t xml:space="preserve">                      </w:t>
      </w:r>
    </w:p>
    <w:p w14:paraId="0AF16923">
      <w:pPr>
        <w:keepNext w:val="0"/>
        <w:pageBreakBefore w:val="0"/>
        <w:widowControl/>
        <w:shd w:val="clear" w:color="auto" w:fill="auto"/>
        <w:kinsoku/>
        <w:wordWrap/>
        <w:overflowPunct/>
        <w:topLinePunct w:val="0"/>
        <w:bidi w:val="0"/>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邮政编码：</w:t>
      </w:r>
      <w:r>
        <w:rPr>
          <w:rFonts w:hint="eastAsia" w:ascii="宋体" w:hAnsi="宋体" w:eastAsia="宋体" w:cs="宋体"/>
          <w:color w:val="auto"/>
          <w:sz w:val="21"/>
          <w:szCs w:val="21"/>
          <w:highlight w:val="none"/>
          <w:u w:val="single"/>
        </w:rPr>
        <w:t xml:space="preserve">                   </w:t>
      </w:r>
    </w:p>
    <w:p w14:paraId="1D7BA068">
      <w:pPr>
        <w:keepNext w:val="0"/>
        <w:pageBreakBefore w:val="0"/>
        <w:widowControl/>
        <w:shd w:val="clear" w:color="auto" w:fill="auto"/>
        <w:kinsoku/>
        <w:wordWrap/>
        <w:overflowPunct/>
        <w:topLinePunct w:val="0"/>
        <w:bidi w:val="0"/>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法定代表人：</w:t>
      </w:r>
      <w:r>
        <w:rPr>
          <w:rFonts w:hint="eastAsia" w:ascii="宋体" w:hAnsi="宋体" w:eastAsia="宋体" w:cs="宋体"/>
          <w:color w:val="auto"/>
          <w:sz w:val="21"/>
          <w:szCs w:val="21"/>
          <w:highlight w:val="none"/>
          <w:u w:val="single"/>
        </w:rPr>
        <w:t xml:space="preserve">                 </w:t>
      </w:r>
    </w:p>
    <w:p w14:paraId="5A728D9F">
      <w:pPr>
        <w:keepNext w:val="0"/>
        <w:pageBreakBefore w:val="0"/>
        <w:widowControl/>
        <w:shd w:val="clear" w:color="auto" w:fill="auto"/>
        <w:kinsoku/>
        <w:wordWrap/>
        <w:overflowPunct/>
        <w:topLinePunct w:val="0"/>
        <w:bidi w:val="0"/>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委托代理人：</w:t>
      </w:r>
      <w:r>
        <w:rPr>
          <w:rFonts w:hint="eastAsia" w:ascii="宋体" w:hAnsi="宋体" w:eastAsia="宋体" w:cs="宋体"/>
          <w:color w:val="auto"/>
          <w:sz w:val="21"/>
          <w:szCs w:val="21"/>
          <w:highlight w:val="none"/>
          <w:u w:val="single"/>
        </w:rPr>
        <w:t xml:space="preserve">                 </w:t>
      </w:r>
    </w:p>
    <w:p w14:paraId="6F011484">
      <w:pPr>
        <w:keepNext w:val="0"/>
        <w:pageBreakBefore w:val="0"/>
        <w:widowControl/>
        <w:shd w:val="clear" w:color="auto" w:fill="auto"/>
        <w:kinsoku/>
        <w:wordWrap/>
        <w:overflowPunct/>
        <w:topLinePunct w:val="0"/>
        <w:bidi w:val="0"/>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  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  话：</w:t>
      </w:r>
      <w:r>
        <w:rPr>
          <w:rFonts w:hint="eastAsia" w:ascii="宋体" w:hAnsi="宋体" w:eastAsia="宋体" w:cs="宋体"/>
          <w:color w:val="auto"/>
          <w:sz w:val="21"/>
          <w:szCs w:val="21"/>
          <w:highlight w:val="none"/>
          <w:u w:val="single"/>
        </w:rPr>
        <w:t xml:space="preserve">                     </w:t>
      </w:r>
    </w:p>
    <w:p w14:paraId="7F77AD55">
      <w:pPr>
        <w:keepNext w:val="0"/>
        <w:pageBreakBefore w:val="0"/>
        <w:widowControl/>
        <w:shd w:val="clear" w:color="auto" w:fill="auto"/>
        <w:kinsoku/>
        <w:wordWrap/>
        <w:overflowPunct/>
        <w:topLinePunct w:val="0"/>
        <w:bidi w:val="0"/>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  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传  真：</w:t>
      </w:r>
      <w:r>
        <w:rPr>
          <w:rFonts w:hint="eastAsia" w:ascii="宋体" w:hAnsi="宋体" w:eastAsia="宋体" w:cs="宋体"/>
          <w:color w:val="auto"/>
          <w:sz w:val="21"/>
          <w:szCs w:val="21"/>
          <w:highlight w:val="none"/>
          <w:u w:val="single"/>
        </w:rPr>
        <w:t xml:space="preserve">                     </w:t>
      </w:r>
    </w:p>
    <w:p w14:paraId="5664C44A">
      <w:pPr>
        <w:keepNext w:val="0"/>
        <w:pageBreakBefore w:val="0"/>
        <w:widowControl/>
        <w:shd w:val="clear" w:color="auto" w:fill="auto"/>
        <w:kinsoku/>
        <w:wordWrap/>
        <w:overflowPunct/>
        <w:topLinePunct w:val="0"/>
        <w:bidi w:val="0"/>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电子信箱：</w:t>
      </w:r>
      <w:r>
        <w:rPr>
          <w:rFonts w:hint="eastAsia" w:ascii="宋体" w:hAnsi="宋体" w:eastAsia="宋体" w:cs="宋体"/>
          <w:color w:val="auto"/>
          <w:sz w:val="21"/>
          <w:szCs w:val="21"/>
          <w:highlight w:val="none"/>
          <w:u w:val="single"/>
        </w:rPr>
        <w:t xml:space="preserve">                   </w:t>
      </w:r>
    </w:p>
    <w:p w14:paraId="07A14E2E">
      <w:pPr>
        <w:keepNext w:val="0"/>
        <w:pageBreakBefore w:val="0"/>
        <w:widowControl/>
        <w:shd w:val="clear" w:color="auto" w:fill="auto"/>
        <w:kinsoku/>
        <w:wordWrap/>
        <w:overflowPunct/>
        <w:topLinePunct w:val="0"/>
        <w:bidi w:val="0"/>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开户银行：</w:t>
      </w:r>
      <w:r>
        <w:rPr>
          <w:rFonts w:hint="eastAsia" w:ascii="宋体" w:hAnsi="宋体" w:eastAsia="宋体" w:cs="宋体"/>
          <w:color w:val="auto"/>
          <w:sz w:val="21"/>
          <w:szCs w:val="21"/>
          <w:highlight w:val="none"/>
          <w:u w:val="single"/>
        </w:rPr>
        <w:t xml:space="preserve">                   </w:t>
      </w:r>
    </w:p>
    <w:p w14:paraId="4739E6EA">
      <w:pPr>
        <w:keepNext w:val="0"/>
        <w:pageBreakBefore w:val="0"/>
        <w:widowControl/>
        <w:shd w:val="clear" w:color="auto" w:fill="auto"/>
        <w:kinsoku/>
        <w:wordWrap/>
        <w:overflowPunct/>
        <w:topLinePunct w:val="0"/>
        <w:bidi w:val="0"/>
        <w:spacing w:line="360" w:lineRule="auto"/>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  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账  号：</w:t>
      </w:r>
      <w:r>
        <w:rPr>
          <w:rFonts w:hint="eastAsia" w:ascii="宋体" w:hAnsi="宋体" w:eastAsia="宋体" w:cs="宋体"/>
          <w:color w:val="auto"/>
          <w:sz w:val="21"/>
          <w:szCs w:val="21"/>
          <w:highlight w:val="none"/>
          <w:u w:val="single"/>
        </w:rPr>
        <w:t xml:space="preserve">                     </w:t>
      </w:r>
    </w:p>
    <w:p w14:paraId="46D317A0">
      <w:pPr>
        <w:pageBreakBefore w:val="0"/>
        <w:shd w:val="clear" w:color="auto" w:fill="auto"/>
        <w:tabs>
          <w:tab w:val="left" w:pos="2085"/>
        </w:tabs>
        <w:kinsoku/>
        <w:wordWrap/>
        <w:overflowPunct/>
        <w:topLinePunct w:val="0"/>
        <w:bidi w:val="0"/>
        <w:spacing w:line="360" w:lineRule="auto"/>
        <w:textAlignment w:val="auto"/>
        <w:outlineLvl w:val="9"/>
        <w:rPr>
          <w:rFonts w:hint="eastAsia" w:ascii="宋体" w:hAnsi="宋体" w:eastAsia="宋体" w:cs="宋体"/>
          <w:b w:val="0"/>
          <w:bCs w:val="0"/>
          <w:color w:val="auto"/>
          <w:sz w:val="24"/>
          <w:szCs w:val="24"/>
          <w:highlight w:val="none"/>
        </w:rPr>
        <w:sectPr>
          <w:headerReference r:id="rId5" w:type="first"/>
          <w:footerReference r:id="rId6" w:type="default"/>
          <w:pgSz w:w="11905" w:h="16838"/>
          <w:pgMar w:top="1304" w:right="1304" w:bottom="1304" w:left="1304" w:header="850" w:footer="992" w:gutter="0"/>
          <w:pgBorders>
            <w:top w:val="none" w:sz="0" w:space="0"/>
            <w:left w:val="none" w:sz="0" w:space="0"/>
            <w:bottom w:val="none" w:sz="0" w:space="0"/>
            <w:right w:val="none" w:sz="0" w:space="0"/>
          </w:pgBorders>
          <w:pgNumType w:fmt="decimal"/>
          <w:cols w:space="720" w:num="1"/>
          <w:titlePg/>
          <w:rtlGutter w:val="0"/>
          <w:docGrid w:type="linesAndChars" w:linePitch="316" w:charSpace="0"/>
        </w:sectPr>
      </w:pPr>
      <w:bookmarkStart w:id="42" w:name="_Toc16153"/>
      <w:bookmarkStart w:id="43" w:name="_Toc12223"/>
      <w:bookmarkStart w:id="44" w:name="_Toc26547"/>
      <w:bookmarkStart w:id="45" w:name="_Toc10868"/>
    </w:p>
    <w:bookmarkEnd w:id="42"/>
    <w:bookmarkEnd w:id="43"/>
    <w:bookmarkEnd w:id="44"/>
    <w:bookmarkEnd w:id="45"/>
    <w:p w14:paraId="323AA755">
      <w:pPr>
        <w:pStyle w:val="5"/>
        <w:keepNext/>
        <w:keepLines w:val="0"/>
        <w:pageBreakBefore w:val="0"/>
        <w:widowControl w:val="0"/>
        <w:numPr>
          <w:ilvl w:val="0"/>
          <w:numId w:val="0"/>
        </w:numPr>
        <w:shd w:val="clear" w:color="auto" w:fill="auto"/>
        <w:kinsoku/>
        <w:wordWrap/>
        <w:overflowPunct/>
        <w:topLinePunct w:val="0"/>
        <w:autoSpaceDE/>
        <w:autoSpaceDN/>
        <w:bidi w:val="0"/>
        <w:adjustRightInd/>
        <w:snapToGrid/>
        <w:spacing w:before="157" w:beforeLines="50" w:after="157" w:afterLines="50"/>
        <w:ind w:leftChars="0"/>
        <w:jc w:val="center"/>
        <w:textAlignment w:val="auto"/>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第二部分  通用合同条款</w:t>
      </w:r>
    </w:p>
    <w:p w14:paraId="64B2993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bookmarkStart w:id="46" w:name="_Toc303538972"/>
      <w:bookmarkEnd w:id="46"/>
      <w:bookmarkStart w:id="47" w:name="_Toc303538976"/>
      <w:bookmarkEnd w:id="47"/>
      <w:bookmarkStart w:id="48" w:name="_Toc303538973"/>
      <w:bookmarkEnd w:id="48"/>
      <w:bookmarkStart w:id="49" w:name="_Toc303538975"/>
      <w:bookmarkEnd w:id="49"/>
      <w:bookmarkStart w:id="50" w:name="_Toc303538974"/>
      <w:bookmarkEnd w:id="50"/>
      <w:bookmarkStart w:id="51" w:name="_Toc296346528"/>
      <w:bookmarkStart w:id="52" w:name="_Toc296503027"/>
      <w:r>
        <w:rPr>
          <w:rFonts w:hint="eastAsia" w:ascii="宋体" w:hAnsi="宋体" w:eastAsia="宋体" w:cs="宋体"/>
          <w:color w:val="auto"/>
          <w:kern w:val="0"/>
          <w:sz w:val="21"/>
          <w:szCs w:val="21"/>
          <w:highlight w:val="none"/>
        </w:rPr>
        <w:t xml:space="preserve"> 一般约定</w:t>
      </w:r>
      <w:bookmarkEnd w:id="51"/>
      <w:bookmarkEnd w:id="52"/>
    </w:p>
    <w:p w14:paraId="2694F66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bookmarkStart w:id="53" w:name="_Toc296503028"/>
      <w:bookmarkStart w:id="54" w:name="_Toc337558728"/>
      <w:bookmarkStart w:id="55" w:name="_Toc296346529"/>
      <w:bookmarkStart w:id="56" w:name="_Toc351203496"/>
      <w:r>
        <w:rPr>
          <w:rFonts w:hint="eastAsia" w:ascii="宋体" w:hAnsi="宋体" w:eastAsia="宋体" w:cs="宋体"/>
          <w:color w:val="auto"/>
          <w:kern w:val="0"/>
          <w:sz w:val="21"/>
          <w:szCs w:val="21"/>
          <w:highlight w:val="none"/>
        </w:rPr>
        <w:t>1.1词语定义</w:t>
      </w:r>
      <w:bookmarkEnd w:id="53"/>
      <w:bookmarkEnd w:id="54"/>
      <w:bookmarkEnd w:id="55"/>
      <w:r>
        <w:rPr>
          <w:rFonts w:hint="eastAsia" w:ascii="宋体" w:hAnsi="宋体" w:eastAsia="宋体" w:cs="宋体"/>
          <w:color w:val="auto"/>
          <w:kern w:val="0"/>
          <w:sz w:val="21"/>
          <w:szCs w:val="21"/>
          <w:highlight w:val="none"/>
        </w:rPr>
        <w:t>与解释</w:t>
      </w:r>
      <w:bookmarkEnd w:id="56"/>
    </w:p>
    <w:p w14:paraId="5B0037A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合同协议书、通用合同条款、专用合同条款中的下列词语具有本款所赋予的含义：</w:t>
      </w:r>
    </w:p>
    <w:p w14:paraId="62EFB9A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1.1.1 合同</w:t>
      </w:r>
    </w:p>
    <w:p w14:paraId="50BBAF7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1.1.1.1 合同：是指根据法律规定和合同当事人约定具有约束力的文件，构成合同的文件包括合同协议书、中标通知书（如果有）、投标函及其附录（如果有）、专用合同条款</w:t>
      </w:r>
      <w:r>
        <w:rPr>
          <w:rFonts w:hint="eastAsia" w:ascii="宋体" w:hAnsi="宋体" w:eastAsia="宋体" w:cs="宋体"/>
          <w:color w:val="auto"/>
          <w:sz w:val="21"/>
          <w:szCs w:val="21"/>
          <w:highlight w:val="none"/>
        </w:rPr>
        <w:t>及其附件</w:t>
      </w:r>
      <w:r>
        <w:rPr>
          <w:rFonts w:hint="eastAsia" w:ascii="宋体" w:hAnsi="宋体" w:eastAsia="宋体" w:cs="宋体"/>
          <w:color w:val="auto"/>
          <w:kern w:val="0"/>
          <w:sz w:val="21"/>
          <w:szCs w:val="21"/>
          <w:highlight w:val="none"/>
        </w:rPr>
        <w:t>、通用合同条款、技术标准和要求、图纸、已标价工程量清单或预算书以及其他合同文件。</w:t>
      </w:r>
    </w:p>
    <w:p w14:paraId="7AB5CFF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1.1.1.2 合同协议书：是指构成合同的由发包人和承包人共同签署的称为“合同协议书”的书面文件。</w:t>
      </w:r>
    </w:p>
    <w:p w14:paraId="785FB6E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1.1.1.3 中标通知书：是指构成合同的由发包人通知承包人中标的书面文件。</w:t>
      </w:r>
    </w:p>
    <w:p w14:paraId="45B4277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1.1.1.4 投标函：是指构成合同的由承包人填写并签署的用于投标的称为“投标函”的文件。</w:t>
      </w:r>
    </w:p>
    <w:p w14:paraId="6DD1506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1.1.1.5 投标函附录：是指构成合同的附在投标函后的称为“投标函附录”的文件。</w:t>
      </w:r>
    </w:p>
    <w:p w14:paraId="24FD2DB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1.1.1.6 技术标准和要求：是指构成合同的施工应当遵守的或指导施工的国家、行业或地方的技术标准和要求，以及合同约定的技术标准和要求。</w:t>
      </w:r>
    </w:p>
    <w:p w14:paraId="503C172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1C90EF8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09" w:firstLineChars="195"/>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1.1.1.8 已标价工程量清单：是指构成合同的由承包人按照规定的格式和要求填写并标明价格的工程量清单，包括说明和表格。</w:t>
      </w:r>
    </w:p>
    <w:p w14:paraId="33AAED7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09" w:firstLineChars="195"/>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1.1.1.9 预算书：是指构成合同的由承包人按照发包人规定的格式和要求编制的工程预算文件。</w:t>
      </w:r>
    </w:p>
    <w:p w14:paraId="7D31703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1.1.1.10 其他合同文件：是指经合同当事人约定的与工程施工有关的具有合同约束力的文件或书面协议。合同当事人可以在专用合同条款中进行约定。</w:t>
      </w:r>
    </w:p>
    <w:p w14:paraId="40AFBBE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1.1.2 合同当事人及其他相关方</w:t>
      </w:r>
    </w:p>
    <w:p w14:paraId="1A19F42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1.1.2.1 合同当事人：是指发包人和（或）承包人。</w:t>
      </w:r>
    </w:p>
    <w:p w14:paraId="4747455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1.1.2.2 发包人：是指与承包人签订合同协议书的当事人及取得该当事人资格的合法继承人。</w:t>
      </w:r>
    </w:p>
    <w:p w14:paraId="4FC5739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1.1.2.3 承包人：是指与发包人签订合同协议书的，具有相应工程施工承包资质的当事人及取得该当事人资格的合法继承人。</w:t>
      </w:r>
    </w:p>
    <w:p w14:paraId="2E17ACA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1.1.2.4 监理人：是指在专用合同条款中指明的，受发包人委托按照法律规定进行工程监督管理的法人或其他组织。</w:t>
      </w:r>
    </w:p>
    <w:p w14:paraId="36BFEF3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1.1.2.5 设计人：是指在专用合同条款中指明的，受发包人委托负责工程设计并具备相应工程设计资质的法人或其他组织。</w:t>
      </w:r>
    </w:p>
    <w:p w14:paraId="08372C4B">
      <w:pPr>
        <w:keepNext w:val="0"/>
        <w:keepLines w:val="0"/>
        <w:pageBreakBefore w:val="0"/>
        <w:widowControl w:val="0"/>
        <w:shd w:val="clear" w:color="auto" w:fill="auto"/>
        <w:kinsoku/>
        <w:wordWrap/>
        <w:overflowPunct/>
        <w:topLinePunct w:val="0"/>
        <w:bidi w:val="0"/>
        <w:spacing w:line="360" w:lineRule="auto"/>
        <w:ind w:left="0" w:firstLine="409" w:firstLineChars="195"/>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1.1.2.6 分包人：</w:t>
      </w:r>
      <w:bookmarkStart w:id="57" w:name="#go5"/>
      <w:bookmarkEnd w:id="57"/>
      <w:r>
        <w:rPr>
          <w:rFonts w:hint="eastAsia" w:ascii="宋体" w:hAnsi="宋体" w:eastAsia="宋体" w:cs="宋体"/>
          <w:color w:val="auto"/>
          <w:kern w:val="0"/>
          <w:sz w:val="21"/>
          <w:szCs w:val="21"/>
          <w:highlight w:val="none"/>
        </w:rPr>
        <w:t>是指按照法律规定和合同约定，分包部分工程或工作，并与承包人签订分包合同的具有相应资质的法人。</w:t>
      </w:r>
    </w:p>
    <w:p w14:paraId="3B6C970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1.1.2.7 发包人代表：是指由发包人任命并派驻施工现场在发包人授权范围内行使发包人权利的人。</w:t>
      </w:r>
    </w:p>
    <w:p w14:paraId="585A813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1.1.2.8 项目经理：是指由承包人任命并派驻施工现场，在承包人授权范围内负责合同履行，且按照法律规定具有相应资格的项目负责人。</w:t>
      </w:r>
    </w:p>
    <w:p w14:paraId="5280024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1.1.2.9 总监理工程师：是指由监理人任命并派驻施工现场进行工程监理的总负责人。</w:t>
      </w:r>
    </w:p>
    <w:p w14:paraId="456AB13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 工程和设备</w:t>
      </w:r>
    </w:p>
    <w:p w14:paraId="33A178B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1.1.3.1 工程：是指与合同协议书中工程承包范围对应的永久工程和（或）临时工程。</w:t>
      </w:r>
    </w:p>
    <w:p w14:paraId="6210D46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1.1.3.2 永久工程：是指按合同约定建造并移交给发包人的工程，包括工程设备。</w:t>
      </w:r>
    </w:p>
    <w:p w14:paraId="5B2D408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1.1.3.3 临时工程：是指为完成合同约定的永久工程所修建的各类临时性工程，不包括施工设备。</w:t>
      </w:r>
    </w:p>
    <w:p w14:paraId="44D822D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1.1.3.4 单位工程：是指在合同协议书中指明的，具备独立施工条件并能形成独立使用功能的永久工程。</w:t>
      </w:r>
    </w:p>
    <w:p w14:paraId="09F2AB5F">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1.1.3.5 工程设备：是指构成永久工程的机电设备、金属结构设备、仪器及其他类似的设备和装置。</w:t>
      </w:r>
    </w:p>
    <w:p w14:paraId="29794C3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1.1.3.6 施工设备：是指为完成合同约定的各项工作所需的设备、器具和其他物品，但不包括工程设备、临时工程和材料。</w:t>
      </w:r>
    </w:p>
    <w:p w14:paraId="100ADC2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1.1.3.7 施工现场：是指用于工程施工的场所，以及在专用合同条款中指明作为施工场所组成部分的其他场所，包括永久占地和临时占地。</w:t>
      </w:r>
    </w:p>
    <w:p w14:paraId="0FB5275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1.1.3.8临时设施：是指为完成合同约定的各项工作所服务的临时性生产和生活设施。</w:t>
      </w:r>
    </w:p>
    <w:p w14:paraId="5E90EDE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1.1.3.9 永久占地：是指专用合同条款中指明为实施工程需永久占用的土地。</w:t>
      </w:r>
    </w:p>
    <w:p w14:paraId="67CA17E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1.1.3.10 临时占地：是指专用合同条款中指明为实施工程需要临时占用的土地。</w:t>
      </w:r>
    </w:p>
    <w:p w14:paraId="6807BED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 日期和期限</w:t>
      </w:r>
    </w:p>
    <w:p w14:paraId="70FEA8B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3ACFAAE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1.1.4.2 竣工日期：包括计划竣工日期和实际竣工日期。计划竣工日期是指合同协议书约定的竣工日期；实际竣工日期按照第13.2.3项〔竣工日期〕的约定确定。 </w:t>
      </w:r>
    </w:p>
    <w:p w14:paraId="7B4A427F">
      <w:pPr>
        <w:keepNext w:val="0"/>
        <w:keepLines w:val="0"/>
        <w:pageBreakBefore w:val="0"/>
        <w:widowControl w:val="0"/>
        <w:shd w:val="clear" w:color="auto" w:fill="auto"/>
        <w:kinsoku/>
        <w:wordWrap/>
        <w:overflowPunct/>
        <w:topLinePunct w:val="0"/>
        <w:bidi w:val="0"/>
        <w:spacing w:line="360" w:lineRule="auto"/>
        <w:ind w:left="0" w:firstLine="426" w:firstLineChars="203"/>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1.1.4.3 工期：是指在合同协议书约定的承包人完成工程所需的期限，包括按照合同约定所作的期限变更。</w:t>
      </w:r>
    </w:p>
    <w:p w14:paraId="7A50414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1.1.4.4 缺陷责任期：是指承包人按照合同约定承担缺陷修复义务，且发包人预留质量保证金（已缴纳履约保证金的除外）的期限，自工程实际竣工日期起计算。</w:t>
      </w:r>
    </w:p>
    <w:p w14:paraId="6FA86F5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1.1.4.5 保修期：是指承包人按照合同约定对工程承担保修责任的期限，从工程竣工验收合格之日起计算。</w:t>
      </w:r>
    </w:p>
    <w:p w14:paraId="5CD6462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1.1.4.6 基准日期：招标发包的工程以投标截止日前28天的日期为基准日期，直接发包的工程以合同签订日前28天的日期为基准日期。</w:t>
      </w:r>
    </w:p>
    <w:p w14:paraId="364185E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1.1.4.7 天：除特别指明外，均指日历天。合同中按天计算时间的，开始当天不计入，从次日开始计算，期限最后一天的截止时间为当天24:00时。</w:t>
      </w:r>
    </w:p>
    <w:p w14:paraId="682EA8C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 合同价格和费用</w:t>
      </w:r>
    </w:p>
    <w:p w14:paraId="2A6F605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1.1.5.1 签约合同价：是指</w:t>
      </w:r>
      <w:r>
        <w:rPr>
          <w:rFonts w:hint="eastAsia" w:ascii="宋体" w:hAnsi="宋体" w:eastAsia="宋体" w:cs="宋体"/>
          <w:color w:val="auto"/>
          <w:sz w:val="21"/>
          <w:szCs w:val="21"/>
          <w:highlight w:val="none"/>
        </w:rPr>
        <w:t>发包人和承包人在合同协议书中确定的总金额，包括安全文明施工费、暂估价及暂列金额等。</w:t>
      </w:r>
    </w:p>
    <w:p w14:paraId="7EB7F59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1.1.5.2 合同价格：是指发包人用于支付承包人按照合同约定完成承包范围内全部工作的金额，包括合同履行过程中按合同约定发生的价格变化。</w:t>
      </w:r>
    </w:p>
    <w:p w14:paraId="5414115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1.1.5.3 费用：是指为履行合同所发生的或将要发生的所有必需的开支，包括管理费和应分摊的其他费用，但不包括利润。</w:t>
      </w:r>
    </w:p>
    <w:p w14:paraId="373ACD7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1.1.5.4 暂估价：是指发包人在工程量清单或预算书中提供的用于支付必然发生但暂时不能确定价格的材料、工程设备的单价、专业工程以及服务工作的金额。</w:t>
      </w:r>
    </w:p>
    <w:p w14:paraId="3FFB58D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24E5ED7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1.1.5.6 计日工：是指合同履行过程中，承包人完成发包人提出的零星工作或需要采用计日工计价的变更工作时，按合同中约定的单价计价的一种方式。</w:t>
      </w:r>
    </w:p>
    <w:p w14:paraId="0953BCF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1.1.5.7 质量保证金</w:t>
      </w:r>
      <w:bookmarkStart w:id="58" w:name="#go2"/>
      <w:bookmarkEnd w:id="58"/>
      <w:r>
        <w:rPr>
          <w:rFonts w:hint="eastAsia" w:ascii="宋体" w:hAnsi="宋体" w:eastAsia="宋体" w:cs="宋体"/>
          <w:color w:val="auto"/>
          <w:kern w:val="0"/>
          <w:sz w:val="21"/>
          <w:szCs w:val="21"/>
          <w:highlight w:val="none"/>
        </w:rPr>
        <w:t>：是指按照第15.3款〔质量保证金〕约定承包人用于保证其在缺陷责任期内履行缺陷修补义务的担保</w:t>
      </w:r>
      <w:r>
        <w:rPr>
          <w:rFonts w:hint="eastAsia" w:ascii="宋体" w:hAnsi="宋体" w:eastAsia="宋体" w:cs="宋体"/>
          <w:color w:val="auto"/>
          <w:sz w:val="21"/>
          <w:szCs w:val="21"/>
          <w:highlight w:val="none"/>
        </w:rPr>
        <w:t>。</w:t>
      </w:r>
    </w:p>
    <w:p w14:paraId="599050E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1.1.5.8 总价项目：是指在现行国家、行业以及地方的计量规则中无工程量计算规则，在已标价工程量清单或预算书中以总价或以费率形式计算的项目。</w:t>
      </w:r>
    </w:p>
    <w:p w14:paraId="5F1F552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 其他</w:t>
      </w:r>
    </w:p>
    <w:p w14:paraId="4351191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1.1.6.1 书面形式：是指合同文件、信函、电报、传真等可以有形地表现所载内容的形式。</w:t>
      </w:r>
      <w:bookmarkStart w:id="59" w:name="_Toc296346530"/>
      <w:bookmarkStart w:id="60" w:name="_Toc337558729"/>
      <w:bookmarkStart w:id="61" w:name="_Toc351203497"/>
      <w:bookmarkStart w:id="62" w:name="_Toc296503029"/>
    </w:p>
    <w:bookmarkEnd w:id="59"/>
    <w:bookmarkEnd w:id="60"/>
    <w:bookmarkEnd w:id="61"/>
    <w:bookmarkEnd w:id="62"/>
    <w:p w14:paraId="1701CF1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63" w:name="_Toc296503030"/>
      <w:bookmarkStart w:id="64" w:name="_Toc351203498"/>
      <w:bookmarkStart w:id="65" w:name="_Toc337558730"/>
      <w:bookmarkStart w:id="66" w:name="_Toc296346531"/>
      <w:r>
        <w:rPr>
          <w:rFonts w:hint="eastAsia" w:ascii="宋体" w:hAnsi="宋体" w:eastAsia="宋体" w:cs="宋体"/>
          <w:color w:val="auto"/>
          <w:kern w:val="0"/>
          <w:sz w:val="21"/>
          <w:szCs w:val="21"/>
          <w:highlight w:val="none"/>
        </w:rPr>
        <w:t>1.2语言文字</w:t>
      </w:r>
    </w:p>
    <w:p w14:paraId="738E254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合同以中国的汉语简体文字编写、解释和说明。合同当事人在专用合同条款中约定使用两种以上语言时，汉语为优先解释和说明合同的语言。</w:t>
      </w:r>
    </w:p>
    <w:p w14:paraId="1E57112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1.3法律</w:t>
      </w:r>
      <w:bookmarkEnd w:id="63"/>
      <w:bookmarkEnd w:id="64"/>
      <w:bookmarkEnd w:id="65"/>
      <w:bookmarkEnd w:id="66"/>
    </w:p>
    <w:p w14:paraId="694D1D4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合同所称法律是指中华人民共和国法律、行政法规、部门规章，以及工程所在地的地方性法规、自治条例、单行条例和地方政府规章等。</w:t>
      </w:r>
    </w:p>
    <w:p w14:paraId="17C0BB6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合同当事人可以在专用合同条款中约定合同适用的其他规范性文件。</w:t>
      </w:r>
    </w:p>
    <w:p w14:paraId="7080EAB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67" w:name="_Toc351203499"/>
      <w:r>
        <w:rPr>
          <w:rFonts w:hint="eastAsia" w:ascii="宋体" w:hAnsi="宋体" w:eastAsia="宋体" w:cs="宋体"/>
          <w:color w:val="auto"/>
          <w:kern w:val="0"/>
          <w:sz w:val="21"/>
          <w:szCs w:val="21"/>
          <w:highlight w:val="none"/>
        </w:rPr>
        <w:t>1.4 标准和规范</w:t>
      </w:r>
      <w:bookmarkEnd w:id="67"/>
    </w:p>
    <w:p w14:paraId="6269180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64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1.4.1 适用于工程的国家标准、行业标准、工程所在地的地方性标准，以及相应的规范、规程等，合同当事人有特别要求的，应在专用合同条款中约定。</w:t>
      </w:r>
    </w:p>
    <w:p w14:paraId="0ACF870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64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1.4.2 发包人要求使用国外标准、规范的，发包人负责提供原文版本和中文译本，并在专用合同条款中约定提供标准规范的名称、份数和时间。</w:t>
      </w:r>
    </w:p>
    <w:p w14:paraId="3684E1E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64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103C39B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68" w:name="_Toc351203500"/>
      <w:r>
        <w:rPr>
          <w:rFonts w:hint="eastAsia" w:ascii="宋体" w:hAnsi="宋体" w:eastAsia="宋体" w:cs="宋体"/>
          <w:color w:val="auto"/>
          <w:kern w:val="0"/>
          <w:sz w:val="21"/>
          <w:szCs w:val="21"/>
          <w:highlight w:val="none"/>
        </w:rPr>
        <w:t>1</w:t>
      </w:r>
      <w:bookmarkStart w:id="69" w:name="_Toc296503031"/>
      <w:bookmarkStart w:id="70" w:name="_Toc337558731"/>
      <w:bookmarkStart w:id="71" w:name="_Toc296346532"/>
      <w:r>
        <w:rPr>
          <w:rFonts w:hint="eastAsia" w:ascii="宋体" w:hAnsi="宋体" w:eastAsia="宋体" w:cs="宋体"/>
          <w:color w:val="auto"/>
          <w:kern w:val="0"/>
          <w:sz w:val="21"/>
          <w:szCs w:val="21"/>
          <w:highlight w:val="none"/>
        </w:rPr>
        <w:t>.5 合同文件的优先顺序</w:t>
      </w:r>
      <w:bookmarkEnd w:id="68"/>
    </w:p>
    <w:bookmarkEnd w:id="69"/>
    <w:bookmarkEnd w:id="70"/>
    <w:bookmarkEnd w:id="71"/>
    <w:p w14:paraId="71B792E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组成合同的各项文件应互相解释，互为说明。除专用合同条款另有约定外，解释合同文件的优先顺序如下：</w:t>
      </w:r>
    </w:p>
    <w:p w14:paraId="1449B02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（1）合同协议书；</w:t>
      </w:r>
    </w:p>
    <w:p w14:paraId="5CFA99C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（2）中标通知书（如果有）；</w:t>
      </w:r>
    </w:p>
    <w:p w14:paraId="409DC9A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（3）投标函及其附录（如果有）；</w:t>
      </w:r>
    </w:p>
    <w:p w14:paraId="41276BA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（4）专用合同条款</w:t>
      </w:r>
      <w:r>
        <w:rPr>
          <w:rFonts w:hint="eastAsia" w:ascii="宋体" w:hAnsi="宋体" w:eastAsia="宋体" w:cs="宋体"/>
          <w:color w:val="auto"/>
          <w:sz w:val="21"/>
          <w:szCs w:val="21"/>
          <w:highlight w:val="none"/>
        </w:rPr>
        <w:t>及其附件</w:t>
      </w:r>
      <w:r>
        <w:rPr>
          <w:rFonts w:hint="eastAsia" w:ascii="宋体" w:hAnsi="宋体" w:eastAsia="宋体" w:cs="宋体"/>
          <w:color w:val="auto"/>
          <w:kern w:val="0"/>
          <w:sz w:val="21"/>
          <w:szCs w:val="21"/>
          <w:highlight w:val="none"/>
        </w:rPr>
        <w:t>；</w:t>
      </w:r>
    </w:p>
    <w:p w14:paraId="75B35EF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（5）通用合同条款；</w:t>
      </w:r>
    </w:p>
    <w:p w14:paraId="7DE18F4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（6）技术标准和要求；</w:t>
      </w:r>
    </w:p>
    <w:p w14:paraId="04E61E1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（7）图纸；</w:t>
      </w:r>
    </w:p>
    <w:p w14:paraId="4F811C2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（8）已标价工程量清单或预算书；</w:t>
      </w:r>
    </w:p>
    <w:p w14:paraId="1C7C011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（9）其他合同文件。</w:t>
      </w:r>
    </w:p>
    <w:p w14:paraId="726926C2">
      <w:pPr>
        <w:keepNext w:val="0"/>
        <w:keepLines w:val="0"/>
        <w:pageBreakBefore w:val="0"/>
        <w:widowControl w:val="0"/>
        <w:shd w:val="clear" w:color="auto" w:fill="auto"/>
        <w:kinsoku/>
        <w:wordWrap/>
        <w:overflowPunct/>
        <w:topLinePunct w:val="0"/>
        <w:bidi w:val="0"/>
        <w:spacing w:line="360" w:lineRule="auto"/>
        <w:ind w:left="0" w:firstLine="447" w:firstLineChars="21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上述各项合同文件包括合同当事人就该项合同文件所作出的补充和修改，属于同一类内容的文件，应以最新签署的为准。</w:t>
      </w:r>
    </w:p>
    <w:p w14:paraId="3181FA09">
      <w:pPr>
        <w:keepNext w:val="0"/>
        <w:keepLines w:val="0"/>
        <w:pageBreakBefore w:val="0"/>
        <w:widowControl w:val="0"/>
        <w:shd w:val="clear" w:color="auto" w:fill="auto"/>
        <w:kinsoku/>
        <w:wordWrap/>
        <w:overflowPunct/>
        <w:topLinePunct w:val="0"/>
        <w:bidi w:val="0"/>
        <w:spacing w:line="360" w:lineRule="auto"/>
        <w:ind w:left="0" w:firstLine="447" w:firstLineChars="21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在合同订立及履行过程中形成的与合同有关的文件均构成合同文件组成部分，并根据其性质确定优先解释顺序。</w:t>
      </w:r>
    </w:p>
    <w:p w14:paraId="76CCC52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72" w:name="_Toc351203501"/>
      <w:r>
        <w:rPr>
          <w:rFonts w:hint="eastAsia" w:ascii="宋体" w:hAnsi="宋体" w:eastAsia="宋体" w:cs="宋体"/>
          <w:color w:val="auto"/>
          <w:kern w:val="0"/>
          <w:sz w:val="21"/>
          <w:szCs w:val="21"/>
          <w:highlight w:val="none"/>
        </w:rPr>
        <w:t>1</w:t>
      </w:r>
      <w:bookmarkStart w:id="73" w:name="_Toc337558732"/>
      <w:bookmarkStart w:id="74" w:name="_Toc296346533"/>
      <w:bookmarkStart w:id="75" w:name="_Toc296503032"/>
      <w:r>
        <w:rPr>
          <w:rFonts w:hint="eastAsia" w:ascii="宋体" w:hAnsi="宋体" w:eastAsia="宋体" w:cs="宋体"/>
          <w:color w:val="auto"/>
          <w:kern w:val="0"/>
          <w:sz w:val="21"/>
          <w:szCs w:val="21"/>
          <w:highlight w:val="none"/>
        </w:rPr>
        <w:t>.6图纸和承包人文件</w:t>
      </w:r>
      <w:bookmarkEnd w:id="72"/>
    </w:p>
    <w:bookmarkEnd w:id="73"/>
    <w:bookmarkEnd w:id="74"/>
    <w:bookmarkEnd w:id="75"/>
    <w:p w14:paraId="4E07B6E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1.6.1 图纸的提供和交底</w:t>
      </w:r>
    </w:p>
    <w:p w14:paraId="66C9A02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39F59C2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因发包人未按合同约定提供图纸导致承包人费用增加和（或）工期延误的，按照第7.5.1项〔因发包人原因导致工期延误〕约定办理。</w:t>
      </w:r>
    </w:p>
    <w:p w14:paraId="572CD9B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 图纸的错误</w:t>
      </w:r>
    </w:p>
    <w:p w14:paraId="26D0E3D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545407C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1.6.3 图纸的修改和补充</w:t>
      </w:r>
    </w:p>
    <w:p w14:paraId="50BE5F0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5DBE420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1.6.4 承包人文件</w:t>
      </w:r>
    </w:p>
    <w:p w14:paraId="634E3B1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承包人应按照专用合同条款的约定提供应当由其编制的与工程施工有关的文件，并按照专用合同条款约定的期限、数量和形式提交监理人，并由监理人报送发包人。</w:t>
      </w:r>
    </w:p>
    <w:p w14:paraId="2FC25E9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2215472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1.6.5 图纸和承包人文件的保管</w:t>
      </w:r>
    </w:p>
    <w:p w14:paraId="47A3C5C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除专用合同条款另有约定外，承包人应在施工现场另外保存一套完整的图纸和承包人文件，供发包人、监理人及有关人员进行工程检查时使用。</w:t>
      </w:r>
    </w:p>
    <w:p w14:paraId="65082DD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76" w:name="_Toc351203502"/>
      <w:r>
        <w:rPr>
          <w:rFonts w:hint="eastAsia" w:ascii="宋体" w:hAnsi="宋体" w:eastAsia="宋体" w:cs="宋体"/>
          <w:color w:val="auto"/>
          <w:kern w:val="0"/>
          <w:sz w:val="21"/>
          <w:szCs w:val="21"/>
          <w:highlight w:val="none"/>
        </w:rPr>
        <w:t>1</w:t>
      </w:r>
      <w:bookmarkStart w:id="77" w:name="_Toc337558733"/>
      <w:bookmarkStart w:id="78" w:name="_Toc296503033"/>
      <w:bookmarkStart w:id="79" w:name="_Toc296346534"/>
      <w:r>
        <w:rPr>
          <w:rFonts w:hint="eastAsia" w:ascii="宋体" w:hAnsi="宋体" w:eastAsia="宋体" w:cs="宋体"/>
          <w:color w:val="auto"/>
          <w:kern w:val="0"/>
          <w:sz w:val="21"/>
          <w:szCs w:val="21"/>
          <w:highlight w:val="none"/>
        </w:rPr>
        <w:t>.7联络</w:t>
      </w:r>
      <w:bookmarkEnd w:id="76"/>
    </w:p>
    <w:bookmarkEnd w:id="77"/>
    <w:bookmarkEnd w:id="78"/>
    <w:bookmarkEnd w:id="79"/>
    <w:p w14:paraId="2ADEB7E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1.7.1 与合同有关的通知、批准、证明、证书、指示、指令、要求、请求、同意、意见、确定和决定等，均应采用书面形式，并应在合同约定的期限内送达接收人和送达地点。</w:t>
      </w:r>
    </w:p>
    <w:p w14:paraId="552C11B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1.7.2 发包人和承包人应在专用合同条款中约定各自的送达接收人和送达地点。任何一方合同当事人指定的接收人或送达地点发生变动的，应提前3天以书面形式通知对方。</w:t>
      </w:r>
    </w:p>
    <w:p w14:paraId="3CA20E9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1.7.3 发包人和承包人应当及时签收另一方送达至送达地点和指定接收人的来往信函。拒不签收的，由此增加的费用和（或）延误的工期由拒绝接收一方承担。</w:t>
      </w:r>
    </w:p>
    <w:p w14:paraId="2230796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80" w:name="_Toc351203503"/>
      <w:r>
        <w:rPr>
          <w:rFonts w:hint="eastAsia" w:ascii="宋体" w:hAnsi="宋体" w:eastAsia="宋体" w:cs="宋体"/>
          <w:color w:val="auto"/>
          <w:kern w:val="0"/>
          <w:sz w:val="21"/>
          <w:szCs w:val="21"/>
          <w:highlight w:val="none"/>
        </w:rPr>
        <w:t>1</w:t>
      </w:r>
      <w:bookmarkStart w:id="81" w:name="_Toc337558734"/>
      <w:bookmarkStart w:id="82" w:name="_Toc296346536"/>
      <w:bookmarkStart w:id="83" w:name="_Toc296503035"/>
      <w:r>
        <w:rPr>
          <w:rFonts w:hint="eastAsia" w:ascii="宋体" w:hAnsi="宋体" w:eastAsia="宋体" w:cs="宋体"/>
          <w:color w:val="auto"/>
          <w:kern w:val="0"/>
          <w:sz w:val="21"/>
          <w:szCs w:val="21"/>
          <w:highlight w:val="none"/>
        </w:rPr>
        <w:t>.8严禁贿赂</w:t>
      </w:r>
      <w:bookmarkEnd w:id="80"/>
    </w:p>
    <w:bookmarkEnd w:id="81"/>
    <w:bookmarkEnd w:id="82"/>
    <w:bookmarkEnd w:id="83"/>
    <w:p w14:paraId="43E2333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合同当事人不得以贿赂或变相贿赂的方式，谋取非法利益或损害对方权益。因一方合同当事人的贿赂造成对方损失的，应赔偿损失，并承担相应的法律责任。</w:t>
      </w:r>
    </w:p>
    <w:p w14:paraId="1C8C618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2DBC2C4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84" w:name="_Toc351203504"/>
      <w:r>
        <w:rPr>
          <w:rFonts w:hint="eastAsia" w:ascii="宋体" w:hAnsi="宋体" w:eastAsia="宋体" w:cs="宋体"/>
          <w:color w:val="auto"/>
          <w:kern w:val="0"/>
          <w:sz w:val="21"/>
          <w:szCs w:val="21"/>
          <w:highlight w:val="none"/>
        </w:rPr>
        <w:t>1</w:t>
      </w:r>
      <w:bookmarkStart w:id="85" w:name="_Toc296346537"/>
      <w:bookmarkStart w:id="86" w:name="_Toc337558735"/>
      <w:bookmarkStart w:id="87" w:name="_Toc296503036"/>
      <w:r>
        <w:rPr>
          <w:rFonts w:hint="eastAsia" w:ascii="宋体" w:hAnsi="宋体" w:eastAsia="宋体" w:cs="宋体"/>
          <w:color w:val="auto"/>
          <w:kern w:val="0"/>
          <w:sz w:val="21"/>
          <w:szCs w:val="21"/>
          <w:highlight w:val="none"/>
        </w:rPr>
        <w:t>.9化石、文物</w:t>
      </w:r>
      <w:bookmarkEnd w:id="84"/>
    </w:p>
    <w:bookmarkEnd w:id="85"/>
    <w:bookmarkEnd w:id="86"/>
    <w:bookmarkEnd w:id="87"/>
    <w:p w14:paraId="7C6AE7C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66721ED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发包人、监理人和承包人应按有关政府行政管理部门要求采取妥善的保护措施，由此增加的费用和（或）延误的工期由发包人承担。</w:t>
      </w:r>
    </w:p>
    <w:p w14:paraId="092058E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承包人发现文物后不及时报告或隐瞒不报，致使文物丢失或损坏的，应赔偿损失，并承担相应的法律责任。</w:t>
      </w:r>
    </w:p>
    <w:p w14:paraId="5FBE6AB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88" w:name="_Toc351203505"/>
      <w:r>
        <w:rPr>
          <w:rFonts w:hint="eastAsia" w:ascii="宋体" w:hAnsi="宋体" w:eastAsia="宋体" w:cs="宋体"/>
          <w:color w:val="auto"/>
          <w:kern w:val="0"/>
          <w:sz w:val="21"/>
          <w:szCs w:val="21"/>
          <w:highlight w:val="none"/>
        </w:rPr>
        <w:t>1</w:t>
      </w:r>
      <w:bookmarkStart w:id="89" w:name="_Toc337558736"/>
      <w:r>
        <w:rPr>
          <w:rFonts w:hint="eastAsia" w:ascii="宋体" w:hAnsi="宋体" w:eastAsia="宋体" w:cs="宋体"/>
          <w:color w:val="auto"/>
          <w:kern w:val="0"/>
          <w:sz w:val="21"/>
          <w:szCs w:val="21"/>
          <w:highlight w:val="none"/>
        </w:rPr>
        <w:t>.10交通运输</w:t>
      </w:r>
      <w:bookmarkEnd w:id="88"/>
    </w:p>
    <w:bookmarkEnd w:id="89"/>
    <w:p w14:paraId="7D27D15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1.10.1 出入现场的权利</w:t>
      </w:r>
    </w:p>
    <w:p w14:paraId="7F112E9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770D48B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08360C7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1.10.2 场外交通</w:t>
      </w:r>
    </w:p>
    <w:p w14:paraId="70BDD08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4DBF181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1.10.3场内交通</w:t>
      </w:r>
    </w:p>
    <w:p w14:paraId="7A86FE9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3DF06F9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19C9A2F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场外交通和场内交通的边界由合同当事人在专用合同条款中约定。</w:t>
      </w:r>
    </w:p>
    <w:p w14:paraId="1797F0BF">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1.10.4 超大件和超重件的运输</w:t>
      </w:r>
    </w:p>
    <w:p w14:paraId="1C563A1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389F979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1.10.5 道路和桥梁的损坏责任</w:t>
      </w:r>
    </w:p>
    <w:p w14:paraId="156675B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因承包人运输造成施工场地内外公共道路和桥梁损坏的，由承包人承担修复损坏的全部费用和可能引起的赔偿。</w:t>
      </w:r>
    </w:p>
    <w:p w14:paraId="74BA00C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1.10.6 水路和航空运输</w:t>
      </w:r>
    </w:p>
    <w:p w14:paraId="3D4BD11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本款前述各项的内容适用于水路运输和航空运输，其中“道路”一词的涵义包括河道、航线、船闸、机场、码头、堤防以及水路或航空运输中其他相似结构物；“车辆”一词的涵义包括船舶和飞机等。</w:t>
      </w:r>
    </w:p>
    <w:p w14:paraId="493E36A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90" w:name="_Toc351203506"/>
      <w:r>
        <w:rPr>
          <w:rFonts w:hint="eastAsia" w:ascii="宋体" w:hAnsi="宋体" w:eastAsia="宋体" w:cs="宋体"/>
          <w:color w:val="auto"/>
          <w:kern w:val="0"/>
          <w:sz w:val="21"/>
          <w:szCs w:val="21"/>
          <w:highlight w:val="none"/>
        </w:rPr>
        <w:t>1</w:t>
      </w:r>
      <w:bookmarkStart w:id="91" w:name="_Toc337558737"/>
      <w:bookmarkStart w:id="92" w:name="_Toc296346538"/>
      <w:bookmarkStart w:id="93" w:name="_Toc296503037"/>
      <w:r>
        <w:rPr>
          <w:rFonts w:hint="eastAsia" w:ascii="宋体" w:hAnsi="宋体" w:eastAsia="宋体" w:cs="宋体"/>
          <w:color w:val="auto"/>
          <w:kern w:val="0"/>
          <w:sz w:val="21"/>
          <w:szCs w:val="21"/>
          <w:highlight w:val="none"/>
        </w:rPr>
        <w:t>.11知识产权</w:t>
      </w:r>
      <w:bookmarkEnd w:id="90"/>
      <w:r>
        <w:rPr>
          <w:rFonts w:hint="eastAsia" w:ascii="宋体" w:hAnsi="宋体" w:eastAsia="宋体" w:cs="宋体"/>
          <w:color w:val="auto"/>
          <w:kern w:val="0"/>
          <w:sz w:val="21"/>
          <w:szCs w:val="21"/>
          <w:highlight w:val="none"/>
        </w:rPr>
        <w:t xml:space="preserve"> </w:t>
      </w:r>
      <w:bookmarkEnd w:id="91"/>
    </w:p>
    <w:bookmarkEnd w:id="92"/>
    <w:bookmarkEnd w:id="93"/>
    <w:p w14:paraId="3EE2717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591B958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6450009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7F074260">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 xml:space="preserve">    </w:t>
      </w:r>
      <w:r>
        <w:rPr>
          <w:rFonts w:hint="eastAsia" w:ascii="宋体" w:hAnsi="宋体" w:eastAsia="宋体" w:cs="宋体"/>
          <w:color w:val="auto"/>
          <w:sz w:val="21"/>
          <w:szCs w:val="21"/>
          <w:highlight w:val="none"/>
        </w:rPr>
        <w:t>1.11.4 除专用合同条款另有约定外，承包人在合同签订前和签订时已确定采用的专利、专有技术、技术秘密的使用费已包含在签约合同价中。</w:t>
      </w:r>
    </w:p>
    <w:p w14:paraId="61D04AC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94" w:name="_Toc351203507"/>
      <w:r>
        <w:rPr>
          <w:rFonts w:hint="eastAsia" w:ascii="宋体" w:hAnsi="宋体" w:eastAsia="宋体" w:cs="宋体"/>
          <w:color w:val="auto"/>
          <w:kern w:val="0"/>
          <w:sz w:val="21"/>
          <w:szCs w:val="21"/>
          <w:highlight w:val="none"/>
        </w:rPr>
        <w:t>1</w:t>
      </w:r>
      <w:bookmarkStart w:id="95" w:name="_Toc337558738"/>
      <w:r>
        <w:rPr>
          <w:rFonts w:hint="eastAsia" w:ascii="宋体" w:hAnsi="宋体" w:eastAsia="宋体" w:cs="宋体"/>
          <w:color w:val="auto"/>
          <w:kern w:val="0"/>
          <w:sz w:val="21"/>
          <w:szCs w:val="21"/>
          <w:highlight w:val="none"/>
        </w:rPr>
        <w:t>.12保密</w:t>
      </w:r>
      <w:bookmarkEnd w:id="94"/>
    </w:p>
    <w:bookmarkEnd w:id="95"/>
    <w:p w14:paraId="46DC8E5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除法律规定或合同另有约定外，未经发包人同意，承包人不得将发包人提供的图纸、文件以及声明需要保密的资料信息等商业秘密泄露给第三方。</w:t>
      </w:r>
    </w:p>
    <w:p w14:paraId="6873CA3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除法律规定或合同另有约定外，未经承包人同意，发包人不得将承包人提供的技术秘密及声明需要保密的资料信息等商业秘密泄露给第三方。</w:t>
      </w:r>
    </w:p>
    <w:p w14:paraId="08216BE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96" w:name="_Toc351203508"/>
      <w:r>
        <w:rPr>
          <w:rFonts w:hint="eastAsia" w:ascii="宋体" w:hAnsi="宋体" w:eastAsia="宋体" w:cs="宋体"/>
          <w:color w:val="auto"/>
          <w:kern w:val="0"/>
          <w:sz w:val="21"/>
          <w:szCs w:val="21"/>
          <w:highlight w:val="none"/>
        </w:rPr>
        <w:t>1.13工程量清单错误的修正</w:t>
      </w:r>
      <w:bookmarkEnd w:id="96"/>
    </w:p>
    <w:p w14:paraId="4F7D029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除专用合同条款另有约定外，发包人提供的工程量清单，应被认为是准确的和完整的。出现下列情形之一时，发包人应予以修正，并相应调整合同价格：</w:t>
      </w:r>
    </w:p>
    <w:p w14:paraId="2350B14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（1）工程量清单存在缺项、漏项的；</w:t>
      </w:r>
    </w:p>
    <w:p w14:paraId="6BF08C4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（2）工程量清单偏差超出专用合同条款约定的工程量偏差范围的；</w:t>
      </w:r>
    </w:p>
    <w:p w14:paraId="5C15DA4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（3）未按照国家现行计量规范强制性规定计量的。</w:t>
      </w:r>
    </w:p>
    <w:p w14:paraId="3820B86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97" w:name="_Toc351203509"/>
      <w:r>
        <w:rPr>
          <w:rFonts w:hint="eastAsia" w:ascii="宋体" w:hAnsi="宋体" w:eastAsia="宋体" w:cs="宋体"/>
          <w:color w:val="auto"/>
          <w:kern w:val="0"/>
          <w:sz w:val="21"/>
          <w:szCs w:val="21"/>
          <w:highlight w:val="none"/>
        </w:rPr>
        <w:t>2</w:t>
      </w:r>
      <w:bookmarkStart w:id="98" w:name="_Toc296503038"/>
      <w:bookmarkStart w:id="99" w:name="_Toc296346539"/>
      <w:bookmarkStart w:id="100" w:name="_Toc337558739"/>
      <w:bookmarkStart w:id="101" w:name="OLE_LINK2"/>
      <w:r>
        <w:rPr>
          <w:rFonts w:hint="eastAsia" w:ascii="宋体" w:hAnsi="宋体" w:eastAsia="宋体" w:cs="宋体"/>
          <w:color w:val="auto"/>
          <w:kern w:val="0"/>
          <w:sz w:val="21"/>
          <w:szCs w:val="21"/>
          <w:highlight w:val="none"/>
        </w:rPr>
        <w:t>. 发包人</w:t>
      </w:r>
      <w:bookmarkEnd w:id="97"/>
    </w:p>
    <w:bookmarkEnd w:id="98"/>
    <w:bookmarkEnd w:id="99"/>
    <w:bookmarkEnd w:id="100"/>
    <w:p w14:paraId="1C4D741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bookmarkStart w:id="102" w:name="_Toc337558740"/>
      <w:bookmarkStart w:id="103" w:name="_Toc296346540"/>
      <w:bookmarkStart w:id="104" w:name="_Toc296503039"/>
      <w:r>
        <w:rPr>
          <w:rFonts w:hint="eastAsia" w:ascii="宋体" w:hAnsi="宋体" w:eastAsia="宋体" w:cs="宋体"/>
          <w:color w:val="auto"/>
          <w:kern w:val="0"/>
          <w:sz w:val="21"/>
          <w:szCs w:val="21"/>
          <w:highlight w:val="none"/>
        </w:rPr>
        <w:t>.1 许可或批准</w:t>
      </w:r>
    </w:p>
    <w:p w14:paraId="512D12C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231625D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因发包人原因未能及时办理完毕前述许可、批准或备案，由发包人承担由此增加的费用和（或）延误的工期，并支付承包人合理的利润。</w:t>
      </w:r>
    </w:p>
    <w:p w14:paraId="2782223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05" w:name="_Toc351203511"/>
      <w:r>
        <w:rPr>
          <w:rFonts w:hint="eastAsia" w:ascii="宋体" w:hAnsi="宋体" w:eastAsia="宋体" w:cs="宋体"/>
          <w:color w:val="auto"/>
          <w:kern w:val="0"/>
          <w:sz w:val="21"/>
          <w:szCs w:val="21"/>
          <w:highlight w:val="none"/>
        </w:rPr>
        <w:t>2.2 发包人代表</w:t>
      </w:r>
      <w:bookmarkEnd w:id="105"/>
    </w:p>
    <w:p w14:paraId="4CE0075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6B5EE88D">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发包人代表不能按照合同约定履行其职责及义务，并导致合同无法继续正常履行的，承包人可以要求发包人撤换发包人代表。</w:t>
      </w:r>
    </w:p>
    <w:p w14:paraId="725624C2">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不属于法定必须监理的工程，监理人的职权可以由发包人代表或发包人指定的其他人员行使。</w:t>
      </w:r>
    </w:p>
    <w:p w14:paraId="668FE60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06" w:name="_Toc351203512"/>
      <w:r>
        <w:rPr>
          <w:rFonts w:hint="eastAsia" w:ascii="宋体" w:hAnsi="宋体" w:eastAsia="宋体" w:cs="宋体"/>
          <w:color w:val="auto"/>
          <w:kern w:val="0"/>
          <w:sz w:val="21"/>
          <w:szCs w:val="21"/>
          <w:highlight w:val="none"/>
        </w:rPr>
        <w:t>2.3 发包人人员</w:t>
      </w:r>
      <w:bookmarkEnd w:id="106"/>
    </w:p>
    <w:p w14:paraId="14CC27D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发包人应要求在施工现场的发包人人员遵守法律及有关安全、质量、环境保护、文明施工等规定，并保障承包人免于承受因发包人人员未遵守上述要求给承包人造成的损失和责任。</w:t>
      </w:r>
    </w:p>
    <w:p w14:paraId="4F25DA63">
      <w:pPr>
        <w:keepNext w:val="0"/>
        <w:keepLines w:val="0"/>
        <w:pageBreakBefore w:val="0"/>
        <w:widowControl w:val="0"/>
        <w:shd w:val="clear" w:color="auto" w:fill="auto"/>
        <w:kinsoku/>
        <w:wordWrap/>
        <w:overflowPunct/>
        <w:topLinePunct w:val="0"/>
        <w:bidi w:val="0"/>
        <w:spacing w:line="360" w:lineRule="auto"/>
        <w:ind w:left="0" w:firstLine="64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发包人人员包括发包人代表及其他由发包人派驻施工现场的人员。</w:t>
      </w:r>
      <w:bookmarkEnd w:id="102"/>
      <w:bookmarkEnd w:id="103"/>
      <w:bookmarkEnd w:id="104"/>
    </w:p>
    <w:p w14:paraId="7AEC945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07" w:name="_Toc351203513"/>
      <w:r>
        <w:rPr>
          <w:rFonts w:hint="eastAsia" w:ascii="宋体" w:hAnsi="宋体" w:eastAsia="宋体" w:cs="宋体"/>
          <w:color w:val="auto"/>
          <w:kern w:val="0"/>
          <w:sz w:val="21"/>
          <w:szCs w:val="21"/>
          <w:highlight w:val="none"/>
        </w:rPr>
        <w:t>2</w:t>
      </w:r>
      <w:bookmarkStart w:id="108" w:name="_Toc296503040"/>
      <w:bookmarkStart w:id="109" w:name="_Toc296346541"/>
      <w:bookmarkStart w:id="110" w:name="_Toc337558741"/>
      <w:r>
        <w:rPr>
          <w:rFonts w:hint="eastAsia" w:ascii="宋体" w:hAnsi="宋体" w:eastAsia="宋体" w:cs="宋体"/>
          <w:color w:val="auto"/>
          <w:kern w:val="0"/>
          <w:sz w:val="21"/>
          <w:szCs w:val="21"/>
          <w:highlight w:val="none"/>
        </w:rPr>
        <w:t>.4 施工现场、施工条件和基础资料的提供</w:t>
      </w:r>
      <w:bookmarkEnd w:id="107"/>
      <w:r>
        <w:rPr>
          <w:rFonts w:hint="eastAsia" w:ascii="宋体" w:hAnsi="宋体" w:eastAsia="宋体" w:cs="宋体"/>
          <w:color w:val="auto"/>
          <w:kern w:val="0"/>
          <w:sz w:val="21"/>
          <w:szCs w:val="21"/>
          <w:highlight w:val="none"/>
        </w:rPr>
        <w:t xml:space="preserve"> </w:t>
      </w:r>
      <w:bookmarkEnd w:id="108"/>
      <w:bookmarkEnd w:id="109"/>
      <w:bookmarkEnd w:id="110"/>
      <w:r>
        <w:rPr>
          <w:rFonts w:hint="eastAsia" w:ascii="宋体" w:hAnsi="宋体" w:eastAsia="宋体" w:cs="宋体"/>
          <w:color w:val="auto"/>
          <w:kern w:val="0"/>
          <w:sz w:val="21"/>
          <w:szCs w:val="21"/>
          <w:highlight w:val="none"/>
        </w:rPr>
        <w:t xml:space="preserve"> </w:t>
      </w:r>
    </w:p>
    <w:p w14:paraId="02D97C0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2.4.1 提供施工现场</w:t>
      </w:r>
    </w:p>
    <w:p w14:paraId="6C864FF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w:t>
      </w:r>
      <w:bookmarkEnd w:id="101"/>
      <w:r>
        <w:rPr>
          <w:rFonts w:hint="eastAsia" w:ascii="宋体" w:hAnsi="宋体" w:eastAsia="宋体" w:cs="宋体"/>
          <w:color w:val="auto"/>
          <w:kern w:val="0"/>
          <w:sz w:val="21"/>
          <w:szCs w:val="21"/>
          <w:highlight w:val="none"/>
        </w:rPr>
        <w:t>专用合同条款另有约定外，发包人应最迟于开工日期7天前向承包人移交施工现场。</w:t>
      </w:r>
    </w:p>
    <w:p w14:paraId="3DFE882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2.4.2 提供施工条件</w:t>
      </w:r>
    </w:p>
    <w:p w14:paraId="7CBDBD7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除专用合同条款另有约定外，发包人应负责提供施工所需要的条件，包括：</w:t>
      </w:r>
    </w:p>
    <w:p w14:paraId="695EEF8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（1）将施工用水、电力、通讯线路等施工所必需的条件接至施工现场内；</w:t>
      </w:r>
    </w:p>
    <w:p w14:paraId="5C2C2D9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（2）保证向承包人提供正常施工所需要的进入施工现场的交通条件；</w:t>
      </w:r>
    </w:p>
    <w:p w14:paraId="6854F80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（3）协调处理施工现场周围地下管线和邻近建筑物、构筑物、古树名木的保护工作，并承担相关费用；</w:t>
      </w:r>
    </w:p>
    <w:p w14:paraId="3F1386A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（4）按照专用合同条款约定应提供的其他设施和条件。</w:t>
      </w:r>
    </w:p>
    <w:p w14:paraId="030F410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2.4.3 提供基础资料</w:t>
      </w:r>
    </w:p>
    <w:p w14:paraId="4FA1A82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50B0354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按照法律规定确需在开工后方能提供的基础资料，发包人应尽其努力及时地在相应工程施工前的合理期限内提供，合理期限应以不影响承包人的正常施工为限。</w:t>
      </w:r>
    </w:p>
    <w:p w14:paraId="36F530A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2.4.4 逾期提供的责任</w:t>
      </w:r>
    </w:p>
    <w:p w14:paraId="6EFA13D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因发包人原因未能按合同约定及时向承包人提供施工现场、施工条件、基础资料的，由发包人承担由此增加的费用和（或）延误的工期。</w:t>
      </w:r>
    </w:p>
    <w:p w14:paraId="1DD480E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11" w:name="_Toc351203514"/>
      <w:r>
        <w:rPr>
          <w:rFonts w:hint="eastAsia" w:ascii="宋体" w:hAnsi="宋体" w:eastAsia="宋体" w:cs="宋体"/>
          <w:color w:val="auto"/>
          <w:kern w:val="0"/>
          <w:sz w:val="21"/>
          <w:szCs w:val="21"/>
          <w:highlight w:val="none"/>
        </w:rPr>
        <w:t>2</w:t>
      </w:r>
      <w:bookmarkStart w:id="112" w:name="_Toc337558745"/>
      <w:bookmarkStart w:id="113" w:name="_Toc296503042"/>
      <w:bookmarkStart w:id="114" w:name="_Toc296346543"/>
      <w:r>
        <w:rPr>
          <w:rFonts w:hint="eastAsia" w:ascii="宋体" w:hAnsi="宋体" w:eastAsia="宋体" w:cs="宋体"/>
          <w:color w:val="auto"/>
          <w:kern w:val="0"/>
          <w:sz w:val="21"/>
          <w:szCs w:val="21"/>
          <w:highlight w:val="none"/>
        </w:rPr>
        <w:t>.5 资</w:t>
      </w:r>
      <w:bookmarkEnd w:id="112"/>
      <w:bookmarkEnd w:id="113"/>
      <w:bookmarkEnd w:id="114"/>
      <w:r>
        <w:rPr>
          <w:rFonts w:hint="eastAsia" w:ascii="宋体" w:hAnsi="宋体" w:eastAsia="宋体" w:cs="宋体"/>
          <w:color w:val="auto"/>
          <w:kern w:val="0"/>
          <w:sz w:val="21"/>
          <w:szCs w:val="21"/>
          <w:highlight w:val="none"/>
        </w:rPr>
        <w:t>金来源证明及支付担保</w:t>
      </w:r>
      <w:bookmarkEnd w:id="111"/>
    </w:p>
    <w:p w14:paraId="1EF1D8F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除专用合同条款另有约定外，发包人应在收到承包人要求提供资金来源证明的书面通知后28天内，向承包人提供能够按照合同约定支付合同价款的相应资金来源证明。</w:t>
      </w:r>
    </w:p>
    <w:p w14:paraId="1172A18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2DEB618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15" w:name="_Toc351203515"/>
      <w:r>
        <w:rPr>
          <w:rFonts w:hint="eastAsia" w:ascii="宋体" w:hAnsi="宋体" w:eastAsia="宋体" w:cs="宋体"/>
          <w:color w:val="auto"/>
          <w:kern w:val="0"/>
          <w:sz w:val="21"/>
          <w:szCs w:val="21"/>
          <w:highlight w:val="none"/>
        </w:rPr>
        <w:t>2.6 支付合同价款</w:t>
      </w:r>
      <w:bookmarkEnd w:id="115"/>
    </w:p>
    <w:p w14:paraId="54955D6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发包人应按合同约定向承包人及时支付合同价款。</w:t>
      </w:r>
    </w:p>
    <w:p w14:paraId="3677B41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16" w:name="_Toc351203516"/>
      <w:r>
        <w:rPr>
          <w:rFonts w:hint="eastAsia" w:ascii="宋体" w:hAnsi="宋体" w:eastAsia="宋体" w:cs="宋体"/>
          <w:color w:val="auto"/>
          <w:kern w:val="0"/>
          <w:sz w:val="21"/>
          <w:szCs w:val="21"/>
          <w:highlight w:val="none"/>
        </w:rPr>
        <w:t>2.7 组织竣工验收</w:t>
      </w:r>
      <w:bookmarkEnd w:id="116"/>
    </w:p>
    <w:p w14:paraId="47502E9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发包人应按合同约定及时组织竣工验收。</w:t>
      </w:r>
    </w:p>
    <w:p w14:paraId="03CDBDA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17" w:name="_Toc351203517"/>
      <w:r>
        <w:rPr>
          <w:rFonts w:hint="eastAsia" w:ascii="宋体" w:hAnsi="宋体" w:eastAsia="宋体" w:cs="宋体"/>
          <w:color w:val="auto"/>
          <w:kern w:val="0"/>
          <w:sz w:val="21"/>
          <w:szCs w:val="21"/>
          <w:highlight w:val="none"/>
        </w:rPr>
        <w:t>2.8 现场统一管理协议</w:t>
      </w:r>
      <w:bookmarkEnd w:id="117"/>
    </w:p>
    <w:p w14:paraId="7D156F6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发包人应与承包人、由发包人直接发包的专业工程的承包人签订施工现场统一管理协议，明确各方的权利义务。施工现场统一管理协议作为专用合同条款的附件。</w:t>
      </w:r>
    </w:p>
    <w:p w14:paraId="45473EA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18" w:name="_Toc351203518"/>
      <w:r>
        <w:rPr>
          <w:rFonts w:hint="eastAsia" w:ascii="宋体" w:hAnsi="宋体" w:eastAsia="宋体" w:cs="宋体"/>
          <w:color w:val="auto"/>
          <w:kern w:val="0"/>
          <w:sz w:val="21"/>
          <w:szCs w:val="21"/>
          <w:highlight w:val="none"/>
        </w:rPr>
        <w:t>3</w:t>
      </w:r>
      <w:bookmarkStart w:id="119" w:name="_Toc337558746"/>
      <w:bookmarkStart w:id="120" w:name="_Toc296346546"/>
      <w:bookmarkStart w:id="121" w:name="_Toc296503045"/>
      <w:r>
        <w:rPr>
          <w:rFonts w:hint="eastAsia" w:ascii="宋体" w:hAnsi="宋体" w:eastAsia="宋体" w:cs="宋体"/>
          <w:color w:val="auto"/>
          <w:kern w:val="0"/>
          <w:sz w:val="21"/>
          <w:szCs w:val="21"/>
          <w:highlight w:val="none"/>
        </w:rPr>
        <w:t>. 承包人</w:t>
      </w:r>
      <w:bookmarkEnd w:id="118"/>
    </w:p>
    <w:bookmarkEnd w:id="119"/>
    <w:bookmarkEnd w:id="120"/>
    <w:bookmarkEnd w:id="121"/>
    <w:p w14:paraId="3A88D22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22" w:name="_Toc351203519"/>
      <w:r>
        <w:rPr>
          <w:rFonts w:hint="eastAsia" w:ascii="宋体" w:hAnsi="宋体" w:eastAsia="宋体" w:cs="宋体"/>
          <w:color w:val="auto"/>
          <w:kern w:val="0"/>
          <w:sz w:val="21"/>
          <w:szCs w:val="21"/>
          <w:highlight w:val="none"/>
        </w:rPr>
        <w:t>3</w:t>
      </w:r>
      <w:bookmarkStart w:id="123" w:name="_Toc296503046"/>
      <w:bookmarkStart w:id="124" w:name="_Toc296346547"/>
      <w:bookmarkStart w:id="125" w:name="_Toc337558747"/>
      <w:r>
        <w:rPr>
          <w:rFonts w:hint="eastAsia" w:ascii="宋体" w:hAnsi="宋体" w:eastAsia="宋体" w:cs="宋体"/>
          <w:color w:val="auto"/>
          <w:kern w:val="0"/>
          <w:sz w:val="21"/>
          <w:szCs w:val="21"/>
          <w:highlight w:val="none"/>
        </w:rPr>
        <w:t>.1 承包人的一般义务</w:t>
      </w:r>
      <w:bookmarkEnd w:id="122"/>
    </w:p>
    <w:bookmarkEnd w:id="123"/>
    <w:bookmarkEnd w:id="124"/>
    <w:bookmarkEnd w:id="125"/>
    <w:p w14:paraId="4E9B1B07">
      <w:pPr>
        <w:keepNext w:val="0"/>
        <w:keepLines w:val="0"/>
        <w:pageBreakBefore w:val="0"/>
        <w:widowControl w:val="0"/>
        <w:numPr>
          <w:ilvl w:val="0"/>
          <w:numId w:val="1"/>
        </w:numPr>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办理法律规定应由承包人办理的许可和批准，并将办理结果书面报送发包人留存；</w:t>
      </w:r>
    </w:p>
    <w:p w14:paraId="40037CF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（2）按法律规定和合同约定完成工程，并在保修期内承担保修义务；</w:t>
      </w:r>
    </w:p>
    <w:p w14:paraId="78C311B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（3）按法律规定和合同约定采取施工安全和环境保护措施，办理工伤保险，确保工程及人员、材料、设备和设施的安全；</w:t>
      </w:r>
    </w:p>
    <w:p w14:paraId="68AD9EE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（4）按合同约定的工作内容和施工进度要求，编制施工组织设计和施工措施计划，并对所有施工作业和施工方法的完备性和安全可靠性负责；</w:t>
      </w:r>
    </w:p>
    <w:p w14:paraId="76513C0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4605C2D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（6）按照第6.3款〔环境保护〕约定负责施工场地及其周边环境与生态的保护工作；</w:t>
      </w:r>
    </w:p>
    <w:p w14:paraId="39CB4CE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（7）按第6.1款〔安全文明施工〕约定采取施工安全措施，确保工程及其人员、材料、设备和设施的安全，防止因工程施工造成的人身伤害和财产损失；</w:t>
      </w:r>
    </w:p>
    <w:p w14:paraId="13F6C8D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（8）将发包人按合同约定支付的各项价款专用于合同工程，且应及时支付其雇用人员工资，并及时向分包人支付合同价款；</w:t>
      </w:r>
    </w:p>
    <w:p w14:paraId="217A4F7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（9）按照法律规定和合同约定编制竣工资料，完成竣工资料立卷及归档，并按专用合同条款约定的竣工资料的套数、内容、时间等要求移交发包人；</w:t>
      </w:r>
    </w:p>
    <w:p w14:paraId="6A08BEE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（10）应履行的其他义务。</w:t>
      </w:r>
    </w:p>
    <w:p w14:paraId="54A0FD3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26" w:name="_Toc351203520"/>
      <w:r>
        <w:rPr>
          <w:rFonts w:hint="eastAsia" w:ascii="宋体" w:hAnsi="宋体" w:eastAsia="宋体" w:cs="宋体"/>
          <w:color w:val="auto"/>
          <w:kern w:val="0"/>
          <w:sz w:val="21"/>
          <w:szCs w:val="21"/>
          <w:highlight w:val="none"/>
        </w:rPr>
        <w:t>3</w:t>
      </w:r>
      <w:bookmarkStart w:id="127" w:name="_Toc337558748"/>
      <w:bookmarkStart w:id="128" w:name="_Toc296503047"/>
      <w:bookmarkStart w:id="129" w:name="_Toc296346548"/>
      <w:r>
        <w:rPr>
          <w:rFonts w:hint="eastAsia" w:ascii="宋体" w:hAnsi="宋体" w:eastAsia="宋体" w:cs="宋体"/>
          <w:color w:val="auto"/>
          <w:kern w:val="0"/>
          <w:sz w:val="21"/>
          <w:szCs w:val="21"/>
          <w:highlight w:val="none"/>
        </w:rPr>
        <w:t xml:space="preserve">.2 </w:t>
      </w:r>
      <w:bookmarkEnd w:id="126"/>
      <w:r>
        <w:rPr>
          <w:rFonts w:hint="eastAsia" w:ascii="宋体" w:hAnsi="宋体" w:eastAsia="宋体" w:cs="宋体"/>
          <w:color w:val="auto"/>
          <w:kern w:val="0"/>
          <w:sz w:val="21"/>
          <w:szCs w:val="21"/>
          <w:highlight w:val="none"/>
        </w:rPr>
        <w:t>项目经理</w:t>
      </w:r>
    </w:p>
    <w:bookmarkEnd w:id="127"/>
    <w:bookmarkEnd w:id="128"/>
    <w:bookmarkEnd w:id="129"/>
    <w:p w14:paraId="053C662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0C76D3F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0D682F9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承包人违反上述约定的，应按照专用合同条款的约定，承担违约责任。</w:t>
      </w:r>
    </w:p>
    <w:p w14:paraId="68D42D2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6DE95DB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1351D63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525C448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46DD372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30" w:name="_Toc351203521"/>
      <w:r>
        <w:rPr>
          <w:rFonts w:hint="eastAsia" w:ascii="宋体" w:hAnsi="宋体" w:eastAsia="宋体" w:cs="宋体"/>
          <w:color w:val="auto"/>
          <w:kern w:val="0"/>
          <w:sz w:val="21"/>
          <w:szCs w:val="21"/>
          <w:highlight w:val="none"/>
        </w:rPr>
        <w:t>3</w:t>
      </w:r>
      <w:bookmarkStart w:id="131" w:name="_Toc296503048"/>
      <w:bookmarkStart w:id="132" w:name="_Toc296346549"/>
      <w:bookmarkStart w:id="133" w:name="_Toc337558749"/>
      <w:r>
        <w:rPr>
          <w:rFonts w:hint="eastAsia" w:ascii="宋体" w:hAnsi="宋体" w:eastAsia="宋体" w:cs="宋体"/>
          <w:color w:val="auto"/>
          <w:kern w:val="0"/>
          <w:sz w:val="21"/>
          <w:szCs w:val="21"/>
          <w:highlight w:val="none"/>
        </w:rPr>
        <w:t xml:space="preserve">.3 </w:t>
      </w:r>
      <w:bookmarkEnd w:id="131"/>
      <w:bookmarkEnd w:id="132"/>
      <w:r>
        <w:rPr>
          <w:rFonts w:hint="eastAsia" w:ascii="宋体" w:hAnsi="宋体" w:eastAsia="宋体" w:cs="宋体"/>
          <w:color w:val="auto"/>
          <w:kern w:val="0"/>
          <w:sz w:val="21"/>
          <w:szCs w:val="21"/>
          <w:highlight w:val="none"/>
        </w:rPr>
        <w:t>承包人人员</w:t>
      </w:r>
      <w:bookmarkEnd w:id="130"/>
    </w:p>
    <w:bookmarkEnd w:id="133"/>
    <w:p w14:paraId="201D2F2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6CC33D1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31714F6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特殊工种作业人员均应持有相应的资格证明，监理人可以随时检查。</w:t>
      </w:r>
    </w:p>
    <w:p w14:paraId="0CCA4D4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509E960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36B9341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3.3.5 承包人擅自更换主要施工管理人员，或前述人员未经监理人或发包人同意擅自离开施工现场的，应按照专用合同条款约定承担违约责任。</w:t>
      </w:r>
    </w:p>
    <w:p w14:paraId="27D51CC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34" w:name="_Toc351203522"/>
      <w:r>
        <w:rPr>
          <w:rFonts w:hint="eastAsia" w:ascii="宋体" w:hAnsi="宋体" w:eastAsia="宋体" w:cs="宋体"/>
          <w:color w:val="auto"/>
          <w:kern w:val="0"/>
          <w:sz w:val="21"/>
          <w:szCs w:val="21"/>
          <w:highlight w:val="none"/>
        </w:rPr>
        <w:t>3</w:t>
      </w:r>
      <w:bookmarkStart w:id="135" w:name="_Toc296503050"/>
      <w:bookmarkStart w:id="136" w:name="_Toc337558750"/>
      <w:bookmarkStart w:id="137" w:name="_Toc296346551"/>
      <w:r>
        <w:rPr>
          <w:rFonts w:hint="eastAsia" w:ascii="宋体" w:hAnsi="宋体" w:eastAsia="宋体" w:cs="宋体"/>
          <w:color w:val="auto"/>
          <w:kern w:val="0"/>
          <w:sz w:val="21"/>
          <w:szCs w:val="21"/>
          <w:highlight w:val="none"/>
        </w:rPr>
        <w:t>.4 承包人现场查勘</w:t>
      </w:r>
      <w:bookmarkEnd w:id="134"/>
    </w:p>
    <w:bookmarkEnd w:id="135"/>
    <w:bookmarkEnd w:id="136"/>
    <w:bookmarkEnd w:id="137"/>
    <w:p w14:paraId="11B397A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承包人应对基于发包人按照第2.4.3项〔提供基础资料〕提交的基础资料所做出的解释和推断负责，但因基础资料存在错误、遗漏导致承包人解释或推断失实的，由发包人承担责任。</w:t>
      </w:r>
    </w:p>
    <w:p w14:paraId="5D3DC26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4FA93E0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38" w:name="_Toc351203523"/>
      <w:r>
        <w:rPr>
          <w:rFonts w:hint="eastAsia" w:ascii="宋体" w:hAnsi="宋体" w:eastAsia="宋体" w:cs="宋体"/>
          <w:color w:val="auto"/>
          <w:kern w:val="0"/>
          <w:sz w:val="21"/>
          <w:szCs w:val="21"/>
          <w:highlight w:val="none"/>
        </w:rPr>
        <w:t>3</w:t>
      </w:r>
      <w:bookmarkStart w:id="139" w:name="_Toc296346552"/>
      <w:bookmarkStart w:id="140" w:name="_Toc296503051"/>
      <w:bookmarkStart w:id="141" w:name="_Toc337558751"/>
      <w:r>
        <w:rPr>
          <w:rFonts w:hint="eastAsia" w:ascii="宋体" w:hAnsi="宋体" w:eastAsia="宋体" w:cs="宋体"/>
          <w:color w:val="auto"/>
          <w:kern w:val="0"/>
          <w:sz w:val="21"/>
          <w:szCs w:val="21"/>
          <w:highlight w:val="none"/>
        </w:rPr>
        <w:t>.5 分包</w:t>
      </w:r>
      <w:bookmarkEnd w:id="138"/>
    </w:p>
    <w:bookmarkEnd w:id="139"/>
    <w:bookmarkEnd w:id="140"/>
    <w:bookmarkEnd w:id="141"/>
    <w:p w14:paraId="4239C71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3.5.1 分包的一般约定</w:t>
      </w:r>
    </w:p>
    <w:p w14:paraId="237B166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2B577C9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承包人不得以劳务分包的名义转包或违法分包工程。</w:t>
      </w:r>
    </w:p>
    <w:p w14:paraId="5A617EB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3.5.2 分包的确定</w:t>
      </w:r>
    </w:p>
    <w:p w14:paraId="02F07C4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29438B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3.5.3 分包管理</w:t>
      </w:r>
    </w:p>
    <w:p w14:paraId="49899FA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承包人应向监理人提交分包人的主要施工管理人员表，并对分包人的施工人员进行实名制管理，包括但不限于进出场管理、登记造册以及各种证照的办理。</w:t>
      </w:r>
    </w:p>
    <w:p w14:paraId="5F04F4B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3.5.4 分包合同价款</w:t>
      </w:r>
    </w:p>
    <w:p w14:paraId="32E0541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（1）除本项第（2）目约定的情况或专用合同条款另有约定外，分包合同价款由承包人与分包人结算，未经承包人同意，发包人不得向分包人支付分包工程价款；</w:t>
      </w:r>
    </w:p>
    <w:p w14:paraId="7AB996BF">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（2）生效法律文书要求发包人向分包人支付分包合同价款的，发包人有权从应付承包人工程款中扣除该部分款项。</w:t>
      </w:r>
    </w:p>
    <w:p w14:paraId="5BDA91C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3.5.5 分包合同权益的转让</w:t>
      </w:r>
    </w:p>
    <w:p w14:paraId="448CFB6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42" w:name="_Toc351203524"/>
    </w:p>
    <w:p w14:paraId="389B0C8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3.6 工程照管与成品、半成品保护</w:t>
      </w:r>
      <w:bookmarkEnd w:id="142"/>
    </w:p>
    <w:p w14:paraId="7F0FC2A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（1）除专用合同条款另有约定外，自发包人向承包人移交施工现场之日起，承包人应负责照管工程及工程相关的材料、工程设备，直到颁发工程接收证书之日止。</w:t>
      </w:r>
    </w:p>
    <w:p w14:paraId="6CAD231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（2）在承包人负责照管期间，因承包人原因造成工程、材料、工程设备损坏的，由承包人负责修复或更换，并承担由此增加的费用和（或）延误的工期。</w:t>
      </w:r>
    </w:p>
    <w:p w14:paraId="0BA1F5E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6B8FE93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43" w:name="_Toc351203525"/>
      <w:r>
        <w:rPr>
          <w:rFonts w:hint="eastAsia" w:ascii="宋体" w:hAnsi="宋体" w:eastAsia="宋体" w:cs="宋体"/>
          <w:color w:val="auto"/>
          <w:kern w:val="0"/>
          <w:sz w:val="21"/>
          <w:szCs w:val="21"/>
          <w:highlight w:val="none"/>
        </w:rPr>
        <w:t>3</w:t>
      </w:r>
      <w:bookmarkStart w:id="144" w:name="_Toc296503052"/>
      <w:bookmarkStart w:id="145" w:name="_Toc337558752"/>
      <w:bookmarkStart w:id="146" w:name="_Toc296346553"/>
      <w:r>
        <w:rPr>
          <w:rFonts w:hint="eastAsia" w:ascii="宋体" w:hAnsi="宋体" w:eastAsia="宋体" w:cs="宋体"/>
          <w:color w:val="auto"/>
          <w:kern w:val="0"/>
          <w:sz w:val="21"/>
          <w:szCs w:val="21"/>
          <w:highlight w:val="none"/>
        </w:rPr>
        <w:t>.7 履约担保</w:t>
      </w:r>
      <w:bookmarkEnd w:id="143"/>
    </w:p>
    <w:bookmarkEnd w:id="144"/>
    <w:bookmarkEnd w:id="145"/>
    <w:bookmarkEnd w:id="146"/>
    <w:p w14:paraId="4D433FC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39CF1A2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因承包人原因导致工期延长的，继续提供履约担保所增加的费用由承包人承担；非因承包人原因导致工期延长的，继续提供履约担保所增加的费用由发包人承担。</w:t>
      </w:r>
    </w:p>
    <w:p w14:paraId="602EBCE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47" w:name="_Toc351203526"/>
      <w:r>
        <w:rPr>
          <w:rFonts w:hint="eastAsia" w:ascii="宋体" w:hAnsi="宋体" w:eastAsia="宋体" w:cs="宋体"/>
          <w:color w:val="auto"/>
          <w:kern w:val="0"/>
          <w:sz w:val="21"/>
          <w:szCs w:val="21"/>
          <w:highlight w:val="none"/>
        </w:rPr>
        <w:t>3.8 联合体</w:t>
      </w:r>
      <w:bookmarkEnd w:id="147"/>
    </w:p>
    <w:p w14:paraId="256F9CB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3.8.1 联合体各方应共同与发包人签订合同协议书。联合体各方应为履行合同向发包人承担连带责任。</w:t>
      </w:r>
    </w:p>
    <w:p w14:paraId="0725F84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3.8.2 联合体协议经发包人确认后作为合同附件。在履行合同过程中，未经发包人同意，不得修改联合体协议。</w:t>
      </w:r>
    </w:p>
    <w:p w14:paraId="0889C24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3.8.3 联合体牵头人负责与发包人和监理人联系，并接受指示，负责组织联合体各成员全面履行合同。</w:t>
      </w:r>
    </w:p>
    <w:p w14:paraId="617407C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48" w:name="_Toc351203527"/>
      <w:r>
        <w:rPr>
          <w:rFonts w:hint="eastAsia" w:ascii="宋体" w:hAnsi="宋体" w:eastAsia="宋体" w:cs="宋体"/>
          <w:color w:val="auto"/>
          <w:kern w:val="0"/>
          <w:sz w:val="21"/>
          <w:szCs w:val="21"/>
          <w:highlight w:val="none"/>
        </w:rPr>
        <w:t>4</w:t>
      </w:r>
      <w:bookmarkStart w:id="149" w:name="_Toc296346554"/>
      <w:bookmarkStart w:id="150" w:name="_Toc296503053"/>
      <w:bookmarkStart w:id="151" w:name="_Toc337558753"/>
      <w:r>
        <w:rPr>
          <w:rFonts w:hint="eastAsia" w:ascii="宋体" w:hAnsi="宋体" w:eastAsia="宋体" w:cs="宋体"/>
          <w:color w:val="auto"/>
          <w:kern w:val="0"/>
          <w:sz w:val="21"/>
          <w:szCs w:val="21"/>
          <w:highlight w:val="none"/>
        </w:rPr>
        <w:t>. 监</w:t>
      </w:r>
      <w:bookmarkEnd w:id="149"/>
      <w:bookmarkEnd w:id="150"/>
      <w:r>
        <w:rPr>
          <w:rFonts w:hint="eastAsia" w:ascii="宋体" w:hAnsi="宋体" w:eastAsia="宋体" w:cs="宋体"/>
          <w:color w:val="auto"/>
          <w:kern w:val="0"/>
          <w:sz w:val="21"/>
          <w:szCs w:val="21"/>
          <w:highlight w:val="none"/>
        </w:rPr>
        <w:t>理人</w:t>
      </w:r>
      <w:bookmarkEnd w:id="148"/>
    </w:p>
    <w:bookmarkEnd w:id="151"/>
    <w:p w14:paraId="7FEDCCC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52" w:name="_Toc351203528"/>
      <w:r>
        <w:rPr>
          <w:rFonts w:hint="eastAsia" w:ascii="宋体" w:hAnsi="宋体" w:eastAsia="宋体" w:cs="宋体"/>
          <w:color w:val="auto"/>
          <w:kern w:val="0"/>
          <w:sz w:val="21"/>
          <w:szCs w:val="21"/>
          <w:highlight w:val="none"/>
        </w:rPr>
        <w:t>4</w:t>
      </w:r>
      <w:bookmarkStart w:id="153" w:name="_Toc296503054"/>
      <w:bookmarkStart w:id="154" w:name="_Toc296346555"/>
      <w:bookmarkStart w:id="155" w:name="_Toc337558754"/>
      <w:r>
        <w:rPr>
          <w:rFonts w:hint="eastAsia" w:ascii="宋体" w:hAnsi="宋体" w:eastAsia="宋体" w:cs="宋体"/>
          <w:color w:val="auto"/>
          <w:kern w:val="0"/>
          <w:sz w:val="21"/>
          <w:szCs w:val="21"/>
          <w:highlight w:val="none"/>
        </w:rPr>
        <w:t>.1监理人的一般规定</w:t>
      </w:r>
      <w:bookmarkEnd w:id="152"/>
    </w:p>
    <w:bookmarkEnd w:id="153"/>
    <w:bookmarkEnd w:id="154"/>
    <w:bookmarkEnd w:id="155"/>
    <w:p w14:paraId="1A1B1D0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3BF81F8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除专用合同条款另有约定外，监理人在施工现场的办公场所、生活场所由承包人提供，所发生的费用由发包人承担。</w:t>
      </w:r>
    </w:p>
    <w:p w14:paraId="7AA5D45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56" w:name="_Toc351203529"/>
      <w:r>
        <w:rPr>
          <w:rFonts w:hint="eastAsia" w:ascii="宋体" w:hAnsi="宋体" w:eastAsia="宋体" w:cs="宋体"/>
          <w:color w:val="auto"/>
          <w:kern w:val="0"/>
          <w:sz w:val="21"/>
          <w:szCs w:val="21"/>
          <w:highlight w:val="none"/>
        </w:rPr>
        <w:t>4</w:t>
      </w:r>
      <w:bookmarkStart w:id="157" w:name="_Toc337558755"/>
      <w:r>
        <w:rPr>
          <w:rFonts w:hint="eastAsia" w:ascii="宋体" w:hAnsi="宋体" w:eastAsia="宋体" w:cs="宋体"/>
          <w:color w:val="auto"/>
          <w:kern w:val="0"/>
          <w:sz w:val="21"/>
          <w:szCs w:val="21"/>
          <w:highlight w:val="none"/>
        </w:rPr>
        <w:t>.2监理人员</w:t>
      </w:r>
      <w:bookmarkEnd w:id="156"/>
    </w:p>
    <w:bookmarkEnd w:id="157"/>
    <w:p w14:paraId="4750297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706BD01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58" w:name="_Toc351203530"/>
      <w:r>
        <w:rPr>
          <w:rFonts w:hint="eastAsia" w:ascii="宋体" w:hAnsi="宋体" w:eastAsia="宋体" w:cs="宋体"/>
          <w:color w:val="auto"/>
          <w:kern w:val="0"/>
          <w:sz w:val="21"/>
          <w:szCs w:val="21"/>
          <w:highlight w:val="none"/>
        </w:rPr>
        <w:t>4</w:t>
      </w:r>
      <w:bookmarkStart w:id="159" w:name="_Toc296346556"/>
      <w:bookmarkStart w:id="160" w:name="_Toc296503055"/>
      <w:bookmarkStart w:id="161" w:name="_Toc337558756"/>
      <w:r>
        <w:rPr>
          <w:rFonts w:hint="eastAsia" w:ascii="宋体" w:hAnsi="宋体" w:eastAsia="宋体" w:cs="宋体"/>
          <w:color w:val="auto"/>
          <w:kern w:val="0"/>
          <w:sz w:val="21"/>
          <w:szCs w:val="21"/>
          <w:highlight w:val="none"/>
        </w:rPr>
        <w:t>.3</w:t>
      </w:r>
      <w:bookmarkEnd w:id="159"/>
      <w:bookmarkEnd w:id="160"/>
      <w:r>
        <w:rPr>
          <w:rFonts w:hint="eastAsia" w:ascii="宋体" w:hAnsi="宋体" w:eastAsia="宋体" w:cs="宋体"/>
          <w:color w:val="auto"/>
          <w:kern w:val="0"/>
          <w:sz w:val="21"/>
          <w:szCs w:val="21"/>
          <w:highlight w:val="none"/>
        </w:rPr>
        <w:t>监理人的指</w:t>
      </w:r>
      <w:bookmarkEnd w:id="161"/>
      <w:r>
        <w:rPr>
          <w:rFonts w:hint="eastAsia" w:ascii="宋体" w:hAnsi="宋体" w:eastAsia="宋体" w:cs="宋体"/>
          <w:color w:val="auto"/>
          <w:kern w:val="0"/>
          <w:sz w:val="21"/>
          <w:szCs w:val="21"/>
          <w:highlight w:val="none"/>
        </w:rPr>
        <w:t>示</w:t>
      </w:r>
      <w:bookmarkEnd w:id="158"/>
    </w:p>
    <w:p w14:paraId="7C809F3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337E93C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443989B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承包人对监理人发出的指示有疑问的，应向监理人提出书面异议，监理人应在48小时内对该指示予以确认、更改或撤销，监理人逾期未回复的，承包人有权拒绝执行上述指示。</w:t>
      </w:r>
    </w:p>
    <w:p w14:paraId="0103D70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2F0A2EB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62" w:name="_Toc351203531"/>
      <w:r>
        <w:rPr>
          <w:rFonts w:hint="eastAsia" w:ascii="宋体" w:hAnsi="宋体" w:eastAsia="宋体" w:cs="宋体"/>
          <w:color w:val="auto"/>
          <w:kern w:val="0"/>
          <w:sz w:val="21"/>
          <w:szCs w:val="21"/>
          <w:highlight w:val="none"/>
        </w:rPr>
        <w:t>4.4 商定或确定</w:t>
      </w:r>
    </w:p>
    <w:bookmarkEnd w:id="162"/>
    <w:p w14:paraId="1642618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合同当事人进行商定或确定时，总监理工程师应当会同合同当事人尽量通过协商达成一致，不能达成一致的，由总监理工程师按照合同约定审慎做出公正的确定。</w:t>
      </w:r>
    </w:p>
    <w:p w14:paraId="1EB486E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7A50606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63" w:name="_Toc351203532"/>
      <w:r>
        <w:rPr>
          <w:rFonts w:hint="eastAsia" w:ascii="宋体" w:hAnsi="宋体" w:eastAsia="宋体" w:cs="宋体"/>
          <w:color w:val="auto"/>
          <w:kern w:val="0"/>
          <w:sz w:val="21"/>
          <w:szCs w:val="21"/>
          <w:highlight w:val="none"/>
        </w:rPr>
        <w:t>5</w:t>
      </w:r>
      <w:bookmarkStart w:id="164" w:name="_Toc337558758"/>
      <w:r>
        <w:rPr>
          <w:rFonts w:hint="eastAsia" w:ascii="宋体" w:hAnsi="宋体" w:eastAsia="宋体" w:cs="宋体"/>
          <w:color w:val="auto"/>
          <w:kern w:val="0"/>
          <w:sz w:val="21"/>
          <w:szCs w:val="21"/>
          <w:highlight w:val="none"/>
        </w:rPr>
        <w:t>. 工程质量</w:t>
      </w:r>
      <w:bookmarkEnd w:id="163"/>
    </w:p>
    <w:bookmarkEnd w:id="164"/>
    <w:p w14:paraId="506E692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65" w:name="_Toc351203533"/>
      <w:r>
        <w:rPr>
          <w:rFonts w:hint="eastAsia" w:ascii="宋体" w:hAnsi="宋体" w:eastAsia="宋体" w:cs="宋体"/>
          <w:color w:val="auto"/>
          <w:kern w:val="0"/>
          <w:sz w:val="21"/>
          <w:szCs w:val="21"/>
          <w:highlight w:val="none"/>
        </w:rPr>
        <w:t>5</w:t>
      </w:r>
      <w:bookmarkStart w:id="166" w:name="_Toc337558759"/>
      <w:r>
        <w:rPr>
          <w:rFonts w:hint="eastAsia" w:ascii="宋体" w:hAnsi="宋体" w:eastAsia="宋体" w:cs="宋体"/>
          <w:color w:val="auto"/>
          <w:kern w:val="0"/>
          <w:sz w:val="21"/>
          <w:szCs w:val="21"/>
          <w:highlight w:val="none"/>
        </w:rPr>
        <w:t>.1质量要求</w:t>
      </w:r>
      <w:bookmarkEnd w:id="165"/>
    </w:p>
    <w:bookmarkEnd w:id="166"/>
    <w:p w14:paraId="4F46ACF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5.1.1 工程质量标准必须符合现行国家有关工程施工质量验收规范和标准的要求。有关工程质量的特殊标准或要求由合同当事人在专用合同条款中约定。</w:t>
      </w:r>
    </w:p>
    <w:p w14:paraId="7BAEE80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5.1.2 因发包人原因造成工程质量未达到合同约定标准的，由发包人承担由此增加的费用和（或）延误的工期，并支付承包人合理的利润。</w:t>
      </w:r>
    </w:p>
    <w:p w14:paraId="28DCBD3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5.1.3 因承包人原因造成工程质量未达到合同约定标准的，发包人有权要求承包人返工直至工程质量达到合同约定的标准为止，并由承包人承担由此增加的费用和（或）延误的工期。</w:t>
      </w:r>
    </w:p>
    <w:p w14:paraId="552BCE6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67" w:name="_Toc351203534"/>
      <w:r>
        <w:rPr>
          <w:rFonts w:hint="eastAsia" w:ascii="宋体" w:hAnsi="宋体" w:eastAsia="宋体" w:cs="宋体"/>
          <w:color w:val="auto"/>
          <w:kern w:val="0"/>
          <w:sz w:val="21"/>
          <w:szCs w:val="21"/>
          <w:highlight w:val="none"/>
        </w:rPr>
        <w:t>5</w:t>
      </w:r>
      <w:bookmarkStart w:id="168" w:name="_Toc337558760"/>
      <w:r>
        <w:rPr>
          <w:rFonts w:hint="eastAsia" w:ascii="宋体" w:hAnsi="宋体" w:eastAsia="宋体" w:cs="宋体"/>
          <w:color w:val="auto"/>
          <w:kern w:val="0"/>
          <w:sz w:val="21"/>
          <w:szCs w:val="21"/>
          <w:highlight w:val="none"/>
        </w:rPr>
        <w:t>.2质量保证措施</w:t>
      </w:r>
      <w:bookmarkEnd w:id="167"/>
      <w:bookmarkEnd w:id="168"/>
    </w:p>
    <w:p w14:paraId="1EE168A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5.2.1 发包人的质量管理</w:t>
      </w:r>
    </w:p>
    <w:p w14:paraId="70FAEC7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发包人应按照法律规定及合同约定完成与工程质量有关的各项工作。</w:t>
      </w:r>
    </w:p>
    <w:p w14:paraId="133105E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5.2.2 承包人的质量管理</w:t>
      </w:r>
    </w:p>
    <w:p w14:paraId="46E5259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5E4F3AD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承包人应对施工人员进行质量教育和技术培训，定期考核施工人员的劳动技能，严格执行施工规范和操作规程。</w:t>
      </w:r>
    </w:p>
    <w:p w14:paraId="2F03571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597BE75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5.2.3 监理人的质量检查和检验</w:t>
      </w:r>
    </w:p>
    <w:p w14:paraId="1B67C7C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0082A2C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6D2A335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69" w:name="_Toc351203535"/>
      <w:r>
        <w:rPr>
          <w:rFonts w:hint="eastAsia" w:ascii="宋体" w:hAnsi="宋体" w:eastAsia="宋体" w:cs="宋体"/>
          <w:color w:val="auto"/>
          <w:kern w:val="0"/>
          <w:sz w:val="21"/>
          <w:szCs w:val="21"/>
          <w:highlight w:val="none"/>
        </w:rPr>
        <w:t>5</w:t>
      </w:r>
      <w:bookmarkStart w:id="170" w:name="_Toc337558761"/>
      <w:r>
        <w:rPr>
          <w:rFonts w:hint="eastAsia" w:ascii="宋体" w:hAnsi="宋体" w:eastAsia="宋体" w:cs="宋体"/>
          <w:color w:val="auto"/>
          <w:kern w:val="0"/>
          <w:sz w:val="21"/>
          <w:szCs w:val="21"/>
          <w:highlight w:val="none"/>
        </w:rPr>
        <w:t>.3 隐蔽工程检查</w:t>
      </w:r>
      <w:bookmarkEnd w:id="169"/>
    </w:p>
    <w:bookmarkEnd w:id="170"/>
    <w:p w14:paraId="5BBB595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5.3.1承包人自检</w:t>
      </w:r>
    </w:p>
    <w:p w14:paraId="44AA0A0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承包人应当对工程隐蔽部位进行自检，并经自检确认是否具备覆盖条件。</w:t>
      </w:r>
    </w:p>
    <w:p w14:paraId="6F4D855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5.3.2检查程序</w:t>
      </w:r>
    </w:p>
    <w:p w14:paraId="6DE3FBE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5A9AA50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1CAF3B0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6127A0F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5.3.3 重新检查</w:t>
      </w:r>
    </w:p>
    <w:p w14:paraId="0467805F">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24EF4DB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5.3.4 承包人私自覆盖</w:t>
      </w:r>
    </w:p>
    <w:p w14:paraId="5F3F621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3B83AC1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71" w:name="_Toc351203536"/>
      <w:r>
        <w:rPr>
          <w:rFonts w:hint="eastAsia" w:ascii="宋体" w:hAnsi="宋体" w:eastAsia="宋体" w:cs="宋体"/>
          <w:color w:val="auto"/>
          <w:kern w:val="0"/>
          <w:sz w:val="21"/>
          <w:szCs w:val="21"/>
          <w:highlight w:val="none"/>
        </w:rPr>
        <w:t>5</w:t>
      </w:r>
      <w:bookmarkStart w:id="172" w:name="_Toc337558762"/>
      <w:r>
        <w:rPr>
          <w:rFonts w:hint="eastAsia" w:ascii="宋体" w:hAnsi="宋体" w:eastAsia="宋体" w:cs="宋体"/>
          <w:color w:val="auto"/>
          <w:kern w:val="0"/>
          <w:sz w:val="21"/>
          <w:szCs w:val="21"/>
          <w:highlight w:val="none"/>
        </w:rPr>
        <w:t>.4不合格工程的处理</w:t>
      </w:r>
      <w:bookmarkEnd w:id="171"/>
    </w:p>
    <w:bookmarkEnd w:id="172"/>
    <w:p w14:paraId="609D7FD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3D72A0C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5.4.2 因发包人原因造成工程不合格的，由此增加的费用和（或）延误的工期由发包人承担，并支付承包人合理的利润。</w:t>
      </w:r>
    </w:p>
    <w:p w14:paraId="6E69797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73" w:name="_Toc351203537"/>
      <w:r>
        <w:rPr>
          <w:rFonts w:hint="eastAsia" w:ascii="宋体" w:hAnsi="宋体" w:eastAsia="宋体" w:cs="宋体"/>
          <w:color w:val="auto"/>
          <w:kern w:val="0"/>
          <w:sz w:val="21"/>
          <w:szCs w:val="21"/>
          <w:highlight w:val="none"/>
        </w:rPr>
        <w:t>5.5 质量争议检测</w:t>
      </w:r>
      <w:bookmarkEnd w:id="173"/>
    </w:p>
    <w:p w14:paraId="0D4D4C1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合同当事人对工程质量有争议的，由双方协商确定的工程质量检测机构鉴定，由此产生的费用及因此造成的损失，由责任方承担。</w:t>
      </w:r>
    </w:p>
    <w:p w14:paraId="332FC3D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合同当事人均有责任的，由双方根据其责任分别承担。合同当事人无法达成一致的，按照第4.4款〔商定或确定〕执行。</w:t>
      </w:r>
    </w:p>
    <w:p w14:paraId="1D2BB6F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74" w:name="_Toc351203538"/>
      <w:r>
        <w:rPr>
          <w:rFonts w:hint="eastAsia" w:ascii="宋体" w:hAnsi="宋体" w:eastAsia="宋体" w:cs="宋体"/>
          <w:color w:val="auto"/>
          <w:kern w:val="0"/>
          <w:sz w:val="21"/>
          <w:szCs w:val="21"/>
          <w:highlight w:val="none"/>
        </w:rPr>
        <w:t>6</w:t>
      </w:r>
      <w:bookmarkStart w:id="175" w:name="_Toc337558763"/>
      <w:r>
        <w:rPr>
          <w:rFonts w:hint="eastAsia" w:ascii="宋体" w:hAnsi="宋体" w:eastAsia="宋体" w:cs="宋体"/>
          <w:color w:val="auto"/>
          <w:kern w:val="0"/>
          <w:sz w:val="21"/>
          <w:szCs w:val="21"/>
          <w:highlight w:val="none"/>
        </w:rPr>
        <w:t>. 安全文明施工与环境保护</w:t>
      </w:r>
      <w:bookmarkEnd w:id="174"/>
    </w:p>
    <w:bookmarkEnd w:id="175"/>
    <w:p w14:paraId="2923B0A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76" w:name="_Toc351203539"/>
      <w:r>
        <w:rPr>
          <w:rFonts w:hint="eastAsia" w:ascii="宋体" w:hAnsi="宋体" w:eastAsia="宋体" w:cs="宋体"/>
          <w:color w:val="auto"/>
          <w:kern w:val="0"/>
          <w:sz w:val="21"/>
          <w:szCs w:val="21"/>
          <w:highlight w:val="none"/>
        </w:rPr>
        <w:t>6</w:t>
      </w:r>
      <w:bookmarkStart w:id="177" w:name="_Toc337558764"/>
      <w:r>
        <w:rPr>
          <w:rFonts w:hint="eastAsia" w:ascii="宋体" w:hAnsi="宋体" w:eastAsia="宋体" w:cs="宋体"/>
          <w:color w:val="auto"/>
          <w:kern w:val="0"/>
          <w:sz w:val="21"/>
          <w:szCs w:val="21"/>
          <w:highlight w:val="none"/>
        </w:rPr>
        <w:t>.1安全文明施工</w:t>
      </w:r>
      <w:bookmarkEnd w:id="176"/>
    </w:p>
    <w:bookmarkEnd w:id="177"/>
    <w:p w14:paraId="5F542081">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6.1.1安全生产要求</w:t>
      </w:r>
    </w:p>
    <w:p w14:paraId="35C54BF4">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65BB1A4C">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在施工过程中，如遇到突发的地质变动、事先未知的地下施工障碍等影响施工安全的紧急情况，承包人应及时报告监理人和发包人，发包人应当及时下令停工并报</w:t>
      </w:r>
      <w:r>
        <w:rPr>
          <w:rFonts w:hint="eastAsia" w:ascii="宋体" w:hAnsi="宋体" w:eastAsia="宋体" w:cs="宋体"/>
          <w:color w:val="auto"/>
          <w:kern w:val="0"/>
          <w:sz w:val="21"/>
          <w:szCs w:val="21"/>
          <w:highlight w:val="none"/>
        </w:rPr>
        <w:t>政府有关行政管理部门</w:t>
      </w:r>
      <w:r>
        <w:rPr>
          <w:rFonts w:hint="eastAsia" w:ascii="宋体" w:hAnsi="宋体" w:eastAsia="宋体" w:cs="宋体"/>
          <w:color w:val="auto"/>
          <w:sz w:val="21"/>
          <w:szCs w:val="21"/>
          <w:highlight w:val="none"/>
        </w:rPr>
        <w:t>采取应急措施。</w:t>
      </w:r>
    </w:p>
    <w:p w14:paraId="2F43CBD2">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因安全生产需要暂停施工的，按照第7.8款〔暂停施工〕的约定执行。</w:t>
      </w:r>
    </w:p>
    <w:p w14:paraId="39F3AD61">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6.1.2 安全生产保证措施</w:t>
      </w:r>
    </w:p>
    <w:p w14:paraId="6614372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承包人应当按照有关</w:t>
      </w:r>
      <w:r>
        <w:rPr>
          <w:rFonts w:hint="eastAsia" w:ascii="宋体" w:hAnsi="宋体" w:eastAsia="宋体" w:cs="宋体"/>
          <w:color w:val="auto"/>
          <w:kern w:val="0"/>
          <w:sz w:val="21"/>
          <w:szCs w:val="21"/>
          <w:highlight w:val="none"/>
        </w:rPr>
        <w:t>规定编制安全技术措施或者专项施工方案，</w:t>
      </w:r>
      <w:r>
        <w:rPr>
          <w:rFonts w:hint="eastAsia" w:ascii="宋体" w:hAnsi="宋体" w:eastAsia="宋体" w:cs="宋体"/>
          <w:color w:val="auto"/>
          <w:sz w:val="21"/>
          <w:szCs w:val="21"/>
          <w:highlight w:val="none"/>
        </w:rPr>
        <w:t>建立安全生产责任制度、治安保卫制度及安全生产教育培训制度，并</w:t>
      </w:r>
      <w:r>
        <w:rPr>
          <w:rFonts w:hint="eastAsia" w:ascii="宋体" w:hAnsi="宋体" w:eastAsia="宋体" w:cs="宋体"/>
          <w:color w:val="auto"/>
          <w:kern w:val="0"/>
          <w:sz w:val="21"/>
          <w:szCs w:val="21"/>
          <w:highlight w:val="none"/>
        </w:rPr>
        <w:t>按安全生产法律规定及合同约定履行安全职责，如实</w:t>
      </w:r>
      <w:r>
        <w:rPr>
          <w:rFonts w:hint="eastAsia" w:ascii="宋体" w:hAnsi="宋体" w:eastAsia="宋体" w:cs="宋体"/>
          <w:color w:val="auto"/>
          <w:sz w:val="21"/>
          <w:szCs w:val="21"/>
          <w:highlight w:val="none"/>
        </w:rPr>
        <w:t>编制工程安全生产的有关记录，</w:t>
      </w:r>
      <w:r>
        <w:rPr>
          <w:rFonts w:hint="eastAsia" w:ascii="宋体" w:hAnsi="宋体" w:eastAsia="宋体" w:cs="宋体"/>
          <w:color w:val="auto"/>
          <w:kern w:val="0"/>
          <w:sz w:val="21"/>
          <w:szCs w:val="21"/>
          <w:highlight w:val="none"/>
        </w:rPr>
        <w:t>接受发包人、监理人及政府安全监督部门的检查与监督。</w:t>
      </w:r>
    </w:p>
    <w:p w14:paraId="56A8AB51">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6.1.3特别安全生产事项</w:t>
      </w:r>
    </w:p>
    <w:p w14:paraId="2B36EED1">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166FFCE5">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4F22AFF4">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0CB998AE">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需单独编制危险性较大分部分项专项工程施工方案的，及要求进行专家论证的超过一定规模的危险性较大的分部分项工程，承包人应及时编制和组织论证。</w:t>
      </w:r>
    </w:p>
    <w:p w14:paraId="63415068">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6.1.4 治安保卫</w:t>
      </w:r>
    </w:p>
    <w:p w14:paraId="38B1AB9B">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除专用合同条款另有约定外，发包人应与当地公安部门协商，在现场建立治安管理机构或联防组织，统一管理施工场地的治安保卫事项，履行合同工程的治安保卫职责。</w:t>
      </w:r>
    </w:p>
    <w:p w14:paraId="6F084BF3">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发包人和承包人除应协助现场治安管理机构或联防组织维护施工场地的社会治安外，还应做好包括生活区在内的各自管辖区的治安保卫工作。</w:t>
      </w:r>
    </w:p>
    <w:p w14:paraId="1F9FF5FE">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31EEE7F5">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6.1.5 文明施工</w:t>
      </w:r>
    </w:p>
    <w:p w14:paraId="5A5EC8A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7AB2A47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7B1351EF">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6.1.6 安全文明施工费</w:t>
      </w:r>
    </w:p>
    <w:p w14:paraId="2A9BFD3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安全文明施工费由发包人承担，发包人不得以任何形式扣减该部分费用。因基准日期后合同所适用的法律或政府有关规定发生变化，增加的安全文明施工费由发包人承担。</w:t>
      </w:r>
    </w:p>
    <w:p w14:paraId="45D26D7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32E13FD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3C0828E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2070D1C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6.1.7 紧急情况处理</w:t>
      </w:r>
    </w:p>
    <w:p w14:paraId="5B62A73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7476B05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6.1.8 事故处理</w:t>
      </w:r>
    </w:p>
    <w:p w14:paraId="7033362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76EF97F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6.1.9 安全生产责任</w:t>
      </w:r>
    </w:p>
    <w:p w14:paraId="368A400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6.1.9.1 发包人的安全责任</w:t>
      </w:r>
    </w:p>
    <w:p w14:paraId="693FEEC5">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发包人应负责赔偿以下各种情况造成的损失：</w:t>
      </w:r>
    </w:p>
    <w:p w14:paraId="2DBF328F">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（1）工程或工程的任何部分对土地的占用所造成的第三者财产损失；</w:t>
      </w:r>
    </w:p>
    <w:p w14:paraId="4DD1B6C2">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（2）由于发包人原因在施工场地及其毗邻地带造成的第三者人身伤亡和财产损失；</w:t>
      </w:r>
    </w:p>
    <w:p w14:paraId="5BCC1BFF">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（3）由于发包人原因对承包人、监理人造成的人员人身伤亡和财产损失；</w:t>
      </w:r>
    </w:p>
    <w:p w14:paraId="7A68072E">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（4）由于发包人原因造成的发包人自身人员的人身伤害以及财产损失。</w:t>
      </w:r>
    </w:p>
    <w:p w14:paraId="419238E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6.1.9.2 承包人的安全责任</w:t>
      </w:r>
    </w:p>
    <w:p w14:paraId="667440A4">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由于承包人原因在施工场地内及其毗邻地带造成的发包人、监理人以及第三者人员伤亡和财产损失，由承包人负责赔偿。</w:t>
      </w:r>
    </w:p>
    <w:p w14:paraId="7D95FA4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78" w:name="_Toc351203540"/>
      <w:r>
        <w:rPr>
          <w:rFonts w:hint="eastAsia" w:ascii="宋体" w:hAnsi="宋体" w:eastAsia="宋体" w:cs="宋体"/>
          <w:color w:val="auto"/>
          <w:kern w:val="0"/>
          <w:sz w:val="21"/>
          <w:szCs w:val="21"/>
          <w:highlight w:val="none"/>
        </w:rPr>
        <w:t>6</w:t>
      </w:r>
      <w:bookmarkStart w:id="179" w:name="_Toc337558765"/>
      <w:r>
        <w:rPr>
          <w:rFonts w:hint="eastAsia" w:ascii="宋体" w:hAnsi="宋体" w:eastAsia="宋体" w:cs="宋体"/>
          <w:color w:val="auto"/>
          <w:kern w:val="0"/>
          <w:sz w:val="21"/>
          <w:szCs w:val="21"/>
          <w:highlight w:val="none"/>
        </w:rPr>
        <w:t>.2 职业健康</w:t>
      </w:r>
      <w:bookmarkEnd w:id="178"/>
    </w:p>
    <w:bookmarkEnd w:id="179"/>
    <w:p w14:paraId="2434CB4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6.2.1 劳动保护</w:t>
      </w:r>
    </w:p>
    <w:p w14:paraId="2C3B5A2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764A04C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3F35FE1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5702B63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6.2.2 生活条件</w:t>
      </w:r>
    </w:p>
    <w:p w14:paraId="0B9F016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6E87740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80" w:name="_Toc351203541"/>
      <w:r>
        <w:rPr>
          <w:rFonts w:hint="eastAsia" w:ascii="宋体" w:hAnsi="宋体" w:eastAsia="宋体" w:cs="宋体"/>
          <w:color w:val="auto"/>
          <w:kern w:val="0"/>
          <w:sz w:val="21"/>
          <w:szCs w:val="21"/>
          <w:highlight w:val="none"/>
        </w:rPr>
        <w:t>6</w:t>
      </w:r>
      <w:bookmarkStart w:id="181" w:name="_Toc337558766"/>
      <w:r>
        <w:rPr>
          <w:rFonts w:hint="eastAsia" w:ascii="宋体" w:hAnsi="宋体" w:eastAsia="宋体" w:cs="宋体"/>
          <w:color w:val="auto"/>
          <w:kern w:val="0"/>
          <w:sz w:val="21"/>
          <w:szCs w:val="21"/>
          <w:highlight w:val="none"/>
        </w:rPr>
        <w:t>.3 环境保护</w:t>
      </w:r>
      <w:bookmarkEnd w:id="180"/>
    </w:p>
    <w:bookmarkEnd w:id="181"/>
    <w:p w14:paraId="0185054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09B6238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承包人应当承担因其原因引起的环境污染侵权损害赔偿责任，因上述环境污染引起纠纷而导致暂停施工的，由此增加的费用和（或）延误的工期由承包人承担。</w:t>
      </w:r>
    </w:p>
    <w:p w14:paraId="2A022C3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82" w:name="_Toc351203542"/>
      <w:r>
        <w:rPr>
          <w:rFonts w:hint="eastAsia" w:ascii="宋体" w:hAnsi="宋体" w:eastAsia="宋体" w:cs="宋体"/>
          <w:color w:val="auto"/>
          <w:kern w:val="0"/>
          <w:sz w:val="21"/>
          <w:szCs w:val="21"/>
          <w:highlight w:val="none"/>
        </w:rPr>
        <w:t>7</w:t>
      </w:r>
      <w:bookmarkStart w:id="183" w:name="_Toc337558767"/>
      <w:r>
        <w:rPr>
          <w:rFonts w:hint="eastAsia" w:ascii="宋体" w:hAnsi="宋体" w:eastAsia="宋体" w:cs="宋体"/>
          <w:color w:val="auto"/>
          <w:kern w:val="0"/>
          <w:sz w:val="21"/>
          <w:szCs w:val="21"/>
          <w:highlight w:val="none"/>
        </w:rPr>
        <w:t>. 工期和进度</w:t>
      </w:r>
      <w:bookmarkEnd w:id="182"/>
    </w:p>
    <w:bookmarkEnd w:id="183"/>
    <w:p w14:paraId="73C27D0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jc w:val="left"/>
        <w:textAlignment w:val="auto"/>
        <w:rPr>
          <w:rFonts w:hint="eastAsia" w:ascii="宋体" w:hAnsi="宋体" w:eastAsia="宋体" w:cs="宋体"/>
          <w:color w:val="auto"/>
          <w:kern w:val="0"/>
          <w:sz w:val="21"/>
          <w:szCs w:val="21"/>
          <w:highlight w:val="none"/>
        </w:rPr>
      </w:pPr>
      <w:bookmarkStart w:id="184" w:name="_Toc351203543"/>
      <w:r>
        <w:rPr>
          <w:rFonts w:hint="eastAsia" w:ascii="宋体" w:hAnsi="宋体" w:eastAsia="宋体" w:cs="宋体"/>
          <w:color w:val="auto"/>
          <w:kern w:val="0"/>
          <w:sz w:val="21"/>
          <w:szCs w:val="21"/>
          <w:highlight w:val="none"/>
        </w:rPr>
        <w:t>7</w:t>
      </w:r>
      <w:bookmarkStart w:id="185" w:name="_Toc337558768"/>
      <w:bookmarkStart w:id="186" w:name="_Toc296346567"/>
      <w:bookmarkStart w:id="187" w:name="_Toc296503066"/>
      <w:r>
        <w:rPr>
          <w:rFonts w:hint="eastAsia" w:ascii="宋体" w:hAnsi="宋体" w:eastAsia="宋体" w:cs="宋体"/>
          <w:color w:val="auto"/>
          <w:kern w:val="0"/>
          <w:sz w:val="21"/>
          <w:szCs w:val="21"/>
          <w:highlight w:val="none"/>
        </w:rPr>
        <w:t>.1施工组织设计</w:t>
      </w:r>
      <w:bookmarkEnd w:id="184"/>
    </w:p>
    <w:bookmarkEnd w:id="185"/>
    <w:p w14:paraId="6B8A006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 xml:space="preserve">7.1.1 </w:t>
      </w:r>
      <w:r>
        <w:rPr>
          <w:rFonts w:hint="eastAsia" w:ascii="宋体" w:hAnsi="宋体" w:eastAsia="宋体" w:cs="宋体"/>
          <w:color w:val="auto"/>
          <w:kern w:val="0"/>
          <w:sz w:val="21"/>
          <w:szCs w:val="21"/>
          <w:highlight w:val="none"/>
        </w:rPr>
        <w:t>施工组织设计的内容</w:t>
      </w:r>
    </w:p>
    <w:p w14:paraId="1305D23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施工组织设计应包含以下内容：</w:t>
      </w:r>
    </w:p>
    <w:p w14:paraId="093AA15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（1）施工方案； </w:t>
      </w:r>
    </w:p>
    <w:p w14:paraId="2C996D8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（2）施工现场平面布置图；</w:t>
      </w:r>
    </w:p>
    <w:p w14:paraId="11B7602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（3）施工进度计划和保证措施； </w:t>
      </w:r>
    </w:p>
    <w:p w14:paraId="2FA4A0B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（4）劳动力及材料供应计划；</w:t>
      </w:r>
    </w:p>
    <w:p w14:paraId="02DE7D9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（5）施工机械设备的选用；</w:t>
      </w:r>
    </w:p>
    <w:p w14:paraId="397A9AB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（6）质量保证体系及措施；</w:t>
      </w:r>
    </w:p>
    <w:p w14:paraId="6749B56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（7）安全生产、文明施工措施；</w:t>
      </w:r>
    </w:p>
    <w:p w14:paraId="3790FC7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（8）环境保护、成本控制措施；</w:t>
      </w:r>
    </w:p>
    <w:p w14:paraId="641FE00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（9）合同当事人约定的其他内容。</w:t>
      </w:r>
    </w:p>
    <w:p w14:paraId="17C2DE0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 xml:space="preserve">7.1.2 </w:t>
      </w:r>
      <w:r>
        <w:rPr>
          <w:rFonts w:hint="eastAsia" w:ascii="宋体" w:hAnsi="宋体" w:eastAsia="宋体" w:cs="宋体"/>
          <w:color w:val="auto"/>
          <w:kern w:val="0"/>
          <w:sz w:val="21"/>
          <w:szCs w:val="21"/>
          <w:highlight w:val="none"/>
        </w:rPr>
        <w:t>施工组织设计的提交和修改</w:t>
      </w:r>
    </w:p>
    <w:p w14:paraId="31E99B5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75569F1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施工进度计划的编制和修改按照第7.2款〔施工进度计划〕执行。</w:t>
      </w:r>
    </w:p>
    <w:p w14:paraId="65D1EFCA">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188" w:name="_Toc351203544"/>
      <w:r>
        <w:rPr>
          <w:rFonts w:hint="eastAsia" w:ascii="宋体" w:hAnsi="宋体" w:eastAsia="宋体" w:cs="宋体"/>
          <w:color w:val="auto"/>
          <w:kern w:val="0"/>
          <w:sz w:val="21"/>
          <w:szCs w:val="21"/>
          <w:highlight w:val="none"/>
        </w:rPr>
        <w:t>7</w:t>
      </w:r>
      <w:bookmarkStart w:id="189" w:name="_Toc337558769"/>
      <w:r>
        <w:rPr>
          <w:rFonts w:hint="eastAsia" w:ascii="宋体" w:hAnsi="宋体" w:eastAsia="宋体" w:cs="宋体"/>
          <w:color w:val="auto"/>
          <w:kern w:val="0"/>
          <w:sz w:val="21"/>
          <w:szCs w:val="21"/>
          <w:highlight w:val="none"/>
        </w:rPr>
        <w:t>.2 施工进度计划</w:t>
      </w:r>
      <w:bookmarkEnd w:id="188"/>
    </w:p>
    <w:bookmarkEnd w:id="189"/>
    <w:p w14:paraId="2A50D2A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7.2.1 施工进度计划的编制</w:t>
      </w:r>
    </w:p>
    <w:p w14:paraId="6BCED2A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2050B24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7.2.2 施工进度计划的修订</w:t>
      </w:r>
    </w:p>
    <w:p w14:paraId="639C5B2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272F92A6">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190" w:name="_Toc351203545"/>
      <w:r>
        <w:rPr>
          <w:rFonts w:hint="eastAsia" w:ascii="宋体" w:hAnsi="宋体" w:eastAsia="宋体" w:cs="宋体"/>
          <w:color w:val="auto"/>
          <w:kern w:val="0"/>
          <w:sz w:val="21"/>
          <w:szCs w:val="21"/>
          <w:highlight w:val="none"/>
        </w:rPr>
        <w:t>7</w:t>
      </w:r>
      <w:bookmarkStart w:id="191" w:name="_Toc337558770"/>
      <w:r>
        <w:rPr>
          <w:rFonts w:hint="eastAsia" w:ascii="宋体" w:hAnsi="宋体" w:eastAsia="宋体" w:cs="宋体"/>
          <w:color w:val="auto"/>
          <w:kern w:val="0"/>
          <w:sz w:val="21"/>
          <w:szCs w:val="21"/>
          <w:highlight w:val="none"/>
        </w:rPr>
        <w:t>.3 开工</w:t>
      </w:r>
      <w:bookmarkEnd w:id="190"/>
    </w:p>
    <w:p w14:paraId="7C840701">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7.3.1 开工准备</w:t>
      </w:r>
    </w:p>
    <w:p w14:paraId="7CEC981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59A20B1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除专用合同条款另有约定外，合同当事人应按约定完成开工准备工作。</w:t>
      </w:r>
    </w:p>
    <w:p w14:paraId="151152B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7.3.2 开工通知</w:t>
      </w:r>
    </w:p>
    <w:bookmarkEnd w:id="191"/>
    <w:p w14:paraId="486AEC2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60AD68FF">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21C91186">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192" w:name="_Toc351203546"/>
      <w:r>
        <w:rPr>
          <w:rFonts w:hint="eastAsia" w:ascii="宋体" w:hAnsi="宋体" w:eastAsia="宋体" w:cs="宋体"/>
          <w:color w:val="auto"/>
          <w:kern w:val="0"/>
          <w:sz w:val="21"/>
          <w:szCs w:val="21"/>
          <w:highlight w:val="none"/>
        </w:rPr>
        <w:t>7.4测量放线</w:t>
      </w:r>
      <w:bookmarkEnd w:id="192"/>
    </w:p>
    <w:p w14:paraId="1FCFADC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52628E1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7A59131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2575CE4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施工过程中对施工现场内水准点等测量标志物的保护工作由承包人负责。</w:t>
      </w:r>
      <w:bookmarkStart w:id="193" w:name="_Toc351203547"/>
    </w:p>
    <w:p w14:paraId="1D4214AB">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w:t>
      </w:r>
      <w:bookmarkEnd w:id="186"/>
      <w:bookmarkEnd w:id="187"/>
      <w:bookmarkStart w:id="194" w:name="_Toc296503073"/>
      <w:bookmarkStart w:id="195" w:name="_Toc296346574"/>
      <w:bookmarkStart w:id="196" w:name="_Toc337558772"/>
      <w:r>
        <w:rPr>
          <w:rFonts w:hint="eastAsia" w:ascii="宋体" w:hAnsi="宋体" w:eastAsia="宋体" w:cs="宋体"/>
          <w:color w:val="auto"/>
          <w:kern w:val="0"/>
          <w:sz w:val="21"/>
          <w:szCs w:val="21"/>
          <w:highlight w:val="none"/>
        </w:rPr>
        <w:t>.5 工期延误</w:t>
      </w:r>
      <w:bookmarkEnd w:id="193"/>
    </w:p>
    <w:bookmarkEnd w:id="194"/>
    <w:bookmarkEnd w:id="195"/>
    <w:bookmarkEnd w:id="196"/>
    <w:p w14:paraId="024FC7E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7.5.1 因发包人原因导致工期延误</w:t>
      </w:r>
    </w:p>
    <w:p w14:paraId="1B7DC01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在合同履行过程中，因下列情况导致工期延误和（或）费用增加的，由发包人承担由此延误的工期和（或）增加的费用，且发包人应支付承包人合理的利润： </w:t>
      </w:r>
    </w:p>
    <w:p w14:paraId="439A976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（1）发包人未能按合同约定提供图纸或所提供图纸不符合合同约定的；</w:t>
      </w:r>
    </w:p>
    <w:p w14:paraId="0965680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（2）发包人未能按合同约定提供施工现场、施工条件、基础资料、许可、批准等开工条件的；</w:t>
      </w:r>
    </w:p>
    <w:p w14:paraId="2235349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（3）发包人提供的测量基准点、基准线和水准点及其书面资料存在错误或疏漏的；</w:t>
      </w:r>
    </w:p>
    <w:p w14:paraId="6FEEEA9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（4）发包人未能在计划开工日期之日起7天内同意下达开工通知的；</w:t>
      </w:r>
    </w:p>
    <w:p w14:paraId="01A805CF">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（5）发包人未能按合同约定日期支付工程预付款、进度款或竣工结算款的；</w:t>
      </w:r>
    </w:p>
    <w:p w14:paraId="3787DEB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（6）监理人未按合同约定发出指示、批准等文件的；</w:t>
      </w:r>
    </w:p>
    <w:p w14:paraId="19A333B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（7）专用合同条款中约定的其他情形。</w:t>
      </w:r>
    </w:p>
    <w:p w14:paraId="77C57C8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1EDA991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7.5.2 因承包人原因导致工期延误</w:t>
      </w:r>
    </w:p>
    <w:p w14:paraId="6D838D6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bookmarkStart w:id="197" w:name="_Toc296503076"/>
      <w:bookmarkStart w:id="198" w:name="_Toc296346577"/>
      <w:r>
        <w:rPr>
          <w:rFonts w:hint="eastAsia" w:ascii="宋体" w:hAnsi="宋体" w:eastAsia="宋体" w:cs="宋体"/>
          <w:color w:val="auto"/>
          <w:kern w:val="0"/>
          <w:sz w:val="21"/>
          <w:szCs w:val="21"/>
          <w:highlight w:val="none"/>
        </w:rPr>
        <w:t>因</w:t>
      </w:r>
      <w:bookmarkEnd w:id="197"/>
      <w:bookmarkEnd w:id="198"/>
      <w:r>
        <w:rPr>
          <w:rFonts w:hint="eastAsia" w:ascii="宋体" w:hAnsi="宋体" w:eastAsia="宋体" w:cs="宋体"/>
          <w:color w:val="auto"/>
          <w:kern w:val="0"/>
          <w:sz w:val="21"/>
          <w:szCs w:val="21"/>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699961CD">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199" w:name="_Toc351203548"/>
      <w:r>
        <w:rPr>
          <w:rFonts w:hint="eastAsia" w:ascii="宋体" w:hAnsi="宋体" w:eastAsia="宋体" w:cs="宋体"/>
          <w:color w:val="auto"/>
          <w:kern w:val="0"/>
          <w:sz w:val="21"/>
          <w:szCs w:val="21"/>
          <w:highlight w:val="none"/>
        </w:rPr>
        <w:t>7</w:t>
      </w:r>
      <w:bookmarkStart w:id="200" w:name="_Toc337558773"/>
      <w:bookmarkStart w:id="201" w:name="_Toc296503074"/>
      <w:bookmarkStart w:id="202" w:name="_Toc296346575"/>
      <w:bookmarkStart w:id="203" w:name="_Toc296346578"/>
      <w:bookmarkStart w:id="204" w:name="_Toc296503077"/>
      <w:r>
        <w:rPr>
          <w:rFonts w:hint="eastAsia" w:ascii="宋体" w:hAnsi="宋体" w:eastAsia="宋体" w:cs="宋体"/>
          <w:color w:val="auto"/>
          <w:kern w:val="0"/>
          <w:sz w:val="21"/>
          <w:szCs w:val="21"/>
          <w:highlight w:val="none"/>
        </w:rPr>
        <w:t>.6 不利物质条件</w:t>
      </w:r>
      <w:bookmarkEnd w:id="199"/>
    </w:p>
    <w:bookmarkEnd w:id="200"/>
    <w:bookmarkEnd w:id="201"/>
    <w:bookmarkEnd w:id="202"/>
    <w:p w14:paraId="5A2B3F1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004D896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6AE502B1">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05" w:name="_Toc351203549"/>
      <w:r>
        <w:rPr>
          <w:rFonts w:hint="eastAsia" w:ascii="宋体" w:hAnsi="宋体" w:eastAsia="宋体" w:cs="宋体"/>
          <w:color w:val="auto"/>
          <w:kern w:val="0"/>
          <w:sz w:val="21"/>
          <w:szCs w:val="21"/>
          <w:highlight w:val="none"/>
        </w:rPr>
        <w:t>7</w:t>
      </w:r>
      <w:bookmarkStart w:id="206" w:name="_Toc296503075"/>
      <w:bookmarkStart w:id="207" w:name="_Toc337558774"/>
      <w:bookmarkStart w:id="208" w:name="_Toc296346576"/>
      <w:r>
        <w:rPr>
          <w:rFonts w:hint="eastAsia" w:ascii="宋体" w:hAnsi="宋体" w:eastAsia="宋体" w:cs="宋体"/>
          <w:color w:val="auto"/>
          <w:kern w:val="0"/>
          <w:sz w:val="21"/>
          <w:szCs w:val="21"/>
          <w:highlight w:val="none"/>
        </w:rPr>
        <w:t>.7 异常恶劣的气候条件</w:t>
      </w:r>
      <w:bookmarkEnd w:id="205"/>
    </w:p>
    <w:bookmarkEnd w:id="206"/>
    <w:bookmarkEnd w:id="207"/>
    <w:bookmarkEnd w:id="208"/>
    <w:p w14:paraId="304785C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5A16670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End w:id="203"/>
      <w:bookmarkEnd w:id="204"/>
      <w:bookmarkStart w:id="209" w:name="_Toc351203551"/>
    </w:p>
    <w:p w14:paraId="14D63CAC">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7.8暂停施工</w:t>
      </w:r>
    </w:p>
    <w:p w14:paraId="1FC963A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7.8.1发包人原因引起的暂停施工</w:t>
      </w:r>
    </w:p>
    <w:p w14:paraId="0375D75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因发包人原因引起暂停施工的，监理人经发包人同意后，应及时下达暂停施工指示。情况紧急且监理人未及时下达暂停施工指示的，按照第7.8.4项〔紧急情况下的暂停施工〕执行。</w:t>
      </w:r>
    </w:p>
    <w:p w14:paraId="71E8C12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因发包人原因引起的暂停施工，发包人应承担由此增加的费用和（或）延误的工期，并支付承包人合理的利润。</w:t>
      </w:r>
    </w:p>
    <w:p w14:paraId="1DCA59DF">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7.8.2 承包人原因引起的暂停施工</w:t>
      </w:r>
    </w:p>
    <w:p w14:paraId="38DF9B4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252BD1B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7.8.3 指示暂停施工</w:t>
      </w:r>
    </w:p>
    <w:p w14:paraId="3C30271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监理人认为有必要时，并经发包人批准后，可向承包人作出暂停施工的指示，承包人应按监理人指示暂停施工。</w:t>
      </w:r>
    </w:p>
    <w:p w14:paraId="26F0AA4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7.8.4 紧急情况下的暂停施工</w:t>
      </w:r>
    </w:p>
    <w:p w14:paraId="7FD54DA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6FCBC77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7.8.5 暂停施工后的复工</w:t>
      </w:r>
    </w:p>
    <w:p w14:paraId="2D4EFCD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75D45E0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承包人无故拖延和拒绝复工的，承包人承担由此增加的费用和（或）延误的工期；因发包人原因无法按时复工的，按照第7.5.1项〔因发包人原因导致工期延误〕约定办理。</w:t>
      </w:r>
    </w:p>
    <w:p w14:paraId="3521C27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7.8.6 暂停施工持续56天以上</w:t>
      </w:r>
    </w:p>
    <w:p w14:paraId="2830D725">
      <w:pPr>
        <w:keepNext w:val="0"/>
        <w:keepLines w:val="0"/>
        <w:pageBreakBefore w:val="0"/>
        <w:widowControl w:val="0"/>
        <w:shd w:val="clear" w:color="auto" w:fill="auto"/>
        <w:kinsoku/>
        <w:wordWrap/>
        <w:overflowPunct/>
        <w:topLinePunct w:val="0"/>
        <w:bidi w:val="0"/>
        <w:spacing w:line="360" w:lineRule="auto"/>
        <w:ind w:left="0" w:firstLine="409" w:firstLineChars="195"/>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50158050">
      <w:pPr>
        <w:keepNext w:val="0"/>
        <w:keepLines w:val="0"/>
        <w:pageBreakBefore w:val="0"/>
        <w:widowControl w:val="0"/>
        <w:shd w:val="clear" w:color="auto" w:fill="auto"/>
        <w:kinsoku/>
        <w:wordWrap/>
        <w:overflowPunct/>
        <w:topLinePunct w:val="0"/>
        <w:bidi w:val="0"/>
        <w:spacing w:line="360" w:lineRule="auto"/>
        <w:ind w:left="0" w:firstLine="409" w:firstLineChars="195"/>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317B689E">
      <w:pPr>
        <w:keepNext w:val="0"/>
        <w:keepLines w:val="0"/>
        <w:pageBreakBefore w:val="0"/>
        <w:widowControl w:val="0"/>
        <w:shd w:val="clear" w:color="auto" w:fill="auto"/>
        <w:kinsoku/>
        <w:wordWrap/>
        <w:overflowPunct/>
        <w:topLinePunct w:val="0"/>
        <w:bidi w:val="0"/>
        <w:spacing w:line="360" w:lineRule="auto"/>
        <w:ind w:left="0" w:firstLine="409" w:firstLineChars="195"/>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7.8.7 暂停施工期间的工程照管</w:t>
      </w:r>
    </w:p>
    <w:p w14:paraId="4D42721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暂停施工期间，承包人应负责妥善照管工程并提供安全保障，由此增加的费用由责任方承担。</w:t>
      </w:r>
    </w:p>
    <w:p w14:paraId="0393629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7.8.8 暂停施工的措施</w:t>
      </w:r>
    </w:p>
    <w:p w14:paraId="4605EC9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暂停施工期间，发包人和承包人均应采取必要的措施确保工程质量及安全，防止因暂停施工扩大损失。</w:t>
      </w:r>
    </w:p>
    <w:p w14:paraId="1F50B7C0">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sz w:val="21"/>
          <w:szCs w:val="21"/>
          <w:highlight w:val="none"/>
        </w:rPr>
      </w:pPr>
    </w:p>
    <w:p w14:paraId="3CFFCECB">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7.9提前竣工</w:t>
      </w:r>
      <w:bookmarkEnd w:id="209"/>
    </w:p>
    <w:p w14:paraId="173CF55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1488C64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7.9.2 发包人要求承包人提前竣工，或承包人提出提前竣工的建议能够给发包人带来效益的，合同当事人可以在专用合同条款中约定提前竣工的奖励。</w:t>
      </w:r>
    </w:p>
    <w:p w14:paraId="45488D44">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10" w:name="_Toc351203552"/>
      <w:r>
        <w:rPr>
          <w:rFonts w:hint="eastAsia" w:ascii="宋体" w:hAnsi="宋体" w:eastAsia="宋体" w:cs="宋体"/>
          <w:color w:val="auto"/>
          <w:kern w:val="0"/>
          <w:sz w:val="21"/>
          <w:szCs w:val="21"/>
          <w:highlight w:val="none"/>
        </w:rPr>
        <w:t>8</w:t>
      </w:r>
      <w:bookmarkStart w:id="211" w:name="_Toc296503058"/>
      <w:bookmarkStart w:id="212" w:name="_Toc296346559"/>
      <w:bookmarkStart w:id="213" w:name="_Toc337558776"/>
      <w:r>
        <w:rPr>
          <w:rFonts w:hint="eastAsia" w:ascii="宋体" w:hAnsi="宋体" w:eastAsia="宋体" w:cs="宋体"/>
          <w:color w:val="auto"/>
          <w:kern w:val="0"/>
          <w:sz w:val="21"/>
          <w:szCs w:val="21"/>
          <w:highlight w:val="none"/>
        </w:rPr>
        <w:t>. 材料与设备</w:t>
      </w:r>
      <w:bookmarkEnd w:id="210"/>
    </w:p>
    <w:bookmarkEnd w:id="211"/>
    <w:bookmarkEnd w:id="212"/>
    <w:bookmarkEnd w:id="213"/>
    <w:p w14:paraId="0C352008">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14" w:name="_Toc351203553"/>
      <w:r>
        <w:rPr>
          <w:rFonts w:hint="eastAsia" w:ascii="宋体" w:hAnsi="宋体" w:eastAsia="宋体" w:cs="宋体"/>
          <w:color w:val="auto"/>
          <w:kern w:val="0"/>
          <w:sz w:val="21"/>
          <w:szCs w:val="21"/>
          <w:highlight w:val="none"/>
        </w:rPr>
        <w:t>8</w:t>
      </w:r>
      <w:bookmarkStart w:id="215" w:name="_Toc296346560"/>
      <w:bookmarkStart w:id="216" w:name="_Toc296503059"/>
      <w:bookmarkStart w:id="217" w:name="_Toc337558777"/>
      <w:bookmarkStart w:id="218" w:name="_Toc468936960"/>
      <w:r>
        <w:rPr>
          <w:rFonts w:hint="eastAsia" w:ascii="宋体" w:hAnsi="宋体" w:eastAsia="宋体" w:cs="宋体"/>
          <w:color w:val="auto"/>
          <w:kern w:val="0"/>
          <w:sz w:val="21"/>
          <w:szCs w:val="21"/>
          <w:highlight w:val="none"/>
        </w:rPr>
        <w:t>.1发包人供应材料与工程设备</w:t>
      </w:r>
      <w:bookmarkEnd w:id="214"/>
    </w:p>
    <w:bookmarkEnd w:id="215"/>
    <w:bookmarkEnd w:id="216"/>
    <w:bookmarkEnd w:id="217"/>
    <w:p w14:paraId="55F185E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发包人自行供应材料、工程设备的，应在签订合同时在专用合同条款的附件《发包人供应材料设备一览表》中明确材料、工程设备的品种、规格、型号、数量、单价、质量等级和送达地点。</w:t>
      </w:r>
    </w:p>
    <w:p w14:paraId="48456F1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0DDE86E1">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19" w:name="_Toc351203554"/>
      <w:r>
        <w:rPr>
          <w:rFonts w:hint="eastAsia" w:ascii="宋体" w:hAnsi="宋体" w:eastAsia="宋体" w:cs="宋体"/>
          <w:color w:val="auto"/>
          <w:kern w:val="0"/>
          <w:sz w:val="21"/>
          <w:szCs w:val="21"/>
          <w:highlight w:val="none"/>
        </w:rPr>
        <w:t>8</w:t>
      </w:r>
      <w:bookmarkStart w:id="220" w:name="_Toc296503060"/>
      <w:bookmarkStart w:id="221" w:name="_Toc337558778"/>
      <w:bookmarkStart w:id="222" w:name="_Toc296346561"/>
      <w:r>
        <w:rPr>
          <w:rFonts w:hint="eastAsia" w:ascii="宋体" w:hAnsi="宋体" w:eastAsia="宋体" w:cs="宋体"/>
          <w:color w:val="auto"/>
          <w:kern w:val="0"/>
          <w:sz w:val="21"/>
          <w:szCs w:val="21"/>
          <w:highlight w:val="none"/>
        </w:rPr>
        <w:t>.2承包人采购材料与工程设备</w:t>
      </w:r>
      <w:bookmarkEnd w:id="219"/>
    </w:p>
    <w:bookmarkEnd w:id="220"/>
    <w:bookmarkEnd w:id="221"/>
    <w:bookmarkEnd w:id="222"/>
    <w:p w14:paraId="6F34079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30D3D4BE">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23" w:name="_Toc351203555"/>
      <w:r>
        <w:rPr>
          <w:rFonts w:hint="eastAsia" w:ascii="宋体" w:hAnsi="宋体" w:eastAsia="宋体" w:cs="宋体"/>
          <w:color w:val="auto"/>
          <w:kern w:val="0"/>
          <w:sz w:val="21"/>
          <w:szCs w:val="21"/>
          <w:highlight w:val="none"/>
        </w:rPr>
        <w:t>8</w:t>
      </w:r>
      <w:bookmarkStart w:id="224" w:name="_Toc296346562"/>
      <w:bookmarkStart w:id="225" w:name="_Toc337558779"/>
      <w:bookmarkStart w:id="226" w:name="_Toc296503061"/>
      <w:r>
        <w:rPr>
          <w:rFonts w:hint="eastAsia" w:ascii="宋体" w:hAnsi="宋体" w:eastAsia="宋体" w:cs="宋体"/>
          <w:color w:val="auto"/>
          <w:kern w:val="0"/>
          <w:sz w:val="21"/>
          <w:szCs w:val="21"/>
          <w:highlight w:val="none"/>
        </w:rPr>
        <w:t>.3材料与工程设备的接收与拒收</w:t>
      </w:r>
      <w:bookmarkEnd w:id="223"/>
    </w:p>
    <w:bookmarkEnd w:id="224"/>
    <w:bookmarkEnd w:id="225"/>
    <w:bookmarkEnd w:id="226"/>
    <w:p w14:paraId="567043D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2A59FE5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发包人提供的材料和工程设备的规格、数量或质量不符合合同约定的，或因发包人原因导致交货日期延误或交货地点变更等情况的，按照第16.1款〔发包人违约〕约定办理。</w:t>
      </w:r>
    </w:p>
    <w:p w14:paraId="7F05251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8.3.2 承包人采购的材料和工程设备，应保证产品质量合格，承包人应在材料和工程设备到货前24小时通知监理人检验。承</w:t>
      </w:r>
      <w:bookmarkStart w:id="227" w:name="_Toc250655469"/>
      <w:r>
        <w:rPr>
          <w:rFonts w:hint="eastAsia" w:ascii="宋体" w:hAnsi="宋体" w:eastAsia="宋体" w:cs="宋体"/>
          <w:color w:val="auto"/>
          <w:kern w:val="0"/>
          <w:sz w:val="21"/>
          <w:szCs w:val="21"/>
          <w:highlight w:val="none"/>
        </w:rPr>
        <w:t>包人进行永久设备、材料的制造和生产的，应符合相关质量标准，并向监理人提交材料的样本以及有关资料，并应在使用该材料或工程设备之前获得监理人同意。</w:t>
      </w:r>
    </w:p>
    <w:bookmarkEnd w:id="227"/>
    <w:p w14:paraId="2475C47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315" w:firstLineChars="15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423294CE">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28" w:name="_Toc351203556"/>
      <w:r>
        <w:rPr>
          <w:rFonts w:hint="eastAsia" w:ascii="宋体" w:hAnsi="宋体" w:eastAsia="宋体" w:cs="宋体"/>
          <w:color w:val="auto"/>
          <w:kern w:val="0"/>
          <w:sz w:val="21"/>
          <w:szCs w:val="21"/>
          <w:highlight w:val="none"/>
        </w:rPr>
        <w:t>8</w:t>
      </w:r>
      <w:bookmarkStart w:id="229" w:name="_Toc296346563"/>
      <w:bookmarkStart w:id="230" w:name="_Toc296503062"/>
      <w:bookmarkStart w:id="231" w:name="_Toc337558780"/>
      <w:r>
        <w:rPr>
          <w:rFonts w:hint="eastAsia" w:ascii="宋体" w:hAnsi="宋体" w:eastAsia="宋体" w:cs="宋体"/>
          <w:color w:val="auto"/>
          <w:kern w:val="0"/>
          <w:sz w:val="21"/>
          <w:szCs w:val="21"/>
          <w:highlight w:val="none"/>
        </w:rPr>
        <w:t>.4材料与工程设备的保管与使用</w:t>
      </w:r>
      <w:bookmarkEnd w:id="228"/>
    </w:p>
    <w:bookmarkEnd w:id="229"/>
    <w:bookmarkEnd w:id="230"/>
    <w:bookmarkEnd w:id="231"/>
    <w:p w14:paraId="5BC5FCF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8.4.1 发包人供应</w:t>
      </w:r>
      <w:r>
        <w:rPr>
          <w:rFonts w:hint="eastAsia" w:ascii="宋体" w:hAnsi="宋体" w:eastAsia="宋体" w:cs="宋体"/>
          <w:color w:val="auto"/>
          <w:sz w:val="21"/>
          <w:szCs w:val="21"/>
          <w:highlight w:val="none"/>
        </w:rPr>
        <w:t>材料与</w:t>
      </w:r>
      <w:r>
        <w:rPr>
          <w:rFonts w:hint="eastAsia" w:ascii="宋体" w:hAnsi="宋体" w:eastAsia="宋体" w:cs="宋体"/>
          <w:color w:val="auto"/>
          <w:kern w:val="0"/>
          <w:sz w:val="21"/>
          <w:szCs w:val="21"/>
          <w:highlight w:val="none"/>
        </w:rPr>
        <w:t>工程</w:t>
      </w:r>
      <w:r>
        <w:rPr>
          <w:rFonts w:hint="eastAsia" w:ascii="宋体" w:hAnsi="宋体" w:eastAsia="宋体" w:cs="宋体"/>
          <w:color w:val="auto"/>
          <w:sz w:val="21"/>
          <w:szCs w:val="21"/>
          <w:highlight w:val="none"/>
        </w:rPr>
        <w:t>设备的保管与使用</w:t>
      </w:r>
    </w:p>
    <w:p w14:paraId="34FDFBA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36D0A2D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发包人供应的材料和工程设备使用前，由承包人负责检验，检验费用由发包人承担，不合格的不得使用。</w:t>
      </w:r>
    </w:p>
    <w:p w14:paraId="77EDC90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8.4.2 承包人采购</w:t>
      </w:r>
      <w:r>
        <w:rPr>
          <w:rFonts w:hint="eastAsia" w:ascii="宋体" w:hAnsi="宋体" w:eastAsia="宋体" w:cs="宋体"/>
          <w:color w:val="auto"/>
          <w:sz w:val="21"/>
          <w:szCs w:val="21"/>
          <w:highlight w:val="none"/>
        </w:rPr>
        <w:t>材料与</w:t>
      </w:r>
      <w:r>
        <w:rPr>
          <w:rFonts w:hint="eastAsia" w:ascii="宋体" w:hAnsi="宋体" w:eastAsia="宋体" w:cs="宋体"/>
          <w:color w:val="auto"/>
          <w:kern w:val="0"/>
          <w:sz w:val="21"/>
          <w:szCs w:val="21"/>
          <w:highlight w:val="none"/>
        </w:rPr>
        <w:t>工程</w:t>
      </w:r>
      <w:r>
        <w:rPr>
          <w:rFonts w:hint="eastAsia" w:ascii="宋体" w:hAnsi="宋体" w:eastAsia="宋体" w:cs="宋体"/>
          <w:color w:val="auto"/>
          <w:sz w:val="21"/>
          <w:szCs w:val="21"/>
          <w:highlight w:val="none"/>
        </w:rPr>
        <w:t>设备的保管与使用</w:t>
      </w:r>
    </w:p>
    <w:p w14:paraId="6A4089B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7C03283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发包人或监理人发现承包人使用不符合设计或有关标准要求的材料和工程设备时，有权要求承包人进行修复、拆除或重新采购，由此增加的费用和（或）延误的工期，由承包人承担。</w:t>
      </w:r>
    </w:p>
    <w:p w14:paraId="3D8974AC">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32" w:name="_Toc351203557"/>
      <w:r>
        <w:rPr>
          <w:rFonts w:hint="eastAsia" w:ascii="宋体" w:hAnsi="宋体" w:eastAsia="宋体" w:cs="宋体"/>
          <w:color w:val="auto"/>
          <w:kern w:val="0"/>
          <w:sz w:val="21"/>
          <w:szCs w:val="21"/>
          <w:highlight w:val="none"/>
        </w:rPr>
        <w:t>8.5禁止使用不合格的材料和工程设备</w:t>
      </w:r>
      <w:bookmarkEnd w:id="232"/>
    </w:p>
    <w:p w14:paraId="6E88BCA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8.5.1 监理人有权拒绝承包人提供的不合格材料或工程设备，并要求承包人立即进行更换。监理人应在更换后再次进行检查和检验，由此增加的费用和（或）延误的工期由承包人承担。</w:t>
      </w:r>
    </w:p>
    <w:p w14:paraId="4CC0170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8.5.2 监理人发现承包人使用了不合格的材料和工程设备，承包人应按照监理人的指示立即改正，并禁止在工程中继续使用不合格的材料和工程设备。</w:t>
      </w:r>
    </w:p>
    <w:p w14:paraId="1DD8FB3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8.5.3 发包人提供的材料或工程设备不符合合同要求的，承包人有权拒绝，并可要求发包人更换，由此增加的费用和（或）延误的工期由发包人承担，并支付承包人合理的利润。</w:t>
      </w:r>
    </w:p>
    <w:p w14:paraId="311953AD">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33" w:name="_Toc351203558"/>
      <w:r>
        <w:rPr>
          <w:rFonts w:hint="eastAsia" w:ascii="宋体" w:hAnsi="宋体" w:eastAsia="宋体" w:cs="宋体"/>
          <w:color w:val="auto"/>
          <w:kern w:val="0"/>
          <w:sz w:val="21"/>
          <w:szCs w:val="21"/>
          <w:highlight w:val="none"/>
        </w:rPr>
        <w:t>8.6 样品</w:t>
      </w:r>
      <w:bookmarkEnd w:id="233"/>
    </w:p>
    <w:p w14:paraId="761E3B1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8.6.1</w:t>
      </w: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样品的报送与封存</w:t>
      </w:r>
    </w:p>
    <w:p w14:paraId="165F202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需要承包人报送样品的材料或工程设备，样品的种类、名称、规格、数量等要求均应在专用合同条款中约定。样品的报送程序如下：</w:t>
      </w:r>
    </w:p>
    <w:p w14:paraId="346DF75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0F32DC0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68837DC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（3）经发包人和监理人审批确认的样品应按约定的方法封样，封存的样品作为检验工程相关部分的标准之一。承包人在施工过程中不得使用与样品不符的材料或工程设备。</w:t>
      </w:r>
    </w:p>
    <w:p w14:paraId="6565D5B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29DE446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8.6.2 样品的保管</w:t>
      </w:r>
    </w:p>
    <w:p w14:paraId="79A1276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经批准的样品应由监理人负责封存于现场，承包人应在现场为保存样品提供适当和固定的场所并保持适当和良好的存储环境条件。</w:t>
      </w:r>
    </w:p>
    <w:p w14:paraId="231CBB5E">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34" w:name="_Toc351203559"/>
      <w:r>
        <w:rPr>
          <w:rFonts w:hint="eastAsia" w:ascii="宋体" w:hAnsi="宋体" w:eastAsia="宋体" w:cs="宋体"/>
          <w:color w:val="auto"/>
          <w:kern w:val="0"/>
          <w:sz w:val="21"/>
          <w:szCs w:val="21"/>
          <w:highlight w:val="none"/>
        </w:rPr>
        <w:t>8.7材料与工程设备的替代</w:t>
      </w:r>
      <w:bookmarkEnd w:id="234"/>
    </w:p>
    <w:p w14:paraId="55B7D9A2">
      <w:pPr>
        <w:keepNext w:val="0"/>
        <w:keepLines w:val="0"/>
        <w:pageBreakBefore w:val="0"/>
        <w:widowControl w:val="0"/>
        <w:shd w:val="clear" w:color="auto" w:fill="auto"/>
        <w:kinsoku/>
        <w:wordWrap/>
        <w:overflowPunct/>
        <w:topLinePunct w:val="0"/>
        <w:bidi w:val="0"/>
        <w:adjustRightInd w:val="0"/>
        <w:snapToGri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8.7.1 出现下列情况需要使用替代材料和工程设备的，承包人应按照第8.7.2项约定的程序执行： </w:t>
      </w:r>
    </w:p>
    <w:p w14:paraId="723EBFB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（1）基准日期后生效的法律规定禁止使用的；</w:t>
      </w:r>
    </w:p>
    <w:p w14:paraId="2F074E6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（2）发包人要求使用替代品的；</w:t>
      </w:r>
    </w:p>
    <w:p w14:paraId="49C6E97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（3）因其他原因必须使用替代品的。</w:t>
      </w:r>
    </w:p>
    <w:p w14:paraId="0580E6D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8.7.2 承包人应在使用替代材料和工程设备28天前书面通知监理人，并附下列文件：</w:t>
      </w:r>
    </w:p>
    <w:p w14:paraId="0787B62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（1）被替代的材料和工程设备的名称、数量、规格、型号、品牌、性能、价格及其他相关资料；</w:t>
      </w:r>
    </w:p>
    <w:p w14:paraId="613AB79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（2）替代品的名称、数量、规格、型号、品牌、性能、价格及其他相关资料；</w:t>
      </w:r>
    </w:p>
    <w:p w14:paraId="65E0608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（3）替代品与被替代产品之间的差异以及使用替代品可能对工程产生的影响；</w:t>
      </w:r>
    </w:p>
    <w:p w14:paraId="0ACE7D9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（4）替代品与被替代产品的价格差异；</w:t>
      </w:r>
    </w:p>
    <w:p w14:paraId="1F3E8EB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（5）使用替代品的理由和原因说明；</w:t>
      </w:r>
    </w:p>
    <w:p w14:paraId="1E6F6EB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（6）监理人要求的其他文件。</w:t>
      </w:r>
    </w:p>
    <w:p w14:paraId="4E3B0E8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监理人应在收到通知后14天内向承包人发出经发包人签认的书面指示；监理人逾期发出书面指示的，视为发包人和监理人同意使用替代品。</w:t>
      </w:r>
    </w:p>
    <w:p w14:paraId="551FD32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192CE410">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35" w:name="_Toc351203560"/>
      <w:r>
        <w:rPr>
          <w:rFonts w:hint="eastAsia" w:ascii="宋体" w:hAnsi="宋体" w:eastAsia="宋体" w:cs="宋体"/>
          <w:color w:val="auto"/>
          <w:kern w:val="0"/>
          <w:sz w:val="21"/>
          <w:szCs w:val="21"/>
          <w:highlight w:val="none"/>
        </w:rPr>
        <w:t>8.8施工设备和临时设施</w:t>
      </w:r>
      <w:bookmarkEnd w:id="235"/>
    </w:p>
    <w:p w14:paraId="687EBF9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8.8.1 承包人提供的施工设备和临时设施</w:t>
      </w:r>
    </w:p>
    <w:p w14:paraId="600148A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704A925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除专用合同条款另有约定外，承包人应自行承担修建临时设施的费用，需要临时占地的，应由发包人办理申请手续并承担相应费用。</w:t>
      </w:r>
    </w:p>
    <w:p w14:paraId="4F5569C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8.8.2发包人提供的施工设备和临时设施</w:t>
      </w:r>
    </w:p>
    <w:p w14:paraId="34A2D65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发包人提供的施工设备或临时设施在专用合同条款中约定。</w:t>
      </w:r>
    </w:p>
    <w:p w14:paraId="54E23EA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8.8.3要求承包人增加或更换施工设备</w:t>
      </w:r>
    </w:p>
    <w:p w14:paraId="3F02B69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3A7E0B45">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36" w:name="_Toc351203561"/>
      <w:r>
        <w:rPr>
          <w:rFonts w:hint="eastAsia" w:ascii="宋体" w:hAnsi="宋体" w:eastAsia="宋体" w:cs="宋体"/>
          <w:color w:val="auto"/>
          <w:kern w:val="0"/>
          <w:sz w:val="21"/>
          <w:szCs w:val="21"/>
          <w:highlight w:val="none"/>
        </w:rPr>
        <w:t>8</w:t>
      </w:r>
      <w:bookmarkStart w:id="237" w:name="_Toc296503063"/>
      <w:bookmarkStart w:id="238" w:name="_Toc296346564"/>
      <w:bookmarkStart w:id="239" w:name="_Toc337558781"/>
      <w:r>
        <w:rPr>
          <w:rFonts w:hint="eastAsia" w:ascii="宋体" w:hAnsi="宋体" w:eastAsia="宋体" w:cs="宋体"/>
          <w:color w:val="auto"/>
          <w:kern w:val="0"/>
          <w:sz w:val="21"/>
          <w:szCs w:val="21"/>
          <w:highlight w:val="none"/>
        </w:rPr>
        <w:t>.9材料与设备专用</w:t>
      </w:r>
      <w:bookmarkEnd w:id="236"/>
      <w:r>
        <w:rPr>
          <w:rFonts w:hint="eastAsia" w:ascii="宋体" w:hAnsi="宋体" w:eastAsia="宋体" w:cs="宋体"/>
          <w:color w:val="auto"/>
          <w:kern w:val="0"/>
          <w:sz w:val="21"/>
          <w:szCs w:val="21"/>
          <w:highlight w:val="none"/>
        </w:rPr>
        <w:t>要求</w:t>
      </w:r>
    </w:p>
    <w:bookmarkEnd w:id="237"/>
    <w:bookmarkEnd w:id="238"/>
    <w:bookmarkEnd w:id="239"/>
    <w:p w14:paraId="2404B11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218"/>
      <w:r>
        <w:rPr>
          <w:rFonts w:hint="eastAsia" w:ascii="宋体" w:hAnsi="宋体" w:eastAsia="宋体" w:cs="宋体"/>
          <w:color w:val="auto"/>
          <w:kern w:val="0"/>
          <w:sz w:val="21"/>
          <w:szCs w:val="21"/>
          <w:highlight w:val="none"/>
        </w:rPr>
        <w:t>经发包人批准，承包人可以根据施工进度计划撤走闲置的施工设备和其他物品。</w:t>
      </w:r>
    </w:p>
    <w:p w14:paraId="591EB9CE">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40" w:name="_Toc351203562"/>
      <w:r>
        <w:rPr>
          <w:rFonts w:hint="eastAsia" w:ascii="宋体" w:hAnsi="宋体" w:eastAsia="宋体" w:cs="宋体"/>
          <w:color w:val="auto"/>
          <w:kern w:val="0"/>
          <w:sz w:val="21"/>
          <w:szCs w:val="21"/>
          <w:highlight w:val="none"/>
        </w:rPr>
        <w:t>9</w:t>
      </w:r>
      <w:bookmarkStart w:id="241" w:name="_Toc337558782"/>
      <w:bookmarkStart w:id="242" w:name="_Toc296346584"/>
      <w:bookmarkStart w:id="243" w:name="_Toc296503083"/>
      <w:r>
        <w:rPr>
          <w:rFonts w:hint="eastAsia" w:ascii="宋体" w:hAnsi="宋体" w:eastAsia="宋体" w:cs="宋体"/>
          <w:color w:val="auto"/>
          <w:kern w:val="0"/>
          <w:sz w:val="21"/>
          <w:szCs w:val="21"/>
          <w:highlight w:val="none"/>
        </w:rPr>
        <w:t>. 试验与检验</w:t>
      </w:r>
      <w:bookmarkEnd w:id="240"/>
    </w:p>
    <w:bookmarkEnd w:id="241"/>
    <w:p w14:paraId="08F09CBF">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44" w:name="_Toc351203563"/>
      <w:r>
        <w:rPr>
          <w:rFonts w:hint="eastAsia" w:ascii="宋体" w:hAnsi="宋体" w:eastAsia="宋体" w:cs="宋体"/>
          <w:color w:val="auto"/>
          <w:kern w:val="0"/>
          <w:sz w:val="21"/>
          <w:szCs w:val="21"/>
          <w:highlight w:val="none"/>
        </w:rPr>
        <w:t>9</w:t>
      </w:r>
      <w:bookmarkStart w:id="245" w:name="_Toc337558783"/>
      <w:r>
        <w:rPr>
          <w:rFonts w:hint="eastAsia" w:ascii="宋体" w:hAnsi="宋体" w:eastAsia="宋体" w:cs="宋体"/>
          <w:color w:val="auto"/>
          <w:kern w:val="0"/>
          <w:sz w:val="21"/>
          <w:szCs w:val="21"/>
          <w:highlight w:val="none"/>
        </w:rPr>
        <w:t>.1试验设备与试验人员</w:t>
      </w:r>
      <w:bookmarkEnd w:id="244"/>
    </w:p>
    <w:bookmarkEnd w:id="245"/>
    <w:p w14:paraId="6E4A389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3E33CCD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9.1.2 承包人应按专用合同条款的约定提供试验设备、取样装置、试验场所和试验条件，并向监理人提交相应进场计划表。</w:t>
      </w:r>
    </w:p>
    <w:p w14:paraId="1FE0A57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承包人配置的试验设备要符合相应试验规程的要求并经过具有资质的检测单位检测，且在正式使用该试验设备前，需要经过监理人与承包人共同校定。</w:t>
      </w:r>
    </w:p>
    <w:p w14:paraId="4084BB7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9.1.3 承包人应向监理人提交试验人员的名单及其岗位、资格等证明资料，试验人员必须能够熟练进行相应的检测试验，承包人对试验人员的试验程序和试验结果的正确性负责。</w:t>
      </w:r>
    </w:p>
    <w:p w14:paraId="13DE4EC1">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46" w:name="_Toc351203564"/>
      <w:r>
        <w:rPr>
          <w:rFonts w:hint="eastAsia" w:ascii="宋体" w:hAnsi="宋体" w:eastAsia="宋体" w:cs="宋体"/>
          <w:color w:val="auto"/>
          <w:kern w:val="0"/>
          <w:sz w:val="21"/>
          <w:szCs w:val="21"/>
          <w:highlight w:val="none"/>
        </w:rPr>
        <w:t>9</w:t>
      </w:r>
      <w:bookmarkStart w:id="247" w:name="_Toc337558784"/>
      <w:r>
        <w:rPr>
          <w:rFonts w:hint="eastAsia" w:ascii="宋体" w:hAnsi="宋体" w:eastAsia="宋体" w:cs="宋体"/>
          <w:color w:val="auto"/>
          <w:kern w:val="0"/>
          <w:sz w:val="21"/>
          <w:szCs w:val="21"/>
          <w:highlight w:val="none"/>
        </w:rPr>
        <w:t>.2取样</w:t>
      </w:r>
      <w:bookmarkEnd w:id="246"/>
    </w:p>
    <w:bookmarkEnd w:id="247"/>
    <w:p w14:paraId="6ED2491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试验属于自检性质的，承包人可以单独取样。试验属于监理人抽检性质的，可由监理人取样，也可由承包人的试验人员在监理人的监督下取样。</w:t>
      </w:r>
    </w:p>
    <w:p w14:paraId="13C172AE">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9.3材料、工程设备和工程的试验和检验</w:t>
      </w:r>
    </w:p>
    <w:p w14:paraId="56D5716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0EF4F36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1ECE1F1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4A1C1221">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48" w:name="_Toc351203566"/>
      <w:r>
        <w:rPr>
          <w:rFonts w:hint="eastAsia" w:ascii="宋体" w:hAnsi="宋体" w:eastAsia="宋体" w:cs="宋体"/>
          <w:color w:val="auto"/>
          <w:kern w:val="0"/>
          <w:sz w:val="21"/>
          <w:szCs w:val="21"/>
          <w:highlight w:val="none"/>
        </w:rPr>
        <w:t>9</w:t>
      </w:r>
      <w:bookmarkStart w:id="249" w:name="_Toc337558786"/>
      <w:r>
        <w:rPr>
          <w:rFonts w:hint="eastAsia" w:ascii="宋体" w:hAnsi="宋体" w:eastAsia="宋体" w:cs="宋体"/>
          <w:color w:val="auto"/>
          <w:kern w:val="0"/>
          <w:sz w:val="21"/>
          <w:szCs w:val="21"/>
          <w:highlight w:val="none"/>
        </w:rPr>
        <w:t>.4现场工艺试验</w:t>
      </w:r>
      <w:bookmarkEnd w:id="248"/>
    </w:p>
    <w:bookmarkEnd w:id="249"/>
    <w:p w14:paraId="68DE229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承包人应按合同约定或监理人指示进行现场工艺试验。对大型的现场工艺试验，监理人认为必要时，承包人应根据监理人提出的工艺试验要求，编制工艺试验措施计划，报送监理人审查。</w:t>
      </w:r>
    </w:p>
    <w:p w14:paraId="238391DC">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50" w:name="_Toc351203567"/>
      <w:r>
        <w:rPr>
          <w:rFonts w:hint="eastAsia" w:ascii="宋体" w:hAnsi="宋体" w:eastAsia="宋体" w:cs="宋体"/>
          <w:color w:val="auto"/>
          <w:kern w:val="0"/>
          <w:sz w:val="21"/>
          <w:szCs w:val="21"/>
          <w:highlight w:val="none"/>
        </w:rPr>
        <w:t>1</w:t>
      </w:r>
      <w:bookmarkStart w:id="251" w:name="_Toc337558787"/>
      <w:r>
        <w:rPr>
          <w:rFonts w:hint="eastAsia" w:ascii="宋体" w:hAnsi="宋体" w:eastAsia="宋体" w:cs="宋体"/>
          <w:color w:val="auto"/>
          <w:kern w:val="0"/>
          <w:sz w:val="21"/>
          <w:szCs w:val="21"/>
          <w:highlight w:val="none"/>
        </w:rPr>
        <w:t>0. 变更</w:t>
      </w:r>
      <w:bookmarkEnd w:id="242"/>
      <w:bookmarkEnd w:id="243"/>
      <w:bookmarkEnd w:id="250"/>
    </w:p>
    <w:bookmarkEnd w:id="251"/>
    <w:p w14:paraId="47BA7ADE">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52" w:name="_Toc351203568"/>
      <w:r>
        <w:rPr>
          <w:rFonts w:hint="eastAsia" w:ascii="宋体" w:hAnsi="宋体" w:eastAsia="宋体" w:cs="宋体"/>
          <w:color w:val="auto"/>
          <w:kern w:val="0"/>
          <w:sz w:val="21"/>
          <w:szCs w:val="21"/>
          <w:highlight w:val="none"/>
        </w:rPr>
        <w:t>1</w:t>
      </w:r>
      <w:bookmarkStart w:id="253" w:name="_Toc296346585"/>
      <w:bookmarkStart w:id="254" w:name="_Toc337558788"/>
      <w:bookmarkStart w:id="255" w:name="_Toc296503084"/>
      <w:r>
        <w:rPr>
          <w:rFonts w:hint="eastAsia" w:ascii="宋体" w:hAnsi="宋体" w:eastAsia="宋体" w:cs="宋体"/>
          <w:color w:val="auto"/>
          <w:kern w:val="0"/>
          <w:sz w:val="21"/>
          <w:szCs w:val="21"/>
          <w:highlight w:val="none"/>
        </w:rPr>
        <w:t>0.1变更的范围</w:t>
      </w:r>
      <w:bookmarkEnd w:id="252"/>
    </w:p>
    <w:bookmarkEnd w:id="253"/>
    <w:bookmarkEnd w:id="254"/>
    <w:bookmarkEnd w:id="255"/>
    <w:p w14:paraId="0A29767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除专用合同条款另有约定外，合同履行过程中发生以下情形的，应按照本条约定进行变更：</w:t>
      </w:r>
    </w:p>
    <w:p w14:paraId="576BE66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（1）增加或减少合同中任何工作，或追加额外的工作；</w:t>
      </w:r>
    </w:p>
    <w:p w14:paraId="72494B9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（2）取消合同中任何工作，但转由他人实施的工作除外；</w:t>
      </w:r>
    </w:p>
    <w:p w14:paraId="1744075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（3）改变合同中任何工作的质量标准或其他特性；</w:t>
      </w:r>
    </w:p>
    <w:p w14:paraId="1ABFB98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（4）改变工程的基线、标高、位置和尺寸；</w:t>
      </w:r>
    </w:p>
    <w:p w14:paraId="0528983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（5）改变工程的时间安排或实施顺序。</w:t>
      </w:r>
    </w:p>
    <w:p w14:paraId="3CD62354">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56" w:name="_Toc351203569"/>
      <w:r>
        <w:rPr>
          <w:rFonts w:hint="eastAsia" w:ascii="宋体" w:hAnsi="宋体" w:eastAsia="宋体" w:cs="宋体"/>
          <w:color w:val="auto"/>
          <w:kern w:val="0"/>
          <w:sz w:val="21"/>
          <w:szCs w:val="21"/>
          <w:highlight w:val="none"/>
        </w:rPr>
        <w:t>1</w:t>
      </w:r>
      <w:bookmarkStart w:id="257" w:name="_Toc337558789"/>
      <w:bookmarkStart w:id="258" w:name="_Toc296503085"/>
      <w:bookmarkStart w:id="259" w:name="_Toc296346586"/>
      <w:r>
        <w:rPr>
          <w:rFonts w:hint="eastAsia" w:ascii="宋体" w:hAnsi="宋体" w:eastAsia="宋体" w:cs="宋体"/>
          <w:color w:val="auto"/>
          <w:kern w:val="0"/>
          <w:sz w:val="21"/>
          <w:szCs w:val="21"/>
          <w:highlight w:val="none"/>
        </w:rPr>
        <w:t>0.2变更权</w:t>
      </w:r>
      <w:bookmarkEnd w:id="256"/>
    </w:p>
    <w:bookmarkEnd w:id="257"/>
    <w:bookmarkEnd w:id="258"/>
    <w:bookmarkEnd w:id="259"/>
    <w:p w14:paraId="29DBAB6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2A31C47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涉及设计变更的，应由设计人提供变更后的图纸和说明。如变更超过原设计标准或批准的建设规模时，发包人应及时办理规划、设计变更等审批手续。</w:t>
      </w:r>
    </w:p>
    <w:p w14:paraId="506EDA44">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60" w:name="_Toc351203570"/>
      <w:r>
        <w:rPr>
          <w:rFonts w:hint="eastAsia" w:ascii="宋体" w:hAnsi="宋体" w:eastAsia="宋体" w:cs="宋体"/>
          <w:color w:val="auto"/>
          <w:kern w:val="0"/>
          <w:sz w:val="21"/>
          <w:szCs w:val="21"/>
          <w:highlight w:val="none"/>
        </w:rPr>
        <w:t>1</w:t>
      </w:r>
      <w:bookmarkStart w:id="261" w:name="_Toc296503086"/>
      <w:bookmarkStart w:id="262" w:name="_Toc296346587"/>
      <w:bookmarkStart w:id="263" w:name="_Toc337558790"/>
      <w:r>
        <w:rPr>
          <w:rFonts w:hint="eastAsia" w:ascii="宋体" w:hAnsi="宋体" w:eastAsia="宋体" w:cs="宋体"/>
          <w:color w:val="auto"/>
          <w:kern w:val="0"/>
          <w:sz w:val="21"/>
          <w:szCs w:val="21"/>
          <w:highlight w:val="none"/>
        </w:rPr>
        <w:t>0.3变更程序</w:t>
      </w:r>
      <w:bookmarkEnd w:id="260"/>
    </w:p>
    <w:bookmarkEnd w:id="261"/>
    <w:bookmarkEnd w:id="262"/>
    <w:bookmarkEnd w:id="263"/>
    <w:p w14:paraId="3DAF1A8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10</w:t>
      </w:r>
      <w:r>
        <w:rPr>
          <w:rFonts w:hint="eastAsia" w:ascii="宋体" w:hAnsi="宋体" w:eastAsia="宋体" w:cs="宋体"/>
          <w:color w:val="auto"/>
          <w:kern w:val="0"/>
          <w:sz w:val="21"/>
          <w:szCs w:val="21"/>
          <w:highlight w:val="none"/>
        </w:rPr>
        <w:t>.3.1 发包人提出变更</w:t>
      </w:r>
    </w:p>
    <w:p w14:paraId="5B5F71D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发包人提出变更的，应通过监理人向承包人发出变更指示，变更指示应说明计划变更的工程范围和变更的内容。</w:t>
      </w:r>
    </w:p>
    <w:p w14:paraId="14AA8A2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10</w:t>
      </w:r>
      <w:r>
        <w:rPr>
          <w:rFonts w:hint="eastAsia" w:ascii="宋体" w:hAnsi="宋体" w:eastAsia="宋体" w:cs="宋体"/>
          <w:color w:val="auto"/>
          <w:kern w:val="0"/>
          <w:sz w:val="21"/>
          <w:szCs w:val="21"/>
          <w:highlight w:val="none"/>
        </w:rPr>
        <w:t>.3.2 监理人提出变更建议</w:t>
      </w:r>
    </w:p>
    <w:p w14:paraId="70CB46A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4BD567E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10.3.3 变更执行</w:t>
      </w:r>
    </w:p>
    <w:p w14:paraId="5580A93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6973AF0E">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64" w:name="_Toc351203571"/>
      <w:r>
        <w:rPr>
          <w:rFonts w:hint="eastAsia" w:ascii="宋体" w:hAnsi="宋体" w:eastAsia="宋体" w:cs="宋体"/>
          <w:color w:val="auto"/>
          <w:kern w:val="0"/>
          <w:sz w:val="21"/>
          <w:szCs w:val="21"/>
          <w:highlight w:val="none"/>
        </w:rPr>
        <w:t>1</w:t>
      </w:r>
      <w:bookmarkStart w:id="265" w:name="_Toc337558791"/>
      <w:bookmarkStart w:id="266" w:name="_Toc296346588"/>
      <w:bookmarkStart w:id="267" w:name="_Toc296503087"/>
      <w:r>
        <w:rPr>
          <w:rFonts w:hint="eastAsia" w:ascii="宋体" w:hAnsi="宋体" w:eastAsia="宋体" w:cs="宋体"/>
          <w:color w:val="auto"/>
          <w:kern w:val="0"/>
          <w:sz w:val="21"/>
          <w:szCs w:val="21"/>
          <w:highlight w:val="none"/>
        </w:rPr>
        <w:t>0.4变更估价</w:t>
      </w:r>
      <w:bookmarkEnd w:id="264"/>
    </w:p>
    <w:bookmarkEnd w:id="265"/>
    <w:bookmarkEnd w:id="266"/>
    <w:bookmarkEnd w:id="267"/>
    <w:p w14:paraId="5122FFF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10.4.1 变更估价原则</w:t>
      </w:r>
    </w:p>
    <w:p w14:paraId="2F41B58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除专用合同条款另有约定外，变更估价按照本款约定处理：</w:t>
      </w:r>
    </w:p>
    <w:p w14:paraId="596BC61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（1）已标价工程量清单或预算书有相同项目的，按照相同项目单价认定；</w:t>
      </w:r>
    </w:p>
    <w:p w14:paraId="7BC2A74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（2）已标价工程量清单或预算书中无相同项目，但有类似项目的，参照类似项目的单价认定；</w:t>
      </w:r>
    </w:p>
    <w:p w14:paraId="3D44C81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7CB16DF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10.4.2 变更估价程序</w:t>
      </w:r>
    </w:p>
    <w:p w14:paraId="3C94501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57AF268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因变更引起的价格调整应计入最近一期的进度款中支付。</w:t>
      </w:r>
    </w:p>
    <w:p w14:paraId="08581DA5">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68" w:name="_Toc351203572"/>
      <w:r>
        <w:rPr>
          <w:rFonts w:hint="eastAsia" w:ascii="宋体" w:hAnsi="宋体" w:eastAsia="宋体" w:cs="宋体"/>
          <w:color w:val="auto"/>
          <w:kern w:val="0"/>
          <w:sz w:val="21"/>
          <w:szCs w:val="21"/>
          <w:highlight w:val="none"/>
        </w:rPr>
        <w:t>1</w:t>
      </w:r>
      <w:bookmarkStart w:id="269" w:name="_Toc337558792"/>
      <w:bookmarkStart w:id="270" w:name="_Toc296503094"/>
      <w:bookmarkStart w:id="271" w:name="_Toc296346595"/>
      <w:r>
        <w:rPr>
          <w:rFonts w:hint="eastAsia" w:ascii="宋体" w:hAnsi="宋体" w:eastAsia="宋体" w:cs="宋体"/>
          <w:color w:val="auto"/>
          <w:kern w:val="0"/>
          <w:sz w:val="21"/>
          <w:szCs w:val="21"/>
          <w:highlight w:val="none"/>
        </w:rPr>
        <w:t>0.5承包人的合理化建议</w:t>
      </w:r>
      <w:bookmarkEnd w:id="268"/>
    </w:p>
    <w:bookmarkEnd w:id="269"/>
    <w:bookmarkEnd w:id="270"/>
    <w:bookmarkEnd w:id="271"/>
    <w:p w14:paraId="68142F8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承包人提出合理化建议的，应向监理人提交合理化建议说明，说明建议的内容和理由，以及实施该建议对合同价格和工期的影响。</w:t>
      </w:r>
    </w:p>
    <w:p w14:paraId="4B439C9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1FA76CB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合理化建议降低了合同价格或者提高了工程经济效益的，发包人可对承包人给予奖励，奖励的方法和金额在专用合同条款中约定。</w:t>
      </w:r>
    </w:p>
    <w:p w14:paraId="23DA0023">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72" w:name="_Toc351203573"/>
      <w:r>
        <w:rPr>
          <w:rFonts w:hint="eastAsia" w:ascii="宋体" w:hAnsi="宋体" w:eastAsia="宋体" w:cs="宋体"/>
          <w:color w:val="auto"/>
          <w:kern w:val="0"/>
          <w:sz w:val="21"/>
          <w:szCs w:val="21"/>
          <w:highlight w:val="none"/>
        </w:rPr>
        <w:t>1</w:t>
      </w:r>
      <w:bookmarkStart w:id="273" w:name="_Toc337558793"/>
      <w:r>
        <w:rPr>
          <w:rFonts w:hint="eastAsia" w:ascii="宋体" w:hAnsi="宋体" w:eastAsia="宋体" w:cs="宋体"/>
          <w:color w:val="auto"/>
          <w:kern w:val="0"/>
          <w:sz w:val="21"/>
          <w:szCs w:val="21"/>
          <w:highlight w:val="none"/>
        </w:rPr>
        <w:t>0.6变更引起的工期调整</w:t>
      </w:r>
      <w:bookmarkEnd w:id="272"/>
      <w:r>
        <w:rPr>
          <w:rFonts w:hint="eastAsia" w:ascii="宋体" w:hAnsi="宋体" w:eastAsia="宋体" w:cs="宋体"/>
          <w:color w:val="auto"/>
          <w:kern w:val="0"/>
          <w:sz w:val="21"/>
          <w:szCs w:val="21"/>
          <w:highlight w:val="none"/>
        </w:rPr>
        <w:t xml:space="preserve"> </w:t>
      </w:r>
      <w:bookmarkEnd w:id="273"/>
      <w:r>
        <w:rPr>
          <w:rFonts w:hint="eastAsia" w:ascii="宋体" w:hAnsi="宋体" w:eastAsia="宋体" w:cs="宋体"/>
          <w:color w:val="auto"/>
          <w:kern w:val="0"/>
          <w:sz w:val="21"/>
          <w:szCs w:val="21"/>
          <w:highlight w:val="none"/>
        </w:rPr>
        <w:t xml:space="preserve">  </w:t>
      </w:r>
    </w:p>
    <w:p w14:paraId="0778F5E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因变更引起工期变化的，合同当事人均可要求调整合同工期，由合同当事人按照第4.4款〔商定或确定〕并参考工程所在地的工期定额标准确定增减工期天数。</w:t>
      </w:r>
    </w:p>
    <w:p w14:paraId="01BA1D3C">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74" w:name="_Toc351203574"/>
      <w:r>
        <w:rPr>
          <w:rFonts w:hint="eastAsia" w:ascii="宋体" w:hAnsi="宋体" w:eastAsia="宋体" w:cs="宋体"/>
          <w:color w:val="auto"/>
          <w:kern w:val="0"/>
          <w:sz w:val="21"/>
          <w:szCs w:val="21"/>
          <w:highlight w:val="none"/>
        </w:rPr>
        <w:t>10.7暂估价</w:t>
      </w:r>
      <w:bookmarkEnd w:id="274"/>
    </w:p>
    <w:p w14:paraId="2C9EE0B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暂估价专业分包工程、服务、材料和工程设备的明细由合同当事人在专用合同条款中约定。</w:t>
      </w:r>
    </w:p>
    <w:p w14:paraId="6E22A20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10.7.1</w:t>
      </w:r>
      <w:r>
        <w:rPr>
          <w:rFonts w:hint="eastAsia" w:ascii="宋体" w:hAnsi="宋体" w:eastAsia="宋体" w:cs="宋体"/>
          <w:color w:val="auto"/>
          <w:kern w:val="0"/>
          <w:sz w:val="21"/>
          <w:szCs w:val="21"/>
          <w:highlight w:val="none"/>
        </w:rPr>
        <w:t xml:space="preserve"> 依法必须招标的暂估价项目</w:t>
      </w:r>
    </w:p>
    <w:p w14:paraId="23120D3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对于依法必须招标的暂估价项目，采取以下第1种方式确定。合同当事人也可以在专用合同条款中选择其他招标方式。</w:t>
      </w:r>
    </w:p>
    <w:p w14:paraId="5C59BFA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第1种方式：对于依法必须招标的暂估价项目，由承包人招标，对该暂估价项目的确认和批准按照以下约定执行：</w:t>
      </w:r>
    </w:p>
    <w:p w14:paraId="531987E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38382FF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05699872">
      <w:pPr>
        <w:keepNext w:val="0"/>
        <w:keepLines w:val="0"/>
        <w:pageBreakBefore w:val="0"/>
        <w:widowControl w:val="0"/>
        <w:shd w:val="clear" w:color="auto" w:fill="auto"/>
        <w:kinsoku/>
        <w:wordWrap/>
        <w:overflowPunct/>
        <w:topLinePunct w:val="0"/>
        <w:bidi w:val="0"/>
        <w:spacing w:line="360" w:lineRule="auto"/>
        <w:ind w:left="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3C299C6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6C94904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10.7.2</w:t>
      </w:r>
      <w:r>
        <w:rPr>
          <w:rFonts w:hint="eastAsia" w:ascii="宋体" w:hAnsi="宋体" w:eastAsia="宋体" w:cs="宋体"/>
          <w:color w:val="auto"/>
          <w:kern w:val="0"/>
          <w:sz w:val="21"/>
          <w:szCs w:val="21"/>
          <w:highlight w:val="none"/>
        </w:rPr>
        <w:t>不属于依法必须招标的暂估价项目</w:t>
      </w:r>
    </w:p>
    <w:p w14:paraId="3A011BC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除专用合同条款另有约定外，对于不属于依法必须招标的暂估价项目，采取以下第1种方式确定： </w:t>
      </w:r>
    </w:p>
    <w:p w14:paraId="7F66047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第1种方式：对于不属于依法必须招标的暂估价项目，按本项约定确认和批准：</w:t>
      </w:r>
    </w:p>
    <w:p w14:paraId="083E2A2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4F3C33D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（2）发包人认为承包人确定的供应商、分包人无法满足工程质量或合同要求的，发包人可以要求承包人重新确定暂估价项目的供应商、分包人;</w:t>
      </w:r>
    </w:p>
    <w:p w14:paraId="746483C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（3）承包人应当在签订暂估价合同后7天内，将暂估价合同副本报送发包人留存。</w:t>
      </w:r>
    </w:p>
    <w:p w14:paraId="00784FE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第2种方式：承包人按照第10.7.1项〔依法必须招标的暂估价项目〕约定的第1种方式确定暂估价项目。</w:t>
      </w:r>
    </w:p>
    <w:p w14:paraId="74B8E17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第3种方式：</w:t>
      </w:r>
      <w:r>
        <w:rPr>
          <w:rFonts w:hint="eastAsia" w:ascii="宋体" w:hAnsi="宋体" w:eastAsia="宋体" w:cs="宋体"/>
          <w:color w:val="auto"/>
          <w:kern w:val="0"/>
          <w:sz w:val="21"/>
          <w:szCs w:val="21"/>
          <w:highlight w:val="none"/>
        </w:rPr>
        <w:t>承包人直接实施的暂估价项目</w:t>
      </w:r>
    </w:p>
    <w:p w14:paraId="09E02DE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承包人具备实施暂估价项目的资格和条件的，经发包人和承包人协商一致后，可由承包人自行实施暂估价项目，合同当事人可以在专用合同条款约定具体事项。</w:t>
      </w:r>
    </w:p>
    <w:p w14:paraId="5AD9665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6FF7F198">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75" w:name="_Toc351203575"/>
      <w:r>
        <w:rPr>
          <w:rFonts w:hint="eastAsia" w:ascii="宋体" w:hAnsi="宋体" w:eastAsia="宋体" w:cs="宋体"/>
          <w:color w:val="auto"/>
          <w:kern w:val="0"/>
          <w:sz w:val="21"/>
          <w:szCs w:val="21"/>
          <w:highlight w:val="none"/>
        </w:rPr>
        <w:t>1</w:t>
      </w:r>
      <w:bookmarkStart w:id="276" w:name="_Toc337558794"/>
      <w:bookmarkStart w:id="277" w:name="_Toc322522561"/>
      <w:bookmarkStart w:id="278" w:name="_Toc296503090"/>
      <w:bookmarkStart w:id="279" w:name="_Toc296346591"/>
      <w:r>
        <w:rPr>
          <w:rFonts w:hint="eastAsia" w:ascii="宋体" w:hAnsi="宋体" w:eastAsia="宋体" w:cs="宋体"/>
          <w:color w:val="auto"/>
          <w:kern w:val="0"/>
          <w:sz w:val="21"/>
          <w:szCs w:val="21"/>
          <w:highlight w:val="none"/>
        </w:rPr>
        <w:t>0.8暂列金额</w:t>
      </w:r>
      <w:bookmarkEnd w:id="275"/>
    </w:p>
    <w:bookmarkEnd w:id="276"/>
    <w:p w14:paraId="0AEC640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暂列金额应按照发包人的要求使用，发包人的要求应通过监理人发出。合同当事人可以在专用合同条款中协商确定有关事项。</w:t>
      </w:r>
    </w:p>
    <w:bookmarkEnd w:id="277"/>
    <w:bookmarkEnd w:id="278"/>
    <w:bookmarkEnd w:id="279"/>
    <w:p w14:paraId="2F60C1ED">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80" w:name="_Toc351203576"/>
      <w:r>
        <w:rPr>
          <w:rFonts w:hint="eastAsia" w:ascii="宋体" w:hAnsi="宋体" w:eastAsia="宋体" w:cs="宋体"/>
          <w:color w:val="auto"/>
          <w:kern w:val="0"/>
          <w:sz w:val="21"/>
          <w:szCs w:val="21"/>
          <w:highlight w:val="none"/>
        </w:rPr>
        <w:t>1</w:t>
      </w:r>
      <w:bookmarkStart w:id="281" w:name="_Toc296503091"/>
      <w:bookmarkStart w:id="282" w:name="_Toc337558796"/>
      <w:bookmarkStart w:id="283" w:name="_Toc296346592"/>
      <w:r>
        <w:rPr>
          <w:rFonts w:hint="eastAsia" w:ascii="宋体" w:hAnsi="宋体" w:eastAsia="宋体" w:cs="宋体"/>
          <w:color w:val="auto"/>
          <w:kern w:val="0"/>
          <w:sz w:val="21"/>
          <w:szCs w:val="21"/>
          <w:highlight w:val="none"/>
        </w:rPr>
        <w:t>0.9计日工</w:t>
      </w:r>
      <w:bookmarkEnd w:id="280"/>
      <w:r>
        <w:rPr>
          <w:rFonts w:hint="eastAsia" w:ascii="宋体" w:hAnsi="宋体" w:eastAsia="宋体" w:cs="宋体"/>
          <w:color w:val="auto"/>
          <w:kern w:val="0"/>
          <w:sz w:val="21"/>
          <w:szCs w:val="21"/>
          <w:highlight w:val="none"/>
        </w:rPr>
        <w:t xml:space="preserve"> </w:t>
      </w:r>
      <w:bookmarkEnd w:id="281"/>
      <w:bookmarkEnd w:id="282"/>
      <w:bookmarkEnd w:id="283"/>
    </w:p>
    <w:p w14:paraId="5B69F44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0C98AA2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采用计日工计价的任何一项工作，承包人应在该项工作实施过程中，每天提交以下报表和有关凭证报送监理人审查：</w:t>
      </w:r>
    </w:p>
    <w:p w14:paraId="627C91C6">
      <w:pPr>
        <w:keepNext w:val="0"/>
        <w:keepLines w:val="0"/>
        <w:pageBreakBefore w:val="0"/>
        <w:widowControl w:val="0"/>
        <w:shd w:val="clear" w:color="auto" w:fill="auto"/>
        <w:kinsoku/>
        <w:wordWrap/>
        <w:overflowPunct/>
        <w:topLinePunct w:val="0"/>
        <w:bidi w:val="0"/>
        <w:spacing w:line="360" w:lineRule="auto"/>
        <w:ind w:left="0" w:firstLine="315" w:firstLineChars="15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（1）工作名称、内容和数量；</w:t>
      </w:r>
    </w:p>
    <w:p w14:paraId="482635BA">
      <w:pPr>
        <w:keepNext w:val="0"/>
        <w:keepLines w:val="0"/>
        <w:pageBreakBefore w:val="0"/>
        <w:widowControl w:val="0"/>
        <w:shd w:val="clear" w:color="auto" w:fill="auto"/>
        <w:kinsoku/>
        <w:wordWrap/>
        <w:overflowPunct/>
        <w:topLinePunct w:val="0"/>
        <w:bidi w:val="0"/>
        <w:spacing w:line="360" w:lineRule="auto"/>
        <w:ind w:left="0" w:firstLine="315" w:firstLineChars="15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（2）投入该工作的所有人员的姓名、专业、工种、级别和耗用工时；</w:t>
      </w:r>
    </w:p>
    <w:p w14:paraId="71567CDA">
      <w:pPr>
        <w:keepNext w:val="0"/>
        <w:keepLines w:val="0"/>
        <w:pageBreakBefore w:val="0"/>
        <w:widowControl w:val="0"/>
        <w:shd w:val="clear" w:color="auto" w:fill="auto"/>
        <w:kinsoku/>
        <w:wordWrap/>
        <w:overflowPunct/>
        <w:topLinePunct w:val="0"/>
        <w:bidi w:val="0"/>
        <w:spacing w:line="360" w:lineRule="auto"/>
        <w:ind w:left="0" w:firstLine="315" w:firstLineChars="15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（3）投入该工作的材料类别和数量；</w:t>
      </w:r>
    </w:p>
    <w:p w14:paraId="25D15EDC">
      <w:pPr>
        <w:keepNext w:val="0"/>
        <w:keepLines w:val="0"/>
        <w:pageBreakBefore w:val="0"/>
        <w:widowControl w:val="0"/>
        <w:shd w:val="clear" w:color="auto" w:fill="auto"/>
        <w:kinsoku/>
        <w:wordWrap/>
        <w:overflowPunct/>
        <w:topLinePunct w:val="0"/>
        <w:bidi w:val="0"/>
        <w:spacing w:line="360" w:lineRule="auto"/>
        <w:ind w:left="0" w:firstLine="315" w:firstLineChars="15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（4）投入该工作的施工设备型号、台数和耗用台时；</w:t>
      </w:r>
    </w:p>
    <w:p w14:paraId="23375F58">
      <w:pPr>
        <w:keepNext w:val="0"/>
        <w:keepLines w:val="0"/>
        <w:pageBreakBefore w:val="0"/>
        <w:widowControl w:val="0"/>
        <w:shd w:val="clear" w:color="auto" w:fill="auto"/>
        <w:kinsoku/>
        <w:wordWrap/>
        <w:overflowPunct/>
        <w:topLinePunct w:val="0"/>
        <w:bidi w:val="0"/>
        <w:spacing w:line="360" w:lineRule="auto"/>
        <w:ind w:left="0" w:firstLine="315" w:firstLineChars="15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（5）其他有关资料和凭证。</w:t>
      </w:r>
    </w:p>
    <w:p w14:paraId="6BE9C752">
      <w:pPr>
        <w:keepNext w:val="0"/>
        <w:keepLines w:val="0"/>
        <w:pageBreakBefore w:val="0"/>
        <w:widowControl w:val="0"/>
        <w:shd w:val="clear" w:color="auto" w:fill="auto"/>
        <w:kinsoku/>
        <w:wordWrap/>
        <w:overflowPunct/>
        <w:topLinePunct w:val="0"/>
        <w:bidi w:val="0"/>
        <w:spacing w:line="360" w:lineRule="auto"/>
        <w:ind w:left="0" w:firstLine="315" w:firstLineChars="15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计日工由承包人汇总后，列入最近一期进度付款申请单，由监理人审查并经发包人批准后列入进度付款。</w:t>
      </w:r>
    </w:p>
    <w:p w14:paraId="28CF7DFC">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84" w:name="_Toc351203577"/>
      <w:r>
        <w:rPr>
          <w:rFonts w:hint="eastAsia" w:ascii="宋体" w:hAnsi="宋体" w:eastAsia="宋体" w:cs="宋体"/>
          <w:color w:val="auto"/>
          <w:kern w:val="0"/>
          <w:sz w:val="21"/>
          <w:szCs w:val="21"/>
          <w:highlight w:val="none"/>
        </w:rPr>
        <w:t>11. 价格调整</w:t>
      </w:r>
      <w:bookmarkEnd w:id="284"/>
    </w:p>
    <w:p w14:paraId="30105A1B">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85" w:name="_Toc351203578"/>
      <w:bookmarkStart w:id="286" w:name="_Toc337558797"/>
      <w:bookmarkStart w:id="287" w:name="_Toc296503092"/>
      <w:bookmarkStart w:id="288" w:name="_Toc296346593"/>
      <w:r>
        <w:rPr>
          <w:rFonts w:hint="eastAsia" w:ascii="宋体" w:hAnsi="宋体" w:eastAsia="宋体" w:cs="宋体"/>
          <w:color w:val="auto"/>
          <w:kern w:val="0"/>
          <w:sz w:val="21"/>
          <w:szCs w:val="21"/>
          <w:highlight w:val="none"/>
        </w:rPr>
        <w:t>11.1市场价格波动引起的调整</w:t>
      </w:r>
      <w:bookmarkEnd w:id="285"/>
    </w:p>
    <w:bookmarkEnd w:id="286"/>
    <w:bookmarkEnd w:id="287"/>
    <w:bookmarkEnd w:id="288"/>
    <w:p w14:paraId="3316447A">
      <w:pPr>
        <w:keepNext w:val="0"/>
        <w:keepLines w:val="0"/>
        <w:pageBreakBefore w:val="0"/>
        <w:widowControl w:val="0"/>
        <w:shd w:val="clear" w:color="auto" w:fill="auto"/>
        <w:kinsoku/>
        <w:wordWrap/>
        <w:overflowPunct/>
        <w:topLinePunct w:val="0"/>
        <w:bidi w:val="0"/>
        <w:snapToGrid w:val="0"/>
        <w:spacing w:line="360" w:lineRule="auto"/>
        <w:ind w:left="0" w:firstLine="420" w:firstLineChars="200"/>
        <w:textAlignment w:val="auto"/>
        <w:rPr>
          <w:rFonts w:hint="eastAsia" w:ascii="宋体" w:hAnsi="宋体" w:eastAsia="宋体" w:cs="宋体"/>
          <w:color w:val="auto"/>
          <w:kern w:val="0"/>
          <w:sz w:val="21"/>
          <w:szCs w:val="21"/>
          <w:highlight w:val="none"/>
        </w:rPr>
      </w:pPr>
      <w:bookmarkStart w:id="289" w:name="_Toc392176998"/>
      <w:r>
        <w:rPr>
          <w:rFonts w:hint="eastAsia" w:ascii="宋体" w:hAnsi="宋体" w:eastAsia="宋体" w:cs="宋体"/>
          <w:color w:val="auto"/>
          <w:kern w:val="0"/>
          <w:sz w:val="21"/>
          <w:szCs w:val="21"/>
          <w:highlight w:val="none"/>
        </w:rPr>
        <w:t>11.1.1合同价款调整</w:t>
      </w:r>
      <w:bookmarkEnd w:id="289"/>
    </w:p>
    <w:p w14:paraId="24E82B99">
      <w:pPr>
        <w:keepNext w:val="0"/>
        <w:keepLines w:val="0"/>
        <w:pageBreakBefore w:val="0"/>
        <w:widowControl w:val="0"/>
        <w:shd w:val="clear" w:color="auto" w:fill="auto"/>
        <w:kinsoku/>
        <w:wordWrap/>
        <w:overflowPunct/>
        <w:topLinePunct w:val="0"/>
        <w:bidi w:val="0"/>
        <w:snapToGrid w:val="0"/>
        <w:spacing w:line="360" w:lineRule="auto"/>
        <w:ind w:left="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价格中工程量、综合单价、措施项目费用的调整因素包括：</w:t>
      </w:r>
    </w:p>
    <w:p w14:paraId="0B0B8791">
      <w:pPr>
        <w:keepNext w:val="0"/>
        <w:keepLines w:val="0"/>
        <w:pageBreakBefore w:val="0"/>
        <w:widowControl w:val="0"/>
        <w:shd w:val="clear" w:color="auto" w:fill="auto"/>
        <w:kinsoku/>
        <w:wordWrap/>
        <w:overflowPunct/>
        <w:topLinePunct w:val="0"/>
        <w:bidi w:val="0"/>
        <w:snapToGrid w:val="0"/>
        <w:spacing w:line="360" w:lineRule="auto"/>
        <w:ind w:left="0"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（1）法律、行政法规和国家有关政策变化影响合同价款；</w:t>
      </w:r>
    </w:p>
    <w:p w14:paraId="4FAF0AF0">
      <w:pPr>
        <w:keepNext w:val="0"/>
        <w:keepLines w:val="0"/>
        <w:pageBreakBefore w:val="0"/>
        <w:widowControl w:val="0"/>
        <w:shd w:val="clear" w:color="auto" w:fill="auto"/>
        <w:kinsoku/>
        <w:wordWrap/>
        <w:overflowPunct/>
        <w:topLinePunct w:val="0"/>
        <w:bidi w:val="0"/>
        <w:snapToGrid w:val="0"/>
        <w:spacing w:line="360" w:lineRule="auto"/>
        <w:ind w:left="0"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（2）工程造价管理机构的价格调整；</w:t>
      </w:r>
    </w:p>
    <w:p w14:paraId="34570908">
      <w:pPr>
        <w:keepNext w:val="0"/>
        <w:keepLines w:val="0"/>
        <w:pageBreakBefore w:val="0"/>
        <w:widowControl w:val="0"/>
        <w:shd w:val="clear" w:color="auto" w:fill="auto"/>
        <w:kinsoku/>
        <w:wordWrap/>
        <w:overflowPunct/>
        <w:topLinePunct w:val="0"/>
        <w:bidi w:val="0"/>
        <w:snapToGrid w:val="0"/>
        <w:spacing w:line="360" w:lineRule="auto"/>
        <w:ind w:left="0"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（3）经批准的设计变更；</w:t>
      </w:r>
    </w:p>
    <w:p w14:paraId="7580ECB7">
      <w:pPr>
        <w:keepNext w:val="0"/>
        <w:keepLines w:val="0"/>
        <w:pageBreakBefore w:val="0"/>
        <w:widowControl w:val="0"/>
        <w:shd w:val="clear" w:color="auto" w:fill="auto"/>
        <w:kinsoku/>
        <w:wordWrap/>
        <w:overflowPunct/>
        <w:topLinePunct w:val="0"/>
        <w:bidi w:val="0"/>
        <w:snapToGrid w:val="0"/>
        <w:spacing w:line="360" w:lineRule="auto"/>
        <w:ind w:left="0"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（4）发包人更改经审定批准的施工组织设计（修正错误除外）造成费用变化；</w:t>
      </w:r>
    </w:p>
    <w:p w14:paraId="242D2475">
      <w:pPr>
        <w:keepNext w:val="0"/>
        <w:keepLines w:val="0"/>
        <w:pageBreakBefore w:val="0"/>
        <w:widowControl w:val="0"/>
        <w:shd w:val="clear" w:color="auto" w:fill="auto"/>
        <w:kinsoku/>
        <w:wordWrap/>
        <w:overflowPunct/>
        <w:topLinePunct w:val="0"/>
        <w:bidi w:val="0"/>
        <w:snapToGrid w:val="0"/>
        <w:spacing w:line="360" w:lineRule="auto"/>
        <w:ind w:left="0"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（5）工程量清单的工程数量与实际工程量不符，按实际工程量进行调整计算；</w:t>
      </w:r>
    </w:p>
    <w:p w14:paraId="55F7EF75">
      <w:pPr>
        <w:keepNext w:val="0"/>
        <w:keepLines w:val="0"/>
        <w:pageBreakBefore w:val="0"/>
        <w:widowControl w:val="0"/>
        <w:shd w:val="clear" w:color="auto" w:fill="auto"/>
        <w:kinsoku/>
        <w:wordWrap/>
        <w:overflowPunct/>
        <w:topLinePunct w:val="0"/>
        <w:bidi w:val="0"/>
        <w:snapToGrid w:val="0"/>
        <w:spacing w:line="360" w:lineRule="auto"/>
        <w:ind w:left="0"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（6）费用索赔事件或发包人负责的其他情况；</w:t>
      </w:r>
    </w:p>
    <w:p w14:paraId="5AAB837F">
      <w:pPr>
        <w:keepNext w:val="0"/>
        <w:keepLines w:val="0"/>
        <w:pageBreakBefore w:val="0"/>
        <w:widowControl w:val="0"/>
        <w:shd w:val="clear" w:color="auto" w:fill="auto"/>
        <w:kinsoku/>
        <w:wordWrap/>
        <w:overflowPunct/>
        <w:topLinePunct w:val="0"/>
        <w:bidi w:val="0"/>
        <w:snapToGrid w:val="0"/>
        <w:spacing w:line="360" w:lineRule="auto"/>
        <w:ind w:left="0" w:firstLine="210" w:firstLineChars="1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（7）双方在专用条款中约定的其他因素。</w:t>
      </w:r>
    </w:p>
    <w:p w14:paraId="74142F87">
      <w:pPr>
        <w:keepNext w:val="0"/>
        <w:keepLines w:val="0"/>
        <w:pageBreakBefore w:val="0"/>
        <w:widowControl w:val="0"/>
        <w:shd w:val="clear" w:color="auto" w:fill="auto"/>
        <w:kinsoku/>
        <w:wordWrap/>
        <w:overflowPunct/>
        <w:topLinePunct w:val="0"/>
        <w:bidi w:val="0"/>
        <w:snapToGrid w:val="0"/>
        <w:spacing w:line="360" w:lineRule="auto"/>
        <w:ind w:left="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11.1.2承包人应当在11.1.1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20条关于争议的约定处理。</w:t>
      </w:r>
    </w:p>
    <w:p w14:paraId="1EA1800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除专用合同条款另有约定外，市场价格波动超过合同当事人约定的范围，合同价格应当调整。合同当事人可以在专用合同条款中约定选择以下一种方式对合同价格进行调整：</w:t>
      </w:r>
    </w:p>
    <w:p w14:paraId="4DEBB4DD">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第1种方式：采用价格指数进行价格调整。</w:t>
      </w:r>
    </w:p>
    <w:p w14:paraId="51268310">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（1）价格调整公式</w:t>
      </w:r>
    </w:p>
    <w:p w14:paraId="7DC3D100">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因人工、材料和设备等价格波动影响合同价格时，根据专用合同条款中约定的数据，按以下公式计算差额并调整合同价格：</w:t>
      </w:r>
    </w:p>
    <w:p w14:paraId="550DEA00">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position w:val="-30"/>
          <w:sz w:val="21"/>
          <w:szCs w:val="21"/>
          <w:highlight w:val="none"/>
        </w:rPr>
        <w:object>
          <v:shape id="_x0000_i1025" o:spt="75" type="#_x0000_t75" style="height:44.3pt;width:360pt;" o:ole="t" filled="f" o:preferrelative="t" stroked="f" coordsize="21600,21600">
            <v:path/>
            <v:fill on="f" focussize="0,0"/>
            <v:stroke on="f" joinstyle="miter"/>
            <v:imagedata r:id="rId13" o:title=""/>
            <o:lock v:ext="edit" aspectratio="t"/>
            <w10:wrap type="none"/>
            <w10:anchorlock/>
          </v:shape>
          <o:OLEObject Type="Embed" ProgID="Equation.3" ShapeID="_x0000_i1025" DrawAspect="Content" ObjectID="_1468075725" r:id="rId12">
            <o:LockedField>false</o:LockedField>
          </o:OLEObject>
        </w:object>
      </w:r>
    </w:p>
    <w:p w14:paraId="3442B6EA">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64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公式中：ΔP——需调整的价格差额；</w:t>
      </w:r>
    </w:p>
    <w:p w14:paraId="4D8D7904">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1260" w:firstLineChars="600"/>
        <w:textAlignment w:val="auto"/>
        <w:rPr>
          <w:rFonts w:hint="eastAsia" w:ascii="宋体" w:hAnsi="宋体" w:eastAsia="宋体" w:cs="宋体"/>
          <w:color w:val="auto"/>
          <w:sz w:val="21"/>
          <w:szCs w:val="21"/>
          <w:highlight w:val="none"/>
        </w:rPr>
      </w:pPr>
      <w:r>
        <w:rPr>
          <w:rFonts w:hint="eastAsia" w:ascii="宋体" w:hAnsi="宋体" w:eastAsia="宋体" w:cs="宋体"/>
          <w:color w:val="auto"/>
          <w:position w:val="-6"/>
          <w:sz w:val="21"/>
          <w:szCs w:val="21"/>
          <w:highlight w:val="none"/>
        </w:rPr>
        <w:object>
          <v:shape id="_x0000_i1026" o:spt="75" type="#_x0000_t75" style="height:18pt;width:18pt;" o:ole="t" filled="f" o:preferrelative="t" stroked="f" coordsize="21600,21600">
            <v:path/>
            <v:fill on="f" focussize="0,0"/>
            <v:stroke on="f" joinstyle="miter"/>
            <v:imagedata r:id="rId15" o:title=""/>
            <o:lock v:ext="edit" aspectratio="t"/>
            <w10:wrap type="none"/>
            <w10:anchorlock/>
          </v:shape>
          <o:OLEObject Type="Embed" ProgID="Equation.3" ShapeID="_x0000_i1026" DrawAspect="Content" ObjectID="_1468075726" r:id="rId14">
            <o:LockedField>false</o:LockedField>
          </o:OLEObject>
        </w:object>
      </w:r>
      <w:r>
        <w:rPr>
          <w:rFonts w:hint="eastAsia" w:ascii="宋体" w:hAnsi="宋体" w:eastAsia="宋体" w:cs="宋体"/>
          <w:color w:val="auto"/>
          <w:sz w:val="21"/>
          <w:szCs w:val="21"/>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37832E74">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A——定值权重（即不调部分的权重）；</w:t>
      </w:r>
    </w:p>
    <w:p w14:paraId="29BAF977">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position w:val="-10"/>
          <w:sz w:val="21"/>
          <w:szCs w:val="21"/>
          <w:highlight w:val="none"/>
        </w:rPr>
        <w:object>
          <v:shape id="_x0000_i1027" o:spt="75" type="#_x0000_t75" style="height:21.75pt;width:101.25pt;" o:ole="t" filled="f" o:preferrelative="t" stroked="f" coordsize="21600,21600">
            <v:path/>
            <v:fill on="f" focussize="0,0"/>
            <v:stroke on="f" joinstyle="miter"/>
            <v:imagedata r:id="rId17" o:title=""/>
            <o:lock v:ext="edit" aspectratio="t"/>
            <w10:wrap type="none"/>
            <w10:anchorlock/>
          </v:shape>
          <o:OLEObject Type="Embed" ProgID="Equation.3" ShapeID="_x0000_i1027" DrawAspect="Content" ObjectID="_1468075727" r:id="rId16">
            <o:LockedField>false</o:LockedField>
          </o:OLEObject>
        </w:object>
      </w:r>
      <w:r>
        <w:rPr>
          <w:rFonts w:hint="eastAsia" w:ascii="宋体" w:hAnsi="宋体" w:eastAsia="宋体" w:cs="宋体"/>
          <w:color w:val="auto"/>
          <w:sz w:val="21"/>
          <w:szCs w:val="21"/>
          <w:highlight w:val="none"/>
        </w:rPr>
        <w:t>——各可调因子的变值权重（即可调部分的权重），为各可调因子在签约合同价中所占的比例；</w:t>
      </w:r>
    </w:p>
    <w:p w14:paraId="7EFB9390">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position w:val="-10"/>
          <w:sz w:val="21"/>
          <w:szCs w:val="21"/>
          <w:highlight w:val="none"/>
        </w:rPr>
        <w:object>
          <v:shape id="_x0000_i1028" o:spt="75" type="#_x0000_t75" style="height:20.25pt;width:102.05pt;" o:ole="t" filled="f" o:preferrelative="t" stroked="f" coordsize="21600,21600">
            <v:path/>
            <v:fill on="f" focussize="0,0"/>
            <v:stroke on="f" joinstyle="miter"/>
            <v:imagedata r:id="rId19" o:title=""/>
            <o:lock v:ext="edit" aspectratio="t"/>
            <w10:wrap type="none"/>
            <w10:anchorlock/>
          </v:shape>
          <o:OLEObject Type="Embed" ProgID="Equation.3" ShapeID="_x0000_i1028" DrawAspect="Content" ObjectID="_1468075728" r:id="rId18">
            <o:LockedField>false</o:LockedField>
          </o:OLEObject>
        </w:object>
      </w:r>
      <w:r>
        <w:rPr>
          <w:rFonts w:hint="eastAsia" w:ascii="宋体" w:hAnsi="宋体" w:eastAsia="宋体" w:cs="宋体"/>
          <w:color w:val="auto"/>
          <w:sz w:val="21"/>
          <w:szCs w:val="21"/>
          <w:highlight w:val="none"/>
        </w:rPr>
        <w:t>——各可调因子的现行价格指数，指约定的付款证书相关周期最后一天的前42天的各可调因子的价格指数；</w:t>
      </w:r>
    </w:p>
    <w:p w14:paraId="7F8736EF">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position w:val="-10"/>
          <w:sz w:val="21"/>
          <w:szCs w:val="21"/>
          <w:highlight w:val="none"/>
        </w:rPr>
        <w:object>
          <v:shape id="_x0000_i1029" o:spt="75" type="#_x0000_t75" style="height:20.25pt;width:108.75pt;" o:ole="t" filled="f" o:preferrelative="t" stroked="f" coordsize="21600,21600">
            <v:path/>
            <v:fill on="f" focussize="0,0"/>
            <v:stroke on="f" joinstyle="miter"/>
            <v:imagedata r:id="rId21" o:title=""/>
            <o:lock v:ext="edit" aspectratio="t"/>
            <w10:wrap type="none"/>
            <w10:anchorlock/>
          </v:shape>
          <o:OLEObject Type="Embed" ProgID="Equation.3" ShapeID="_x0000_i1029" DrawAspect="Content" ObjectID="_1468075729" r:id="rId20">
            <o:LockedField>false</o:LockedField>
          </o:OLEObject>
        </w:object>
      </w:r>
      <w:r>
        <w:rPr>
          <w:rFonts w:hint="eastAsia" w:ascii="宋体" w:hAnsi="宋体" w:eastAsia="宋体" w:cs="宋体"/>
          <w:color w:val="auto"/>
          <w:sz w:val="21"/>
          <w:szCs w:val="21"/>
          <w:highlight w:val="none"/>
        </w:rPr>
        <w:t>——各可调因子的基本价格指数，指基准日期的各可调因子的价格指数。</w:t>
      </w:r>
    </w:p>
    <w:p w14:paraId="46E01ED1">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197432B5">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（2）暂时确定调整差额</w:t>
      </w:r>
    </w:p>
    <w:p w14:paraId="3683E0F5">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在计算调整差额时无现行价格指数的，合同当事人同意暂用前次价格指数计算。实际价格指数有调整的，合同当事人进行相应调整。</w:t>
      </w:r>
    </w:p>
    <w:p w14:paraId="02312034">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（3）权重的调整</w:t>
      </w:r>
    </w:p>
    <w:p w14:paraId="182656EB">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因变更导致合同约定的权重不合理时，按照第4.4款〔商定或确定〕执行。</w:t>
      </w:r>
    </w:p>
    <w:p w14:paraId="60E2B650">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（4）因承包人原因工期延误后的价格调整</w:t>
      </w:r>
    </w:p>
    <w:p w14:paraId="40DE2E80">
      <w:pPr>
        <w:keepNext w:val="0"/>
        <w:keepLines w:val="0"/>
        <w:pageBreakBefore w:val="0"/>
        <w:widowControl w:val="0"/>
        <w:shd w:val="clear" w:color="auto" w:fill="auto"/>
        <w:tabs>
          <w:tab w:val="left" w:pos="0"/>
          <w:tab w:val="left" w:pos="360"/>
          <w:tab w:val="left" w:pos="540"/>
        </w:tabs>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2BA6DD6C">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第2种方式：采用造价信息进行价格调整。</w:t>
      </w:r>
    </w:p>
    <w:p w14:paraId="44467A22">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75899690">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155B163C">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（2）材料、工程设备价格变化的价款调整按照发包人提供的基准价格，按以下风险范围规定执行:</w:t>
      </w:r>
    </w:p>
    <w:p w14:paraId="402E4E23">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57DE835F">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0D438052">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③承包人在已标价工程量清单或预算书中载明材料单价等于基准价格的：除专用合同条款另有约定外，合同履行期间材料单价涨跌幅以基准价格为基础超过±5%时，其超过部分据实调整。</w:t>
      </w:r>
    </w:p>
    <w:p w14:paraId="115DC134">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0CC08D1E">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bookmarkStart w:id="290" w:name="OLE_LINK3"/>
      <w:r>
        <w:rPr>
          <w:rFonts w:hint="eastAsia" w:ascii="宋体" w:hAnsi="宋体" w:eastAsia="宋体" w:cs="宋体"/>
          <w:color w:val="auto"/>
          <w:sz w:val="21"/>
          <w:szCs w:val="21"/>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51719CB9">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（3）施工机械台班单价或施工机械使用费发生变化超过省级或行业建设主管部门或其授权的工程造价管理机构规定的范围时，按规定调整合同价格。</w:t>
      </w:r>
    </w:p>
    <w:p w14:paraId="7D1E1262">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第3种方式：专用合同条款约定的其他方式。</w:t>
      </w:r>
    </w:p>
    <w:p w14:paraId="49EA92E1">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91" w:name="_Toc351203579"/>
      <w:bookmarkStart w:id="292" w:name="_Toc296503093"/>
      <w:bookmarkStart w:id="293" w:name="_Toc337558798"/>
      <w:bookmarkStart w:id="294" w:name="_Toc296346594"/>
      <w:r>
        <w:rPr>
          <w:rFonts w:hint="eastAsia" w:ascii="宋体" w:hAnsi="宋体" w:eastAsia="宋体" w:cs="宋体"/>
          <w:color w:val="auto"/>
          <w:kern w:val="0"/>
          <w:sz w:val="21"/>
          <w:szCs w:val="21"/>
          <w:highlight w:val="none"/>
        </w:rPr>
        <w:t>11.2法律变化引起的调整</w:t>
      </w:r>
      <w:bookmarkEnd w:id="291"/>
    </w:p>
    <w:bookmarkEnd w:id="292"/>
    <w:bookmarkEnd w:id="293"/>
    <w:bookmarkEnd w:id="294"/>
    <w:p w14:paraId="3D62C778">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66F63390">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因法律变化引起的合同价格和工期调整，合同当事人无法达成一致的，由总监理工程师按第4.4款〔商定或确定〕的约定处理。</w:t>
      </w:r>
    </w:p>
    <w:p w14:paraId="2540A05C">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因承包人原因造成工期延误，在工期延误期间出现法律变化的，由此增加的费用和（或）延误的工期由承包人承担。</w:t>
      </w:r>
    </w:p>
    <w:p w14:paraId="05AB1E98">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95" w:name="_Toc351203580"/>
      <w:bookmarkStart w:id="296" w:name="_Toc337558799"/>
      <w:bookmarkStart w:id="297" w:name="_Toc296503096"/>
      <w:bookmarkStart w:id="298" w:name="_Toc296346597"/>
      <w:r>
        <w:rPr>
          <w:rFonts w:hint="eastAsia" w:ascii="宋体" w:hAnsi="宋体" w:eastAsia="宋体" w:cs="宋体"/>
          <w:color w:val="auto"/>
          <w:kern w:val="0"/>
          <w:sz w:val="21"/>
          <w:szCs w:val="21"/>
          <w:highlight w:val="none"/>
        </w:rPr>
        <w:t>12. 合同价格、计量与支付</w:t>
      </w:r>
      <w:bookmarkEnd w:id="295"/>
    </w:p>
    <w:bookmarkEnd w:id="296"/>
    <w:p w14:paraId="05B109FD">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299" w:name="_Toc351203581"/>
      <w:bookmarkStart w:id="300" w:name="_Toc337558800"/>
      <w:r>
        <w:rPr>
          <w:rFonts w:hint="eastAsia" w:ascii="宋体" w:hAnsi="宋体" w:eastAsia="宋体" w:cs="宋体"/>
          <w:color w:val="auto"/>
          <w:kern w:val="0"/>
          <w:sz w:val="21"/>
          <w:szCs w:val="21"/>
          <w:highlight w:val="none"/>
        </w:rPr>
        <w:t>12.1 合同价</w:t>
      </w:r>
      <w:bookmarkEnd w:id="297"/>
      <w:bookmarkEnd w:id="298"/>
      <w:r>
        <w:rPr>
          <w:rFonts w:hint="eastAsia" w:ascii="宋体" w:hAnsi="宋体" w:eastAsia="宋体" w:cs="宋体"/>
          <w:color w:val="auto"/>
          <w:kern w:val="0"/>
          <w:sz w:val="21"/>
          <w:szCs w:val="21"/>
          <w:highlight w:val="none"/>
        </w:rPr>
        <w:t>格形式</w:t>
      </w:r>
      <w:bookmarkEnd w:id="299"/>
    </w:p>
    <w:bookmarkEnd w:id="300"/>
    <w:p w14:paraId="75B10A2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发包人和承包人应在合同协议书中选择下列一种合同价格形式： </w:t>
      </w:r>
    </w:p>
    <w:p w14:paraId="1F1B45B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1.单价合同</w:t>
      </w:r>
    </w:p>
    <w:p w14:paraId="30EC519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单价合同是指合同当事人约定以工程量清单及其综合单价进行合同价格计算、调整和确认的建设工程施工合同，</w:t>
      </w:r>
      <w:r>
        <w:rPr>
          <w:rFonts w:hint="eastAsia" w:ascii="宋体" w:hAnsi="宋体" w:eastAsia="宋体" w:cs="宋体"/>
          <w:color w:val="auto"/>
          <w:sz w:val="21"/>
          <w:szCs w:val="21"/>
          <w:highlight w:val="none"/>
        </w:rPr>
        <w:t>在约定的范围内合同单价不作调整</w:t>
      </w:r>
      <w:r>
        <w:rPr>
          <w:rFonts w:hint="eastAsia" w:ascii="宋体" w:hAnsi="宋体" w:eastAsia="宋体" w:cs="宋体"/>
          <w:color w:val="auto"/>
          <w:kern w:val="0"/>
          <w:sz w:val="21"/>
          <w:szCs w:val="21"/>
          <w:highlight w:val="none"/>
        </w:rPr>
        <w:t>。合同当事人应在专用合同条款中约定综合单价包含的风险范围和风险费用的计算方法</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rPr>
        <w:t>并约定风险范围以外的合同价格的调整方法，其中因市场价格波动引起的调整按第11.1款〔市场价格波动引起的调整〕约定执行。</w:t>
      </w:r>
    </w:p>
    <w:p w14:paraId="71772AA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2.总价合同</w:t>
      </w:r>
    </w:p>
    <w:p w14:paraId="463C269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总价合同是指合同当事人约定以施工图、已标价工程量清单或预算书及有关条件进行合同价格计算、调整和确认的建设工程施工合同，</w:t>
      </w:r>
      <w:r>
        <w:rPr>
          <w:rFonts w:hint="eastAsia" w:ascii="宋体" w:hAnsi="宋体" w:eastAsia="宋体" w:cs="宋体"/>
          <w:color w:val="auto"/>
          <w:sz w:val="21"/>
          <w:szCs w:val="21"/>
          <w:highlight w:val="none"/>
        </w:rPr>
        <w:t>在约定的范围内合同总价不作调整</w:t>
      </w:r>
      <w:r>
        <w:rPr>
          <w:rFonts w:hint="eastAsia" w:ascii="宋体" w:hAnsi="宋体" w:eastAsia="宋体" w:cs="宋体"/>
          <w:color w:val="auto"/>
          <w:kern w:val="0"/>
          <w:sz w:val="21"/>
          <w:szCs w:val="21"/>
          <w:highlight w:val="none"/>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4517991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3.其它价格形式</w:t>
      </w:r>
    </w:p>
    <w:p w14:paraId="6195C6F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合同当事人可在专用合同条款中约定其他合同价格形式。</w:t>
      </w:r>
    </w:p>
    <w:p w14:paraId="5D1C4ABC">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01" w:name="_Toc296503097"/>
      <w:bookmarkStart w:id="302" w:name="_Toc296346598"/>
      <w:bookmarkStart w:id="303" w:name="_Toc351203582"/>
      <w:bookmarkStart w:id="304" w:name="_Toc337558801"/>
      <w:r>
        <w:rPr>
          <w:rFonts w:hint="eastAsia" w:ascii="宋体" w:hAnsi="宋体" w:eastAsia="宋体" w:cs="宋体"/>
          <w:color w:val="auto"/>
          <w:kern w:val="0"/>
          <w:sz w:val="21"/>
          <w:szCs w:val="21"/>
          <w:highlight w:val="none"/>
        </w:rPr>
        <w:t>12.2预</w:t>
      </w:r>
      <w:bookmarkEnd w:id="301"/>
      <w:bookmarkEnd w:id="302"/>
      <w:bookmarkStart w:id="305" w:name="_Toc296346601"/>
      <w:bookmarkStart w:id="306" w:name="_Toc296503100"/>
      <w:r>
        <w:rPr>
          <w:rFonts w:hint="eastAsia" w:ascii="宋体" w:hAnsi="宋体" w:eastAsia="宋体" w:cs="宋体"/>
          <w:color w:val="auto"/>
          <w:kern w:val="0"/>
          <w:sz w:val="21"/>
          <w:szCs w:val="21"/>
          <w:highlight w:val="none"/>
        </w:rPr>
        <w:t>付款</w:t>
      </w:r>
      <w:bookmarkEnd w:id="303"/>
    </w:p>
    <w:bookmarkEnd w:id="304"/>
    <w:bookmarkEnd w:id="305"/>
    <w:bookmarkEnd w:id="306"/>
    <w:p w14:paraId="1E7BFF1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12.2.</w:t>
      </w:r>
      <w:r>
        <w:rPr>
          <w:rFonts w:hint="eastAsia" w:ascii="宋体" w:hAnsi="宋体" w:eastAsia="宋体" w:cs="宋体"/>
          <w:color w:val="auto"/>
          <w:kern w:val="0"/>
          <w:sz w:val="21"/>
          <w:szCs w:val="21"/>
          <w:highlight w:val="none"/>
        </w:rPr>
        <w:t>1预付款的支付</w:t>
      </w:r>
    </w:p>
    <w:p w14:paraId="70085FF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预付款的支付按照专用合同条款约定执行，但至迟应在开工通知载明的开工日期7天前支付。预付款应当用于材料、工程设备、施工设备的采购及修建临时工程、组织施工队伍进场等。</w:t>
      </w:r>
    </w:p>
    <w:p w14:paraId="21E8EDD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除专用合同条款另有约定外，预付款在进度付款中同比例扣回。</w:t>
      </w:r>
      <w:bookmarkEnd w:id="290"/>
      <w:r>
        <w:rPr>
          <w:rFonts w:hint="eastAsia" w:ascii="宋体" w:hAnsi="宋体" w:eastAsia="宋体" w:cs="宋体"/>
          <w:color w:val="auto"/>
          <w:kern w:val="0"/>
          <w:sz w:val="21"/>
          <w:szCs w:val="21"/>
          <w:highlight w:val="none"/>
        </w:rPr>
        <w:t>在颁发工程接收证书前，提前解除合同的，尚未扣完的预付款应与合同价款一并结算。</w:t>
      </w:r>
    </w:p>
    <w:p w14:paraId="4E28D84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发包人逾期支付预付款超过7天的，承包人有权向发包人发出要求预付的催告通知，发包人收到通知后7天内仍未支付的，承包人有权暂停施工，并按第16.1.1项〔发包人违约的情形〕执行。</w:t>
      </w:r>
    </w:p>
    <w:p w14:paraId="6A97253F">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12.2.2 预付款担保</w:t>
      </w:r>
    </w:p>
    <w:p w14:paraId="01EEDF6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081A0DA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发包人在工程款中逐期扣回预付款后，预付款担保额度应相应减少，但剩余的预付款担保金额不得低于未被扣回的预付款金额。</w:t>
      </w:r>
    </w:p>
    <w:p w14:paraId="621103E0">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07" w:name="_Toc351203583"/>
      <w:bookmarkStart w:id="308" w:name="_Toc337558802"/>
      <w:r>
        <w:rPr>
          <w:rFonts w:hint="eastAsia" w:ascii="宋体" w:hAnsi="宋体" w:eastAsia="宋体" w:cs="宋体"/>
          <w:color w:val="auto"/>
          <w:kern w:val="0"/>
          <w:sz w:val="21"/>
          <w:szCs w:val="21"/>
          <w:highlight w:val="none"/>
        </w:rPr>
        <w:t>12.3计量</w:t>
      </w:r>
      <w:bookmarkEnd w:id="307"/>
    </w:p>
    <w:bookmarkEnd w:id="308"/>
    <w:p w14:paraId="15D5B13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12.3.1 计量原则</w:t>
      </w:r>
    </w:p>
    <w:p w14:paraId="5E6338E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工程量计量按照合同约定的工程量计算规则、图纸及变更指示等进行计量。工程量计算规则应以相关的国家标准、行业标准等为依据，由合同当事人在专用合同条款中约定。</w:t>
      </w:r>
    </w:p>
    <w:p w14:paraId="781E973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12.3.2 计量周期</w:t>
      </w:r>
    </w:p>
    <w:p w14:paraId="6447458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除专用合同条款另有约定外，工程量的计量按月进行。</w:t>
      </w:r>
    </w:p>
    <w:p w14:paraId="4DE6906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12.3.3 单价合同的计量</w:t>
      </w:r>
    </w:p>
    <w:p w14:paraId="6D05736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除专用合同条款另有约定外，单价合同的计量按照本项约定执行：</w:t>
      </w:r>
    </w:p>
    <w:p w14:paraId="11BE933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（1）承包人应于每月25日向监理人报送上月20日至当月19日已完成的工程量报告，并附具进度付款申请单、已完成工程量报表和有关资料。</w:t>
      </w:r>
    </w:p>
    <w:p w14:paraId="5BA959F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29CF567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（3）监理人未在收到承包人提交的工程量报表后的7天内完成审核的，承包人报送的工程量报告中的工程量视为承包人实际完成的工程量，据此计算工程价款。</w:t>
      </w:r>
    </w:p>
    <w:p w14:paraId="50CBC51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12.3.4 总价合同的计量</w:t>
      </w:r>
    </w:p>
    <w:p w14:paraId="4ED58DE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除专用合同条款另有约定外，按月计量支付的总价合同，按照本项约定执行：</w:t>
      </w:r>
    </w:p>
    <w:p w14:paraId="7F001B2F">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（1）承包人应于每月25日向监理人报送上月20日至当月19日已完成的工程量报告，并附具进度付款申请单、已完成工程量报表和有关资料。</w:t>
      </w:r>
    </w:p>
    <w:p w14:paraId="2BE5B21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4D062A2F">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（3）监理人未在收到承包人提交的工程量报表后的7天内完成复核的，承包人提交的工程量报告中的工程量视为承包人实际完成的工程量。</w:t>
      </w:r>
    </w:p>
    <w:p w14:paraId="5D6B983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12.3.5 总价合同采用支付分解表计量支付的，可以按照第12.3.4项〔总价合同的计量〕约定进行计量，但合同价款按照支付分解表进行支付。</w:t>
      </w:r>
    </w:p>
    <w:p w14:paraId="6FDE6CA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12.3.6 其他价格形式合同的计量</w:t>
      </w:r>
    </w:p>
    <w:p w14:paraId="27000CF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合同当事人可在专用合同条款中约定其他价格形式合同的计量方式和程序。</w:t>
      </w:r>
    </w:p>
    <w:p w14:paraId="3BB57802">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09" w:name="_Toc296346602"/>
      <w:bookmarkStart w:id="310" w:name="_Toc296503101"/>
      <w:bookmarkStart w:id="311" w:name="_Toc351203584"/>
      <w:bookmarkStart w:id="312" w:name="_Toc337558803"/>
      <w:r>
        <w:rPr>
          <w:rFonts w:hint="eastAsia" w:ascii="宋体" w:hAnsi="宋体" w:eastAsia="宋体" w:cs="宋体"/>
          <w:color w:val="auto"/>
          <w:kern w:val="0"/>
          <w:sz w:val="21"/>
          <w:szCs w:val="21"/>
          <w:highlight w:val="none"/>
        </w:rPr>
        <w:t>12.4工程进度款支</w:t>
      </w:r>
      <w:bookmarkEnd w:id="309"/>
      <w:bookmarkEnd w:id="310"/>
      <w:r>
        <w:rPr>
          <w:rFonts w:hint="eastAsia" w:ascii="宋体" w:hAnsi="宋体" w:eastAsia="宋体" w:cs="宋体"/>
          <w:color w:val="auto"/>
          <w:kern w:val="0"/>
          <w:sz w:val="21"/>
          <w:szCs w:val="21"/>
          <w:highlight w:val="none"/>
        </w:rPr>
        <w:t>付</w:t>
      </w:r>
      <w:bookmarkEnd w:id="311"/>
      <w:bookmarkEnd w:id="312"/>
    </w:p>
    <w:p w14:paraId="254C670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12.4.1付款周期</w:t>
      </w:r>
    </w:p>
    <w:p w14:paraId="76CDF82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除专用合同条款另有约定外，付款周期应按照第12.3.2项〔计量周期〕的约定与计量周期保持一致。</w:t>
      </w:r>
    </w:p>
    <w:p w14:paraId="7388371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12.4</w:t>
      </w:r>
      <w:r>
        <w:rPr>
          <w:rFonts w:hint="eastAsia" w:ascii="宋体" w:hAnsi="宋体" w:eastAsia="宋体" w:cs="宋体"/>
          <w:color w:val="auto"/>
          <w:kern w:val="0"/>
          <w:sz w:val="21"/>
          <w:szCs w:val="21"/>
          <w:highlight w:val="none"/>
        </w:rPr>
        <w:t>.2 进度付款申请单的编制</w:t>
      </w:r>
    </w:p>
    <w:p w14:paraId="0BE4057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除专用合同条款另有约定外，进度付款申请单应包括下列内容：</w:t>
      </w:r>
    </w:p>
    <w:p w14:paraId="33C5949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（1）截至本次付款周期已完成工作对应的金额；</w:t>
      </w:r>
    </w:p>
    <w:p w14:paraId="6EC7026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（2）根据第10条〔变更〕应增加和扣减的变更金额；</w:t>
      </w:r>
    </w:p>
    <w:p w14:paraId="1FFD4B3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（3）根据第12.2款〔预付款〕约定应支付的预付款和扣减的返还预付款；</w:t>
      </w:r>
    </w:p>
    <w:p w14:paraId="6DCED03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（4）根据第15.3款〔质量保证金〕约定应扣减的质量保证金；</w:t>
      </w:r>
    </w:p>
    <w:p w14:paraId="3F4783E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（5）根据第19条〔索赔〕应增加和扣减的索赔金额；</w:t>
      </w:r>
    </w:p>
    <w:p w14:paraId="161DA83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（6）对已签发的进度款支付证书中出现错误的修正，应在本次进度付款中支付或扣除的金额；</w:t>
      </w:r>
    </w:p>
    <w:p w14:paraId="76103B7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（7）根据合同约定应增加和扣减的其他金额。</w:t>
      </w:r>
    </w:p>
    <w:p w14:paraId="1F75072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12.4.3进度付款申请单的提交</w:t>
      </w:r>
    </w:p>
    <w:p w14:paraId="159217B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（1）单价合同进度付款申请单的提交</w:t>
      </w:r>
    </w:p>
    <w:p w14:paraId="2772284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64FE7CE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（2）总价合同进度付款申请单的提交</w:t>
      </w:r>
    </w:p>
    <w:p w14:paraId="0FCE402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总价合同按月计量支付的，承包人按照第12.3.4项〔总价合同的计量〕约定的时间按月向监理人提交进度付款申请单，并附上已完成工程量报表和有关资料。</w:t>
      </w:r>
    </w:p>
    <w:p w14:paraId="6BBDA0A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总价合同按支付分解表支付的，承包人应按照第12.4.6项〔支付分解表〕及第12.4.2项〔进度付款申请单的编制〕的约定向监理人提交进度付款申请单。</w:t>
      </w:r>
    </w:p>
    <w:p w14:paraId="5B1B1A5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（3）其他价格形式合同的进度付款申请单的提交</w:t>
      </w:r>
    </w:p>
    <w:p w14:paraId="3771D4F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合同当事人可在专用合同条款中约定其他价格形式合同的进度付款申请单的编制和提交程序。</w:t>
      </w:r>
    </w:p>
    <w:p w14:paraId="356869D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12.4.4进度款审核和支付</w:t>
      </w:r>
    </w:p>
    <w:p w14:paraId="525946E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73072A4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1267176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1F43D47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（3）发包人签发进度款支付证书或临时进度款支付证书，不表明发包人已同意、批准或接受了承包人完成的相应部分的工作。</w:t>
      </w:r>
    </w:p>
    <w:p w14:paraId="29B0350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12.4.5 进度付款的修正</w:t>
      </w:r>
    </w:p>
    <w:p w14:paraId="4DBC3FB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在对已签发的进度款支付证书进行阶段汇总和复核中发现错误、遗漏或重复的，发包人和承包人均有权提出修正申请。经发包人和承包人同意的修正，应在下期进度付款中支付或扣除。</w:t>
      </w:r>
    </w:p>
    <w:p w14:paraId="182E096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12.4.6 支付分解表</w:t>
      </w:r>
    </w:p>
    <w:p w14:paraId="007ECF1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1.支付分解表的编制要求</w:t>
      </w:r>
    </w:p>
    <w:p w14:paraId="671D5B0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（1）支付分解表中所列的每期付款金额，应为第12.4.2项〔进度付款申请单的编制〕第（1）目的估算金额；</w:t>
      </w:r>
    </w:p>
    <w:p w14:paraId="3DB39BB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（2）实际进度与施工进度计划不一致的，合同当事人可按照第4.4款〔商定或确定〕修改支付分解表；</w:t>
      </w:r>
    </w:p>
    <w:p w14:paraId="4AD902A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（3）不采用支付分解表的，承包人应向发包人和监理人提交按季度编制的支付估算分解表，用于支付参考。</w:t>
      </w:r>
    </w:p>
    <w:p w14:paraId="3674181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2.总价合同支付分解表的编制与审批</w:t>
      </w:r>
    </w:p>
    <w:p w14:paraId="619530A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2CE96F9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（2）监理人应在收到支付分解表后7天内完成审核并报送发包人。发包人应在收到经监理人审核的支付分解表后7天内完成审批，经发包人批准的支付分解表为有约束力的支付分解表。</w:t>
      </w:r>
    </w:p>
    <w:p w14:paraId="376C024B">
      <w:pPr>
        <w:keepNext w:val="0"/>
        <w:keepLines w:val="0"/>
        <w:pageBreakBefore w:val="0"/>
        <w:widowControl w:val="0"/>
        <w:shd w:val="clear" w:color="auto" w:fill="auto"/>
        <w:kinsoku/>
        <w:wordWrap/>
        <w:overflowPunct/>
        <w:topLinePunct w:val="0"/>
        <w:bidi w:val="0"/>
        <w:spacing w:line="360" w:lineRule="auto"/>
        <w:ind w:left="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    （3）发包人逾期未完成支付分解表审批的，也未及时要求承包人进行修正和提供补充资料的，则承包人提交的支付分解表视为已经获得发包人批准。</w:t>
      </w:r>
    </w:p>
    <w:p w14:paraId="36CF2D3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3.单价合同的总价项目支付分解表的编制与审批</w:t>
      </w:r>
    </w:p>
    <w:p w14:paraId="198313A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2E389288">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13" w:name="_Toc351203585"/>
      <w:r>
        <w:rPr>
          <w:rFonts w:hint="eastAsia" w:ascii="宋体" w:hAnsi="宋体" w:eastAsia="宋体" w:cs="宋体"/>
          <w:color w:val="auto"/>
          <w:kern w:val="0"/>
          <w:sz w:val="21"/>
          <w:szCs w:val="21"/>
          <w:highlight w:val="none"/>
        </w:rPr>
        <w:t>12.5支付账户</w:t>
      </w:r>
      <w:bookmarkEnd w:id="313"/>
    </w:p>
    <w:p w14:paraId="1239B8C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发包人应将合同价款支付至合同协议书中约定的承包人账户。</w:t>
      </w:r>
    </w:p>
    <w:p w14:paraId="35AF97C8">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14" w:name="_Toc351203586"/>
      <w:bookmarkStart w:id="315" w:name="_Toc296503106"/>
      <w:bookmarkStart w:id="316" w:name="_Toc322522574"/>
      <w:bookmarkStart w:id="317" w:name="_Toc337558804"/>
      <w:bookmarkStart w:id="318" w:name="_Toc296346607"/>
      <w:r>
        <w:rPr>
          <w:rFonts w:hint="eastAsia" w:ascii="宋体" w:hAnsi="宋体" w:eastAsia="宋体" w:cs="宋体"/>
          <w:color w:val="auto"/>
          <w:kern w:val="0"/>
          <w:sz w:val="21"/>
          <w:szCs w:val="21"/>
          <w:highlight w:val="none"/>
        </w:rPr>
        <w:t>13. 验收和工程试车</w:t>
      </w:r>
      <w:bookmarkEnd w:id="314"/>
    </w:p>
    <w:bookmarkEnd w:id="315"/>
    <w:bookmarkEnd w:id="316"/>
    <w:bookmarkEnd w:id="317"/>
    <w:bookmarkEnd w:id="318"/>
    <w:p w14:paraId="314BF482">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19" w:name="_Toc351203587"/>
      <w:bookmarkStart w:id="320" w:name="_Toc337558805"/>
      <w:bookmarkStart w:id="321" w:name="_Toc296346611"/>
      <w:bookmarkStart w:id="322" w:name="_Toc296503110"/>
      <w:r>
        <w:rPr>
          <w:rFonts w:hint="eastAsia" w:ascii="宋体" w:hAnsi="宋体" w:eastAsia="宋体" w:cs="宋体"/>
          <w:color w:val="auto"/>
          <w:kern w:val="0"/>
          <w:sz w:val="21"/>
          <w:szCs w:val="21"/>
          <w:highlight w:val="none"/>
        </w:rPr>
        <w:t>13.1分部分项工程验收</w:t>
      </w:r>
      <w:bookmarkEnd w:id="319"/>
    </w:p>
    <w:bookmarkEnd w:id="320"/>
    <w:p w14:paraId="7DB2EC35">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13.1.1 分部分项工程质量应符合国家有关工程施工验收规范、标准及合同约定，承包人应按照施工组织设计的要求完成分部分项工程施工。</w:t>
      </w:r>
    </w:p>
    <w:p w14:paraId="0119516E">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13.1.2 除专用合同条款另有约定外，分部分项工程经承包人自检合格并具备验收条件的，承包人应提前48小时通知监理人进行验收。</w:t>
      </w:r>
      <w:r>
        <w:rPr>
          <w:rFonts w:hint="eastAsia" w:ascii="宋体" w:hAnsi="宋体" w:eastAsia="宋体" w:cs="宋体"/>
          <w:color w:val="auto"/>
          <w:kern w:val="0"/>
          <w:sz w:val="21"/>
          <w:szCs w:val="21"/>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宋体" w:hAnsi="宋体" w:eastAsia="宋体" w:cs="宋体"/>
          <w:color w:val="auto"/>
          <w:sz w:val="21"/>
          <w:szCs w:val="21"/>
          <w:highlight w:val="none"/>
        </w:rPr>
        <w:t>分部分项工程未经验收的，不得进入下一道工序施工。</w:t>
      </w:r>
    </w:p>
    <w:p w14:paraId="10307670">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分部分项工程的验收资料应当作为竣工资料的组成部分。</w:t>
      </w:r>
    </w:p>
    <w:p w14:paraId="4651AE7E">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23" w:name="_Toc351203588"/>
      <w:bookmarkStart w:id="324" w:name="_Toc337558806"/>
      <w:r>
        <w:rPr>
          <w:rFonts w:hint="eastAsia" w:ascii="宋体" w:hAnsi="宋体" w:eastAsia="宋体" w:cs="宋体"/>
          <w:color w:val="auto"/>
          <w:kern w:val="0"/>
          <w:sz w:val="21"/>
          <w:szCs w:val="21"/>
          <w:highlight w:val="none"/>
        </w:rPr>
        <w:t>13.2竣工验收</w:t>
      </w:r>
      <w:bookmarkEnd w:id="323"/>
    </w:p>
    <w:bookmarkEnd w:id="321"/>
    <w:bookmarkEnd w:id="322"/>
    <w:bookmarkEnd w:id="324"/>
    <w:p w14:paraId="291DA39F">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13.2.1竣工验收条件</w:t>
      </w:r>
    </w:p>
    <w:p w14:paraId="7BBF3D3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工程具备以下条件的，承包人可以申请竣工验收：</w:t>
      </w:r>
    </w:p>
    <w:p w14:paraId="3433ADA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（1）除发包人同意的甩项工作和缺陷修补工作外，合同范围内的全部工程以及有关工作，包括合同要求的试验、试运行以及检验均已完成，并符合合同要求；</w:t>
      </w:r>
    </w:p>
    <w:p w14:paraId="51A9778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（2）已按合同约定编制了甩项工作和缺陷修补工作清单以及相应的施工计划；</w:t>
      </w:r>
    </w:p>
    <w:p w14:paraId="4A7A206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（3）已按合同约定的内容和份数备齐竣工资料。</w:t>
      </w:r>
    </w:p>
    <w:p w14:paraId="48CCDF4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13.2.2竣工验收程序</w:t>
      </w:r>
    </w:p>
    <w:p w14:paraId="677E2A8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除专用合同条款另有约定外，承包人申请竣工验收的，应当按照以下程序进行：</w:t>
      </w:r>
    </w:p>
    <w:p w14:paraId="303D07C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32D79AD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0707DA3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（3）竣工验收合格的，发包人应在验收合格后14天内向承包人签发工程接收证书。发包人无正当理由逾期不颁发工程接收证书的，自验收合格后第15天起视为已颁发工程接收证书。</w:t>
      </w:r>
    </w:p>
    <w:p w14:paraId="73E6B71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16E39B7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0B9F28FF">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751D223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13.2.3竣工日期</w:t>
      </w:r>
    </w:p>
    <w:p w14:paraId="4D68C8E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25" w:name="#go14"/>
      <w:bookmarkEnd w:id="325"/>
      <w:r>
        <w:rPr>
          <w:rFonts w:hint="eastAsia" w:ascii="宋体" w:hAnsi="宋体" w:eastAsia="宋体" w:cs="宋体"/>
          <w:color w:val="auto"/>
          <w:kern w:val="0"/>
          <w:sz w:val="21"/>
          <w:szCs w:val="21"/>
          <w:highlight w:val="none"/>
        </w:rPr>
        <w:t>收申请报告的日期为实际竣工日期；工程未经竣工验收，发包人擅自使用的，以转移占有工程之日为实际竣工日期。</w:t>
      </w:r>
    </w:p>
    <w:p w14:paraId="5884CD2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13.2.4拒绝接受全部或部分工程</w:t>
      </w:r>
    </w:p>
    <w:p w14:paraId="2391D99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167F274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13.2.5 移交、接收全部与部分工程</w:t>
      </w:r>
    </w:p>
    <w:p w14:paraId="05C1348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除专用合同条款另有约定外，合同当事人应当在颁发工程接收证书后7天内完成工程的移交。</w:t>
      </w:r>
    </w:p>
    <w:p w14:paraId="6E84D9E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081FDEA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5953C20F">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26" w:name="_Toc351203589"/>
      <w:bookmarkStart w:id="327" w:name="_Toc337558807"/>
      <w:bookmarkStart w:id="328" w:name="_Toc296503111"/>
      <w:bookmarkStart w:id="329" w:name="_Toc296346612"/>
      <w:r>
        <w:rPr>
          <w:rFonts w:hint="eastAsia" w:ascii="宋体" w:hAnsi="宋体" w:eastAsia="宋体" w:cs="宋体"/>
          <w:color w:val="auto"/>
          <w:kern w:val="0"/>
          <w:sz w:val="21"/>
          <w:szCs w:val="21"/>
          <w:highlight w:val="none"/>
        </w:rPr>
        <w:t>13.3工程试车</w:t>
      </w:r>
      <w:bookmarkEnd w:id="326"/>
    </w:p>
    <w:bookmarkEnd w:id="327"/>
    <w:bookmarkEnd w:id="328"/>
    <w:bookmarkEnd w:id="329"/>
    <w:p w14:paraId="1840D99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13.3.1试车程序</w:t>
      </w:r>
    </w:p>
    <w:p w14:paraId="15F56BC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工程需要试车的，除专用合同条款另有约定外，试车内容应与承包人承包范围相一致，试车费用由承包人承担。工程试车应按如下程序进行：</w:t>
      </w:r>
    </w:p>
    <w:p w14:paraId="536A665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1939008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426A6C0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4D77EA9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13.3.2 试车中的责任</w:t>
      </w:r>
    </w:p>
    <w:p w14:paraId="13C9D7B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2F2BE30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20AD914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13.3.3 投料试车</w:t>
      </w:r>
    </w:p>
    <w:p w14:paraId="552D047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如需进行投料试车的，发包人应在工程竣工验收后组织投料试车。发包人要求在工程竣工验收前进行或需要承包人配合时，应征得承包人同意，并在专用合同条款中约定有关事项。</w:t>
      </w:r>
    </w:p>
    <w:p w14:paraId="3F2A910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1D3ED7EB">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30" w:name="_Toc351203590"/>
      <w:bookmarkStart w:id="331" w:name="_Toc337558808"/>
      <w:r>
        <w:rPr>
          <w:rFonts w:hint="eastAsia" w:ascii="宋体" w:hAnsi="宋体" w:eastAsia="宋体" w:cs="宋体"/>
          <w:color w:val="auto"/>
          <w:kern w:val="0"/>
          <w:sz w:val="21"/>
          <w:szCs w:val="21"/>
          <w:highlight w:val="none"/>
        </w:rPr>
        <w:t>13.4提前交付单位工程的验收</w:t>
      </w:r>
      <w:bookmarkEnd w:id="330"/>
    </w:p>
    <w:bookmarkEnd w:id="331"/>
    <w:p w14:paraId="7EB5E02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13.4.1 发包人需要在工程竣工前使用单位工程的，或承包人提出提前交付已经竣工的单位工程且经发包人同意的，可进行单位工程验收，验收的程序按照第13.2款〔竣工验收〕的约定进行。</w:t>
      </w:r>
    </w:p>
    <w:p w14:paraId="3F444FE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3434DC3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13.4.2 发包人要求在工程竣工前交付单位工程，由此导致承包人费用增加和（或）工期延误的，由发包人承担由此增加的费用和（或）延误的工期，并支付承包人合理的利润。</w:t>
      </w:r>
    </w:p>
    <w:p w14:paraId="30B93915">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32" w:name="_Toc351203591"/>
      <w:r>
        <w:rPr>
          <w:rFonts w:hint="eastAsia" w:ascii="宋体" w:hAnsi="宋体" w:eastAsia="宋体" w:cs="宋体"/>
          <w:color w:val="auto"/>
          <w:kern w:val="0"/>
          <w:sz w:val="21"/>
          <w:szCs w:val="21"/>
          <w:highlight w:val="none"/>
        </w:rPr>
        <w:t>13.5 施工期运行</w:t>
      </w:r>
      <w:bookmarkEnd w:id="332"/>
    </w:p>
    <w:p w14:paraId="27B7A2D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4F12C4C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13.5.2 在施工期运行中发现工程或工程设备损坏或存在缺陷的，由承包人按第15.2款〔缺陷责任期〕约定进行修复。</w:t>
      </w:r>
    </w:p>
    <w:p w14:paraId="320E7EAF">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33" w:name="_Toc296346613"/>
      <w:bookmarkStart w:id="334" w:name="_Toc296503112"/>
      <w:bookmarkStart w:id="335" w:name="_Toc351203592"/>
      <w:bookmarkStart w:id="336" w:name="_Toc337558809"/>
      <w:r>
        <w:rPr>
          <w:rFonts w:hint="eastAsia" w:ascii="宋体" w:hAnsi="宋体" w:eastAsia="宋体" w:cs="宋体"/>
          <w:color w:val="auto"/>
          <w:kern w:val="0"/>
          <w:sz w:val="21"/>
          <w:szCs w:val="21"/>
          <w:highlight w:val="none"/>
        </w:rPr>
        <w:t>13.6 竣工退</w:t>
      </w:r>
      <w:bookmarkEnd w:id="333"/>
      <w:bookmarkEnd w:id="334"/>
      <w:r>
        <w:rPr>
          <w:rFonts w:hint="eastAsia" w:ascii="宋体" w:hAnsi="宋体" w:eastAsia="宋体" w:cs="宋体"/>
          <w:color w:val="auto"/>
          <w:kern w:val="0"/>
          <w:sz w:val="21"/>
          <w:szCs w:val="21"/>
          <w:highlight w:val="none"/>
        </w:rPr>
        <w:t>场</w:t>
      </w:r>
      <w:bookmarkEnd w:id="335"/>
    </w:p>
    <w:bookmarkEnd w:id="336"/>
    <w:p w14:paraId="4320E49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13.6.1 竣工退场</w:t>
      </w:r>
    </w:p>
    <w:p w14:paraId="1E22CB9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颁发工程接收证书后，承包人应按以下要求对施工现场进行清理：</w:t>
      </w:r>
    </w:p>
    <w:p w14:paraId="5163C9F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（1）施工现场内残留的垃圾已全部清除出场；</w:t>
      </w:r>
    </w:p>
    <w:p w14:paraId="5997BF9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（2）临时工程已拆除，场地已进行清理、平整或复原；</w:t>
      </w:r>
    </w:p>
    <w:p w14:paraId="55005D5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（3）按合同约定应撤离的人员、承包人施工设备和剩余的材料，包括废弃的施工设备和材料，已按计划撤离施工现场；</w:t>
      </w:r>
    </w:p>
    <w:p w14:paraId="55A735D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（4）施工现场周边及其附近道路、河道的施工堆积物，已全部清理；</w:t>
      </w:r>
    </w:p>
    <w:p w14:paraId="4B9D4A1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（5）施工现场其他场地清理工作已全部完成。</w:t>
      </w:r>
    </w:p>
    <w:p w14:paraId="32D56E4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7455A54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13.6.2 地表还原</w:t>
      </w:r>
    </w:p>
    <w:p w14:paraId="7B554AD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336F45C3">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37" w:name="_Toc351203593"/>
      <w:bookmarkStart w:id="338" w:name="_Toc337558810"/>
      <w:bookmarkStart w:id="339" w:name="_Toc296503113"/>
      <w:bookmarkStart w:id="340" w:name="_Toc296346614"/>
      <w:r>
        <w:rPr>
          <w:rFonts w:hint="eastAsia" w:ascii="宋体" w:hAnsi="宋体" w:eastAsia="宋体" w:cs="宋体"/>
          <w:color w:val="auto"/>
          <w:kern w:val="0"/>
          <w:sz w:val="21"/>
          <w:szCs w:val="21"/>
          <w:highlight w:val="none"/>
        </w:rPr>
        <w:t>14. 竣工结算</w:t>
      </w:r>
      <w:bookmarkEnd w:id="337"/>
    </w:p>
    <w:bookmarkEnd w:id="338"/>
    <w:p w14:paraId="7EB4DA18">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41" w:name="_Toc351203594"/>
      <w:bookmarkStart w:id="342" w:name="_Toc337558811"/>
      <w:r>
        <w:rPr>
          <w:rFonts w:hint="eastAsia" w:ascii="宋体" w:hAnsi="宋体" w:eastAsia="宋体" w:cs="宋体"/>
          <w:color w:val="auto"/>
          <w:kern w:val="0"/>
          <w:sz w:val="21"/>
          <w:szCs w:val="21"/>
          <w:highlight w:val="none"/>
        </w:rPr>
        <w:t>14.1 竣工结算申请</w:t>
      </w:r>
      <w:bookmarkEnd w:id="341"/>
    </w:p>
    <w:bookmarkEnd w:id="342"/>
    <w:p w14:paraId="3D74451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除专用合同条款另有约定外，</w:t>
      </w:r>
      <w:r>
        <w:rPr>
          <w:rFonts w:hint="eastAsia" w:ascii="宋体" w:hAnsi="宋体" w:eastAsia="宋体" w:cs="宋体"/>
          <w:color w:val="auto"/>
          <w:sz w:val="21"/>
          <w:szCs w:val="21"/>
          <w:highlight w:val="none"/>
        </w:rPr>
        <w:t>承包人应在工程竣工验收合格后28天内向发包人和监理人提交竣工结算申请单，并提交完整的结算资料，有关竣工结算申请单的资料清单和份数等要求由合同当事人在专用合同条款中约定。</w:t>
      </w:r>
    </w:p>
    <w:p w14:paraId="4CEC207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除专用合同条款另有约定外，竣工结算申请单应包括以下内容：</w:t>
      </w:r>
    </w:p>
    <w:p w14:paraId="18653FE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（1）竣工结算合同价格；</w:t>
      </w:r>
    </w:p>
    <w:p w14:paraId="6F4834D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（2）发包人已支付承包人的款项；</w:t>
      </w:r>
    </w:p>
    <w:p w14:paraId="0C3EEFA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（3）应扣留的质量保证金。已缴纳履约保证金的或提供其他工程质量担保方式的除外； </w:t>
      </w:r>
    </w:p>
    <w:p w14:paraId="217DF25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（4）发包人应支付承包人的合同价款。</w:t>
      </w:r>
    </w:p>
    <w:p w14:paraId="448887A6">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43" w:name="_Toc351203595"/>
      <w:bookmarkStart w:id="344" w:name="_Toc337558812"/>
      <w:r>
        <w:rPr>
          <w:rFonts w:hint="eastAsia" w:ascii="宋体" w:hAnsi="宋体" w:eastAsia="宋体" w:cs="宋体"/>
          <w:color w:val="auto"/>
          <w:kern w:val="0"/>
          <w:sz w:val="21"/>
          <w:szCs w:val="21"/>
          <w:highlight w:val="none"/>
        </w:rPr>
        <w:t>14.2 竣工结算审核</w:t>
      </w:r>
      <w:bookmarkEnd w:id="343"/>
    </w:p>
    <w:bookmarkEnd w:id="344"/>
    <w:p w14:paraId="3CD4D5B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宋体" w:hAnsi="宋体" w:eastAsia="宋体" w:cs="宋体"/>
          <w:color w:val="auto"/>
          <w:sz w:val="21"/>
          <w:szCs w:val="21"/>
          <w:highlight w:val="none"/>
        </w:rPr>
        <w:t>发包人对竣工</w:t>
      </w:r>
      <w:r>
        <w:rPr>
          <w:rFonts w:hint="eastAsia" w:ascii="宋体" w:hAnsi="宋体" w:eastAsia="宋体" w:cs="宋体"/>
          <w:color w:val="auto"/>
          <w:kern w:val="0"/>
          <w:sz w:val="21"/>
          <w:szCs w:val="21"/>
          <w:highlight w:val="none"/>
        </w:rPr>
        <w:t>结算</w:t>
      </w:r>
      <w:r>
        <w:rPr>
          <w:rFonts w:hint="eastAsia" w:ascii="宋体" w:hAnsi="宋体" w:eastAsia="宋体" w:cs="宋体"/>
          <w:color w:val="auto"/>
          <w:sz w:val="21"/>
          <w:szCs w:val="21"/>
          <w:highlight w:val="none"/>
        </w:rPr>
        <w:t>申请单有异议的，有权要求承包人进行修正和提供补充资料，承包人应提交修正后的竣工</w:t>
      </w:r>
      <w:r>
        <w:rPr>
          <w:rFonts w:hint="eastAsia" w:ascii="宋体" w:hAnsi="宋体" w:eastAsia="宋体" w:cs="宋体"/>
          <w:color w:val="auto"/>
          <w:kern w:val="0"/>
          <w:sz w:val="21"/>
          <w:szCs w:val="21"/>
          <w:highlight w:val="none"/>
        </w:rPr>
        <w:t>结算</w:t>
      </w:r>
      <w:r>
        <w:rPr>
          <w:rFonts w:hint="eastAsia" w:ascii="宋体" w:hAnsi="宋体" w:eastAsia="宋体" w:cs="宋体"/>
          <w:color w:val="auto"/>
          <w:sz w:val="21"/>
          <w:szCs w:val="21"/>
          <w:highlight w:val="none"/>
        </w:rPr>
        <w:t>申请单。</w:t>
      </w:r>
    </w:p>
    <w:p w14:paraId="4C5491B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0575B98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192D6DF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0F1486ED">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45" w:name="_Toc351203596"/>
      <w:bookmarkStart w:id="346" w:name="_Toc337558813"/>
      <w:r>
        <w:rPr>
          <w:rFonts w:hint="eastAsia" w:ascii="宋体" w:hAnsi="宋体" w:eastAsia="宋体" w:cs="宋体"/>
          <w:color w:val="auto"/>
          <w:kern w:val="0"/>
          <w:sz w:val="21"/>
          <w:szCs w:val="21"/>
          <w:highlight w:val="none"/>
        </w:rPr>
        <w:t>14.3 甩项竣工协议</w:t>
      </w:r>
      <w:bookmarkEnd w:id="345"/>
    </w:p>
    <w:bookmarkEnd w:id="346"/>
    <w:p w14:paraId="701E6CD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11" w:firstLineChars="196"/>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5DFB6F03">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47" w:name="_Toc351203597"/>
      <w:bookmarkStart w:id="348" w:name="_Toc337558814"/>
      <w:r>
        <w:rPr>
          <w:rFonts w:hint="eastAsia" w:ascii="宋体" w:hAnsi="宋体" w:eastAsia="宋体" w:cs="宋体"/>
          <w:color w:val="auto"/>
          <w:kern w:val="0"/>
          <w:sz w:val="21"/>
          <w:szCs w:val="21"/>
          <w:highlight w:val="none"/>
        </w:rPr>
        <w:t>14.4 最终结清</w:t>
      </w:r>
      <w:bookmarkEnd w:id="347"/>
    </w:p>
    <w:bookmarkEnd w:id="348"/>
    <w:p w14:paraId="674EA2C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14.4.1 最终结清申请单</w:t>
      </w:r>
    </w:p>
    <w:p w14:paraId="4954256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（1）除专用合同条款另有约定外，承包人应在缺陷责任期终止证书颁发后7天内，按专用合同条款约定的份数向发包人提交最终结清申请单，并提供相关证明材料。</w:t>
      </w:r>
    </w:p>
    <w:p w14:paraId="614C676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w:t>
      </w:r>
      <w:r>
        <w:rPr>
          <w:rFonts w:hint="eastAsia" w:ascii="宋体" w:hAnsi="宋体" w:eastAsia="宋体" w:cs="宋体"/>
          <w:color w:val="auto"/>
          <w:kern w:val="0"/>
          <w:sz w:val="21"/>
          <w:szCs w:val="21"/>
          <w:highlight w:val="none"/>
        </w:rPr>
        <w:t>最终结清申请单</w:t>
      </w:r>
      <w:r>
        <w:rPr>
          <w:rFonts w:hint="eastAsia" w:ascii="宋体" w:hAnsi="宋体" w:eastAsia="宋体" w:cs="宋体"/>
          <w:color w:val="auto"/>
          <w:sz w:val="21"/>
          <w:szCs w:val="21"/>
          <w:highlight w:val="none"/>
        </w:rPr>
        <w:t>应列明质量保证金、应扣除的质量保证金、缺陷责任期内发生的增减费用。</w:t>
      </w:r>
    </w:p>
    <w:p w14:paraId="49DF7B0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（2）发包人对最终结清申请单内容有异议的，有权要求承包人进行修正和提供补充资料，承包人应向发包人提交修正后的最终结清申请单。</w:t>
      </w:r>
    </w:p>
    <w:p w14:paraId="3DAFC8E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14.4.2 最终结清证书和支付</w:t>
      </w:r>
    </w:p>
    <w:p w14:paraId="0B3970C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4E353D6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0834773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（3）承包人对发包人颁发的最终结清证书有异议的，按第20条〔争议解决〕的约定办理。</w:t>
      </w:r>
    </w:p>
    <w:p w14:paraId="44C5B4A0">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49" w:name="_Toc351203598"/>
      <w:bookmarkStart w:id="350" w:name="_Toc337558815"/>
      <w:r>
        <w:rPr>
          <w:rFonts w:hint="eastAsia" w:ascii="宋体" w:hAnsi="宋体" w:eastAsia="宋体" w:cs="宋体"/>
          <w:color w:val="auto"/>
          <w:kern w:val="0"/>
          <w:sz w:val="21"/>
          <w:szCs w:val="21"/>
          <w:highlight w:val="none"/>
        </w:rPr>
        <w:t>15. 缺陷责任与保修</w:t>
      </w:r>
      <w:bookmarkEnd w:id="349"/>
    </w:p>
    <w:bookmarkEnd w:id="339"/>
    <w:bookmarkEnd w:id="340"/>
    <w:bookmarkEnd w:id="350"/>
    <w:p w14:paraId="053B12D8">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51" w:name="_Toc351203599"/>
      <w:bookmarkStart w:id="352" w:name="_Toc337558816"/>
      <w:bookmarkStart w:id="353" w:name="_Toc296346615"/>
      <w:bookmarkStart w:id="354" w:name="_Toc296503114"/>
      <w:r>
        <w:rPr>
          <w:rFonts w:hint="eastAsia" w:ascii="宋体" w:hAnsi="宋体" w:eastAsia="宋体" w:cs="宋体"/>
          <w:color w:val="auto"/>
          <w:kern w:val="0"/>
          <w:sz w:val="21"/>
          <w:szCs w:val="21"/>
          <w:highlight w:val="none"/>
        </w:rPr>
        <w:t>15.1 工程保修的原则</w:t>
      </w:r>
      <w:bookmarkEnd w:id="351"/>
    </w:p>
    <w:bookmarkEnd w:id="352"/>
    <w:p w14:paraId="22A1038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在工程移交发包人后，因承包人原因产生的质量缺陷，承包人应承担质量缺陷责任和保修义务。缺陷责任期届满，承包人仍应按合同约定的工程各部位保修年限承担保修义务。</w:t>
      </w:r>
    </w:p>
    <w:p w14:paraId="19EC5530">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55" w:name="_Toc351203600"/>
      <w:bookmarkStart w:id="356" w:name="_Toc337558817"/>
      <w:r>
        <w:rPr>
          <w:rFonts w:hint="eastAsia" w:ascii="宋体" w:hAnsi="宋体" w:eastAsia="宋体" w:cs="宋体"/>
          <w:color w:val="auto"/>
          <w:kern w:val="0"/>
          <w:sz w:val="21"/>
          <w:szCs w:val="21"/>
          <w:highlight w:val="none"/>
        </w:rPr>
        <w:t>15.2 缺陷责任期</w:t>
      </w:r>
      <w:bookmarkEnd w:id="353"/>
      <w:bookmarkEnd w:id="354"/>
      <w:bookmarkEnd w:id="355"/>
    </w:p>
    <w:bookmarkEnd w:id="356"/>
    <w:p w14:paraId="04E5613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15.2.1 缺陷责任期从工程通过竣工验收之日起计算，合同当事人应在专用合同条款约定缺陷责任期的具体期限，但该期限最长不超过24个月。</w:t>
      </w:r>
    </w:p>
    <w:p w14:paraId="5C72083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335C215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eastAsia="宋体" w:cs="宋体"/>
          <w:bCs/>
          <w:color w:val="auto"/>
          <w:sz w:val="21"/>
          <w:szCs w:val="21"/>
          <w:highlight w:val="none"/>
        </w:rPr>
        <w:t>包人延长缺陷责任期，</w:t>
      </w:r>
      <w:r>
        <w:rPr>
          <w:rFonts w:hint="eastAsia" w:ascii="宋体" w:hAnsi="宋体" w:eastAsia="宋体" w:cs="宋体"/>
          <w:color w:val="auto"/>
          <w:kern w:val="0"/>
          <w:sz w:val="21"/>
          <w:szCs w:val="21"/>
          <w:highlight w:val="none"/>
        </w:rPr>
        <w:t>并应在原缺陷责任期届满前发出延长通知。</w:t>
      </w:r>
      <w:r>
        <w:rPr>
          <w:rFonts w:hint="eastAsia" w:ascii="宋体" w:hAnsi="宋体" w:eastAsia="宋体" w:cs="宋体"/>
          <w:bCs/>
          <w:color w:val="auto"/>
          <w:sz w:val="21"/>
          <w:szCs w:val="21"/>
          <w:highlight w:val="none"/>
        </w:rPr>
        <w:t>但缺陷责任期（含延长部分）最长</w:t>
      </w:r>
      <w:r>
        <w:rPr>
          <w:rFonts w:hint="eastAsia" w:ascii="宋体" w:hAnsi="宋体" w:eastAsia="宋体" w:cs="宋体"/>
          <w:color w:val="auto"/>
          <w:kern w:val="0"/>
          <w:sz w:val="21"/>
          <w:szCs w:val="21"/>
          <w:highlight w:val="none"/>
        </w:rPr>
        <w:t>不能超过24个月。</w:t>
      </w:r>
    </w:p>
    <w:p w14:paraId="25FD069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由他人原因造成的缺陷，发包人负责组织维修，承包人不承担费用，且发包人不得从保证金中扣除费用。</w:t>
      </w:r>
    </w:p>
    <w:p w14:paraId="5F85A36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15.2.3 任何一项缺陷或损坏修复后，经检查证明其影响了工程或工程设备的使用性能，承包人应重新进行合同约定的试验和试运行，试验和试运行的全部费用应由责任方承担。</w:t>
      </w:r>
    </w:p>
    <w:p w14:paraId="2938A96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6700EC0C">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57" w:name="_Toc351203601"/>
      <w:bookmarkStart w:id="358" w:name="_Toc337558818"/>
      <w:bookmarkStart w:id="359" w:name="_Toc296346616"/>
      <w:bookmarkStart w:id="360" w:name="_Toc296503115"/>
      <w:r>
        <w:rPr>
          <w:rFonts w:hint="eastAsia" w:ascii="宋体" w:hAnsi="宋体" w:eastAsia="宋体" w:cs="宋体"/>
          <w:color w:val="auto"/>
          <w:kern w:val="0"/>
          <w:sz w:val="21"/>
          <w:szCs w:val="21"/>
          <w:highlight w:val="none"/>
        </w:rPr>
        <w:t>15.3 质量保证金</w:t>
      </w:r>
      <w:bookmarkEnd w:id="357"/>
    </w:p>
    <w:bookmarkEnd w:id="358"/>
    <w:p w14:paraId="25CF5B4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经合同当事人协商一致扣留质量保证金的，应在专用合同条款中予以明确。</w:t>
      </w:r>
    </w:p>
    <w:p w14:paraId="20A130A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在工程项目竣工前，承包人已经提供履约担保的，发包人不得同时预留工程质量保证金。</w:t>
      </w:r>
    </w:p>
    <w:p w14:paraId="0ABD822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15.3.1 承包人提供质量保证金的方式</w:t>
      </w:r>
    </w:p>
    <w:p w14:paraId="0834393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承包人提供质量保证金有以下三种方式：</w:t>
      </w:r>
    </w:p>
    <w:p w14:paraId="14EB386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（1）质量保证金保函； </w:t>
      </w:r>
    </w:p>
    <w:p w14:paraId="62C7690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（2）相应比例的工程款；</w:t>
      </w:r>
    </w:p>
    <w:p w14:paraId="2100769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（3）双方约定的其他方式。</w:t>
      </w:r>
    </w:p>
    <w:p w14:paraId="2DBA7EC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除专用合同条款另有约定外，质量保证金原则上采用上述第（1）种方式。</w:t>
      </w:r>
    </w:p>
    <w:p w14:paraId="550FFAF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15.3.2 质量保证金的扣留</w:t>
      </w:r>
    </w:p>
    <w:p w14:paraId="7CA2BE3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质量保证金的扣留有以下三种方式：</w:t>
      </w:r>
    </w:p>
    <w:p w14:paraId="7BD5FC9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（1）在支付工程进度款时逐次扣留，在此情形下，质量保证金的计算基数不包括预付款的支付、扣回以及价格调整的金额；</w:t>
      </w:r>
    </w:p>
    <w:p w14:paraId="38661D1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（2）工</w:t>
      </w:r>
      <w:bookmarkStart w:id="361" w:name="#go6"/>
      <w:bookmarkEnd w:id="361"/>
      <w:r>
        <w:rPr>
          <w:rFonts w:hint="eastAsia" w:ascii="宋体" w:hAnsi="宋体" w:eastAsia="宋体" w:cs="宋体"/>
          <w:color w:val="auto"/>
          <w:kern w:val="0"/>
          <w:sz w:val="21"/>
          <w:szCs w:val="21"/>
          <w:highlight w:val="none"/>
        </w:rPr>
        <w:t>程竣工结算时一次性扣留质量保证金；</w:t>
      </w:r>
    </w:p>
    <w:p w14:paraId="00D1405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（3）双方约定的其他扣留方式。</w:t>
      </w:r>
    </w:p>
    <w:p w14:paraId="7D66B1D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除专用合同条款另有约定外，质量保证金的扣留原则上采用上述第（1）种方式。</w:t>
      </w:r>
    </w:p>
    <w:p w14:paraId="4DEE802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w:t>
      </w:r>
      <w:bookmarkStart w:id="362" w:name="#go4"/>
      <w:bookmarkEnd w:id="362"/>
      <w:r>
        <w:rPr>
          <w:rFonts w:hint="eastAsia" w:ascii="宋体" w:hAnsi="宋体" w:eastAsia="宋体" w:cs="宋体"/>
          <w:color w:val="auto"/>
          <w:kern w:val="0"/>
          <w:sz w:val="21"/>
          <w:szCs w:val="21"/>
          <w:highlight w:val="none"/>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6B111DE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发包人在退还质量保证金的同时按照中国人民银行发布的同期同类贷款基准利率支付利息。</w:t>
      </w:r>
    </w:p>
    <w:p w14:paraId="6F823CF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15.3.3 </w:t>
      </w:r>
      <w:r>
        <w:rPr>
          <w:rFonts w:hint="eastAsia" w:ascii="宋体" w:hAnsi="宋体" w:eastAsia="宋体" w:cs="宋体"/>
          <w:color w:val="auto"/>
          <w:sz w:val="21"/>
          <w:szCs w:val="21"/>
          <w:highlight w:val="none"/>
        </w:rPr>
        <w:t>质量保证金</w:t>
      </w:r>
      <w:r>
        <w:rPr>
          <w:rFonts w:hint="eastAsia" w:ascii="宋体" w:hAnsi="宋体" w:eastAsia="宋体" w:cs="宋体"/>
          <w:color w:val="auto"/>
          <w:kern w:val="0"/>
          <w:sz w:val="21"/>
          <w:szCs w:val="21"/>
          <w:highlight w:val="none"/>
        </w:rPr>
        <w:t>的退还</w:t>
      </w:r>
    </w:p>
    <w:p w14:paraId="377C008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缺陷责任期内，承包人认真履行合同约定的责任，到期后，承包人可向发包人申请返还保证金。</w:t>
      </w:r>
    </w:p>
    <w:p w14:paraId="1117565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3C36DC1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发包人和承包人对保证金预留、返还以及工程维修质量、费用有争议的，按本合同第20条约定的争议和纠纷解决程序处理。</w:t>
      </w:r>
    </w:p>
    <w:p w14:paraId="4C4CA0FC">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63" w:name="_Toc351203602"/>
      <w:bookmarkStart w:id="364" w:name="_Toc337558819"/>
      <w:r>
        <w:rPr>
          <w:rFonts w:hint="eastAsia" w:ascii="宋体" w:hAnsi="宋体" w:eastAsia="宋体" w:cs="宋体"/>
          <w:color w:val="auto"/>
          <w:kern w:val="0"/>
          <w:sz w:val="21"/>
          <w:szCs w:val="21"/>
          <w:highlight w:val="none"/>
        </w:rPr>
        <w:t>15.4 保修</w:t>
      </w:r>
      <w:bookmarkEnd w:id="363"/>
    </w:p>
    <w:bookmarkEnd w:id="359"/>
    <w:bookmarkEnd w:id="360"/>
    <w:bookmarkEnd w:id="364"/>
    <w:p w14:paraId="74BF758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15.4.1保修责任</w:t>
      </w:r>
    </w:p>
    <w:p w14:paraId="4F630CE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639AC12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发包人未经竣工验收擅自使用工程的，保修期自</w:t>
      </w:r>
      <w:r>
        <w:rPr>
          <w:rFonts w:hint="eastAsia" w:ascii="宋体" w:hAnsi="宋体" w:eastAsia="宋体" w:cs="宋体"/>
          <w:color w:val="auto"/>
          <w:kern w:val="0"/>
          <w:sz w:val="21"/>
          <w:szCs w:val="21"/>
          <w:highlight w:val="none"/>
        </w:rPr>
        <w:t>转移占有之日起算</w:t>
      </w:r>
      <w:r>
        <w:rPr>
          <w:rFonts w:hint="eastAsia" w:ascii="宋体" w:hAnsi="宋体" w:eastAsia="宋体" w:cs="宋体"/>
          <w:color w:val="auto"/>
          <w:sz w:val="21"/>
          <w:szCs w:val="21"/>
          <w:highlight w:val="none"/>
        </w:rPr>
        <w:t>。</w:t>
      </w:r>
    </w:p>
    <w:p w14:paraId="2375609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15.4.2 修复费用</w:t>
      </w:r>
    </w:p>
    <w:p w14:paraId="776F5BA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保修期内，修复的费用按照以下约定处理：</w:t>
      </w:r>
    </w:p>
    <w:p w14:paraId="0F31DDE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（1）保修期内，因承包人原因造成工程的缺陷、损坏，承包人应负责修复，并承担修复的费用以及因工程的缺陷、损坏造成的人身伤害和财产损失；</w:t>
      </w:r>
    </w:p>
    <w:p w14:paraId="600DD85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（2）保修期内，因发包人使用不当造成工程的缺陷、损坏，可以委托承包人修复，但发包人应承担修复的费用，并支付承包人合理利润；</w:t>
      </w:r>
    </w:p>
    <w:p w14:paraId="624362A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（3）因其他原因造成工程的缺陷、损坏，可以委托承包人修复，发包人应承担修复的费用，并支付承包人合理的利润，因工程的缺陷、损坏造成的人身伤害和财产损失由责任方承担。</w:t>
      </w:r>
    </w:p>
    <w:p w14:paraId="3F2B218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15.4.3 修复通知</w:t>
      </w:r>
    </w:p>
    <w:p w14:paraId="2884891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0459B8E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15.4.4 未能修复</w:t>
      </w:r>
    </w:p>
    <w:p w14:paraId="1D6DC798">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2AD84DF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15.4.5 承包人出入权</w:t>
      </w:r>
    </w:p>
    <w:p w14:paraId="4DACB97F">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62F3DE80">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65" w:name="_Toc351203603"/>
      <w:bookmarkStart w:id="366" w:name="_Toc337558820"/>
      <w:r>
        <w:rPr>
          <w:rFonts w:hint="eastAsia" w:ascii="宋体" w:hAnsi="宋体" w:eastAsia="宋体" w:cs="宋体"/>
          <w:color w:val="auto"/>
          <w:kern w:val="0"/>
          <w:sz w:val="21"/>
          <w:szCs w:val="21"/>
          <w:highlight w:val="none"/>
        </w:rPr>
        <w:t>16. 违约</w:t>
      </w:r>
      <w:bookmarkEnd w:id="365"/>
    </w:p>
    <w:bookmarkEnd w:id="366"/>
    <w:p w14:paraId="58D7BDDC">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67" w:name="_Toc296346630"/>
      <w:bookmarkStart w:id="368" w:name="_Toc296503129"/>
      <w:bookmarkStart w:id="369" w:name="_Toc351203604"/>
      <w:bookmarkStart w:id="370" w:name="_Toc337558821"/>
      <w:r>
        <w:rPr>
          <w:rFonts w:hint="eastAsia" w:ascii="宋体" w:hAnsi="宋体" w:eastAsia="宋体" w:cs="宋体"/>
          <w:color w:val="auto"/>
          <w:kern w:val="0"/>
          <w:sz w:val="21"/>
          <w:szCs w:val="21"/>
          <w:highlight w:val="none"/>
        </w:rPr>
        <w:t>16.1 发</w:t>
      </w:r>
      <w:bookmarkEnd w:id="367"/>
      <w:bookmarkEnd w:id="368"/>
      <w:r>
        <w:rPr>
          <w:rFonts w:hint="eastAsia" w:ascii="宋体" w:hAnsi="宋体" w:eastAsia="宋体" w:cs="宋体"/>
          <w:color w:val="auto"/>
          <w:kern w:val="0"/>
          <w:sz w:val="21"/>
          <w:szCs w:val="21"/>
          <w:highlight w:val="none"/>
        </w:rPr>
        <w:t>包人违约</w:t>
      </w:r>
      <w:bookmarkEnd w:id="369"/>
    </w:p>
    <w:bookmarkEnd w:id="370"/>
    <w:p w14:paraId="77C5541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16.1.1 发包人违约的情形</w:t>
      </w:r>
    </w:p>
    <w:p w14:paraId="0D2D19A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在合同履行过程中发生的下列情形，属于发包人违约：</w:t>
      </w:r>
    </w:p>
    <w:p w14:paraId="18D7182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（1）因发包人原因未能在计划开工日期前7天内下达开工通知的；</w:t>
      </w:r>
    </w:p>
    <w:p w14:paraId="1D8EC7B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（2）因发包人原因未能按合同约定支付合同价款的；</w:t>
      </w:r>
    </w:p>
    <w:p w14:paraId="7CBDBB1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（3）发包人违反第10.1款〔变更的范围〕第（2）项约定，自行实施被取消的工作或转由他人实施的；</w:t>
      </w:r>
    </w:p>
    <w:p w14:paraId="306A6C6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（4）发包人提供的材料、工程设备的规格、数量或质量不符合合同约定，或因发包人原因导致交货日期延误或交货地点变更等情况的；</w:t>
      </w:r>
    </w:p>
    <w:p w14:paraId="67FAD59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（5）因发包人违反合同约定造成暂停施工的；</w:t>
      </w:r>
    </w:p>
    <w:p w14:paraId="25676E5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（6）发包人无正当理由没有在约定期限内发出复工指示，导致承包人无法复工的；</w:t>
      </w:r>
    </w:p>
    <w:p w14:paraId="67EE81B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（7）发包人明确表示或者以其行为表明不履行合同主要义务的；</w:t>
      </w:r>
    </w:p>
    <w:p w14:paraId="47028F0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（8）发包人未能按照合同约定履行其他义务的。</w:t>
      </w:r>
    </w:p>
    <w:p w14:paraId="6DE1215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331AD9E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16.1.2 发包人违约的责任</w:t>
      </w:r>
    </w:p>
    <w:p w14:paraId="1FD9115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发包人应承担因其违约给承包人增加的费用和（或）延误的工期，并支付承包人合理的利润。此外，合同当事人可在专用合同条款中另行约定发包人违约责任的承担方式和计算方法。</w:t>
      </w:r>
    </w:p>
    <w:p w14:paraId="4F9A0A6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16.1.3 因发包人违约解除合同</w:t>
      </w:r>
    </w:p>
    <w:p w14:paraId="6A1869A4">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3BC56A7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16.1.4 因发包人违约解除合同后的付款</w:t>
      </w:r>
    </w:p>
    <w:p w14:paraId="5FC5381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承包人按照本款约定解除合同的，发包人应在解除合同后28天内支付下列款项，并解除履约担保：</w:t>
      </w:r>
    </w:p>
    <w:p w14:paraId="4FC09BB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（1）合同解除前所完成工作的价款；</w:t>
      </w:r>
    </w:p>
    <w:p w14:paraId="5439E84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（2）承包人为工程施工订购并已付款的材料、工程设备和其他物品的价款；</w:t>
      </w:r>
    </w:p>
    <w:p w14:paraId="6D354CE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（3）承包人撤离施工现场以及遣散承包人人员的款项；</w:t>
      </w:r>
    </w:p>
    <w:p w14:paraId="31587E8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（4）按照合同约定在合同解除前应支付的违约金；</w:t>
      </w:r>
    </w:p>
    <w:p w14:paraId="4304C14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（5）按照合同约定应当支付给承包人的其他款项；</w:t>
      </w:r>
    </w:p>
    <w:p w14:paraId="2567EA46">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（6）按照合同约定应退还的质量保证金；</w:t>
      </w:r>
    </w:p>
    <w:p w14:paraId="389A6BAF">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（7）因解除合同给承包人造成的损失。</w:t>
      </w:r>
    </w:p>
    <w:p w14:paraId="052004A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合同当事人未能就解除合同后的结清达成一致的，按照第20条〔争议解决〕的约定处理。</w:t>
      </w:r>
    </w:p>
    <w:p w14:paraId="440E863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承包人应妥善做好已完工程和与工程有关的已购材料、工程设备的保护和移交工作，并将施工设备和人员撤出施工现场，发包人应为承包人撤出提供必要条件。</w:t>
      </w:r>
    </w:p>
    <w:p w14:paraId="793B87E6">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71" w:name="_Toc351203605"/>
      <w:bookmarkStart w:id="372" w:name="_Toc337558822"/>
      <w:bookmarkStart w:id="373" w:name="_Toc296346632"/>
      <w:bookmarkStart w:id="374" w:name="_Toc296503131"/>
      <w:r>
        <w:rPr>
          <w:rFonts w:hint="eastAsia" w:ascii="宋体" w:hAnsi="宋体" w:eastAsia="宋体" w:cs="宋体"/>
          <w:color w:val="auto"/>
          <w:kern w:val="0"/>
          <w:sz w:val="21"/>
          <w:szCs w:val="21"/>
          <w:highlight w:val="none"/>
        </w:rPr>
        <w:t>16.2 承包人违约</w:t>
      </w:r>
      <w:bookmarkEnd w:id="371"/>
    </w:p>
    <w:bookmarkEnd w:id="372"/>
    <w:bookmarkEnd w:id="373"/>
    <w:bookmarkEnd w:id="374"/>
    <w:p w14:paraId="58484AE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16.2.1 承包人违约的情形</w:t>
      </w:r>
    </w:p>
    <w:p w14:paraId="0A613EF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在合同履行过程中发生的下列情形，属于承包人违约：</w:t>
      </w:r>
    </w:p>
    <w:p w14:paraId="480DE53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（1）承包人违反合同约定进行转包或违法分包的；</w:t>
      </w:r>
    </w:p>
    <w:p w14:paraId="1D26A0D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（2）承包人违反合同约定采购和使用不合格的材料和工程设备的；</w:t>
      </w:r>
    </w:p>
    <w:p w14:paraId="30BBE65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（3）因承包人原因导致工程质量不符合合同要求的； </w:t>
      </w:r>
    </w:p>
    <w:p w14:paraId="6C6DE0F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（4）承包人违反第8.9款〔材料与设备专用要求〕的约定，未经批准，私自将已按照合同约定进入施工现场的材料或设备撤离施工现场的；</w:t>
      </w:r>
    </w:p>
    <w:p w14:paraId="1B6FD94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（5）承包人未能按施工进度计划及时完成合同约定的工作，造成工期延误的；</w:t>
      </w:r>
    </w:p>
    <w:p w14:paraId="22487237">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（6）承包人在缺陷责任期及保修期内，未能在合理期限对工程缺陷进行修复，或拒绝按发包人要求进行修复的；</w:t>
      </w:r>
    </w:p>
    <w:p w14:paraId="68EB076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（7）承包人明确表示或者以其行为表明不履行合同主要义务的；</w:t>
      </w:r>
    </w:p>
    <w:p w14:paraId="75AF267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（8）承包人未能按照合同约定履行其他义务的。</w:t>
      </w:r>
    </w:p>
    <w:p w14:paraId="48C44ED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承包人发生除本项第（7）目约定以外的其他违约情况时，监理人可向承包人发出整改通知，要求其在指定的期限内改正。</w:t>
      </w:r>
    </w:p>
    <w:p w14:paraId="323F7BC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16.2.2 承包人违约的责任</w:t>
      </w:r>
    </w:p>
    <w:p w14:paraId="779C653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承包人应承担因其违约行为而增加的费用和（或）延误的工期。此外，合同当事人可在专用合同条款中另行约定承包人违约责任的承担方式和计算方法。</w:t>
      </w:r>
    </w:p>
    <w:p w14:paraId="004F035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16.2.3 因承包人违约解除合同</w:t>
      </w:r>
    </w:p>
    <w:p w14:paraId="4A6B32D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2F26701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16.2.4因承包人违约解除合同后的处理</w:t>
      </w:r>
    </w:p>
    <w:p w14:paraId="56C865B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因承包人原因导致合同解除的，则合同当事人应在合同解除后28天内完成估价、付款和清算，并按以下约定执行：</w:t>
      </w:r>
    </w:p>
    <w:p w14:paraId="558C868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（1）合同解除后，按第4.4款〔商定或确定〕商定或确定承包人实际完成工作对应的合同价款，以及承包人已提供的材料、工程设备、施工设备和临时工程等的价值；</w:t>
      </w:r>
    </w:p>
    <w:p w14:paraId="2B06E88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（2）合同解除后，承包人应支付的违约金；</w:t>
      </w:r>
    </w:p>
    <w:p w14:paraId="64E793D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（3）合同解除后，因解除合同给发包人造成的损失；</w:t>
      </w:r>
    </w:p>
    <w:p w14:paraId="5A01664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（4）合同解除后，承包人应按照发包人要求和监理人的指示完成现场的清理和撤离；</w:t>
      </w:r>
    </w:p>
    <w:p w14:paraId="7FC810B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（5）发包人和承包人应在合同解除后进行清算，出具最终结清付款证书，结清全部款项。</w:t>
      </w:r>
    </w:p>
    <w:p w14:paraId="0646F17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008F4F60">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16.2.5采购合同权益转让</w:t>
      </w:r>
    </w:p>
    <w:p w14:paraId="622A695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5380AE25">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75" w:name="_Toc351203606"/>
      <w:r>
        <w:rPr>
          <w:rFonts w:hint="eastAsia" w:ascii="宋体" w:hAnsi="宋体" w:eastAsia="宋体" w:cs="宋体"/>
          <w:color w:val="auto"/>
          <w:kern w:val="0"/>
          <w:sz w:val="21"/>
          <w:szCs w:val="21"/>
          <w:highlight w:val="none"/>
        </w:rPr>
        <w:t>16.3 第三人造成的违约</w:t>
      </w:r>
      <w:bookmarkEnd w:id="375"/>
    </w:p>
    <w:p w14:paraId="5D975BCA">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在履行合同过程中，一方当事人因第三人的原因造成违约的，应当向对方当事人承担违约责任。一方当事人和第三人之间的纠纷，依照法律规定或者按照约定解决。</w:t>
      </w:r>
    </w:p>
    <w:p w14:paraId="1575EF4E">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76" w:name="_Toc351203607"/>
      <w:bookmarkStart w:id="377" w:name="_Toc337558823"/>
      <w:bookmarkStart w:id="378" w:name="_Toc296346617"/>
      <w:bookmarkStart w:id="379" w:name="_Toc296503116"/>
      <w:r>
        <w:rPr>
          <w:rFonts w:hint="eastAsia" w:ascii="宋体" w:hAnsi="宋体" w:eastAsia="宋体" w:cs="宋体"/>
          <w:color w:val="auto"/>
          <w:kern w:val="0"/>
          <w:sz w:val="21"/>
          <w:szCs w:val="21"/>
          <w:highlight w:val="none"/>
        </w:rPr>
        <w:t>17. 不可抗力</w:t>
      </w:r>
      <w:bookmarkEnd w:id="376"/>
      <w:r>
        <w:rPr>
          <w:rFonts w:hint="eastAsia" w:ascii="宋体" w:hAnsi="宋体" w:eastAsia="宋体" w:cs="宋体"/>
          <w:color w:val="auto"/>
          <w:kern w:val="0"/>
          <w:sz w:val="21"/>
          <w:szCs w:val="21"/>
          <w:highlight w:val="none"/>
        </w:rPr>
        <w:t xml:space="preserve"> </w:t>
      </w:r>
      <w:bookmarkEnd w:id="377"/>
      <w:bookmarkEnd w:id="378"/>
      <w:bookmarkEnd w:id="379"/>
    </w:p>
    <w:p w14:paraId="4683D8C0">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80" w:name="_Toc351203608"/>
      <w:bookmarkStart w:id="381" w:name="_Toc296346618"/>
      <w:bookmarkStart w:id="382" w:name="_Toc296503117"/>
      <w:bookmarkStart w:id="383" w:name="_Toc337558824"/>
      <w:r>
        <w:rPr>
          <w:rFonts w:hint="eastAsia" w:ascii="宋体" w:hAnsi="宋体" w:eastAsia="宋体" w:cs="宋体"/>
          <w:color w:val="auto"/>
          <w:kern w:val="0"/>
          <w:sz w:val="21"/>
          <w:szCs w:val="21"/>
          <w:highlight w:val="none"/>
        </w:rPr>
        <w:t>17.1 不可抗力的确认</w:t>
      </w:r>
      <w:bookmarkEnd w:id="380"/>
    </w:p>
    <w:bookmarkEnd w:id="381"/>
    <w:bookmarkEnd w:id="382"/>
    <w:bookmarkEnd w:id="383"/>
    <w:p w14:paraId="1F6BAE3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306FD2E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79E6C048">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84" w:name="_Toc351203609"/>
      <w:bookmarkStart w:id="385" w:name="_Toc337558825"/>
      <w:bookmarkStart w:id="386" w:name="_Toc296503118"/>
      <w:bookmarkStart w:id="387" w:name="_Toc296346619"/>
      <w:r>
        <w:rPr>
          <w:rFonts w:hint="eastAsia" w:ascii="宋体" w:hAnsi="宋体" w:eastAsia="宋体" w:cs="宋体"/>
          <w:color w:val="auto"/>
          <w:kern w:val="0"/>
          <w:sz w:val="21"/>
          <w:szCs w:val="21"/>
          <w:highlight w:val="none"/>
        </w:rPr>
        <w:t>17.2 不可抗力的通知</w:t>
      </w:r>
      <w:bookmarkEnd w:id="384"/>
    </w:p>
    <w:bookmarkEnd w:id="385"/>
    <w:bookmarkEnd w:id="386"/>
    <w:bookmarkEnd w:id="387"/>
    <w:p w14:paraId="6158828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合同一方当事人遇到不可抗力事件，使其履行合同义务受到阻碍时，应立即通知合同另一方当事人和监理人，书面说明不可抗力和受阻碍的详细情况，并提供必要的证明。</w:t>
      </w:r>
    </w:p>
    <w:p w14:paraId="64ACAF0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37BCEFC1">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88" w:name="_Toc351203610"/>
      <w:bookmarkStart w:id="389" w:name="_Toc296346620"/>
      <w:bookmarkStart w:id="390" w:name="_Toc296503119"/>
      <w:bookmarkStart w:id="391" w:name="_Toc337558826"/>
      <w:r>
        <w:rPr>
          <w:rFonts w:hint="eastAsia" w:ascii="宋体" w:hAnsi="宋体" w:eastAsia="宋体" w:cs="宋体"/>
          <w:color w:val="auto"/>
          <w:kern w:val="0"/>
          <w:sz w:val="21"/>
          <w:szCs w:val="21"/>
          <w:highlight w:val="none"/>
        </w:rPr>
        <w:t>17.3 不可抗力后果的承担</w:t>
      </w:r>
      <w:bookmarkEnd w:id="388"/>
    </w:p>
    <w:bookmarkEnd w:id="389"/>
    <w:bookmarkEnd w:id="390"/>
    <w:bookmarkEnd w:id="391"/>
    <w:p w14:paraId="10B1920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17.3.1 不可抗力引起的后果及造成的损失由合同当事人按照法律规定及合同约定各自承担。不可抗力发生前已完成的工程应当按照合同约定进行计量支付。</w:t>
      </w:r>
    </w:p>
    <w:p w14:paraId="5A1C87E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17.3.2 不可抗力导致的人员伤亡、财产损失、费用增加和（或）工期延误等后果，由合同当事人按以下原则承担：</w:t>
      </w:r>
    </w:p>
    <w:p w14:paraId="440F3F1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（1）永久工程、已运至施工现场的材料和工程设备的损坏，以及因工程损坏造成的第三人人员伤亡和财产损失由发包人承担；</w:t>
      </w:r>
    </w:p>
    <w:p w14:paraId="739602B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（2）承包人施工设备的损坏由承包人承担；</w:t>
      </w:r>
    </w:p>
    <w:p w14:paraId="4B576D0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（3）发包人和承包人承担各自人员伤亡和财产的损失；</w:t>
      </w:r>
    </w:p>
    <w:p w14:paraId="3E3989F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0A08D141">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（5）因不可抗力引起或将引起工期延误，发包人要求赶工的，由此增加的赶工费用由发包人承担；</w:t>
      </w:r>
    </w:p>
    <w:p w14:paraId="5E7D963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（6）承包人在停工期间按照发包人要求照管、清理和修复工程的费用由发包人承担。</w:t>
      </w:r>
    </w:p>
    <w:p w14:paraId="72F404D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不可抗力发生后，合同当事人均应采取措施尽量避免和减少损失的扩大，任何一方当事人没有采取有效措施导致损失扩大的，应对扩大的损失承担责任。</w:t>
      </w:r>
    </w:p>
    <w:p w14:paraId="38BBF2C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因合同一方迟延履行合同义务，在迟延履行期间遭遇不可抗力的，不免除其违约责任。</w:t>
      </w:r>
    </w:p>
    <w:p w14:paraId="58C4109C">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92" w:name="_Toc351203611"/>
      <w:bookmarkStart w:id="393" w:name="_Toc337558827"/>
      <w:r>
        <w:rPr>
          <w:rFonts w:hint="eastAsia" w:ascii="宋体" w:hAnsi="宋体" w:eastAsia="宋体" w:cs="宋体"/>
          <w:color w:val="auto"/>
          <w:kern w:val="0"/>
          <w:sz w:val="21"/>
          <w:szCs w:val="21"/>
          <w:highlight w:val="none"/>
        </w:rPr>
        <w:t>17.4 因不可抗力解除合同</w:t>
      </w:r>
      <w:bookmarkEnd w:id="392"/>
    </w:p>
    <w:bookmarkEnd w:id="393"/>
    <w:p w14:paraId="50736C61">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18901DE5">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（1）合同解除前承包人已完成工作的价款；</w:t>
      </w:r>
    </w:p>
    <w:p w14:paraId="404A11DB">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（2）承包人为工程订购的并已交付给承包人，或承包人有责任接受交付的材料、工程设备和其他物品的价款；</w:t>
      </w:r>
    </w:p>
    <w:p w14:paraId="1FC6001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（3）发包人要求承包人退货或解除订货合同而产生的费用，或因不能退货或解除合同而产生的损失；</w:t>
      </w:r>
    </w:p>
    <w:p w14:paraId="1EC4CB6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（4）承包人撤离施工现场以及遣散承包人人员的费用；</w:t>
      </w:r>
    </w:p>
    <w:p w14:paraId="230E617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（5）按照合同约定在合同解除前应支付给承包人的其他款项；</w:t>
      </w:r>
    </w:p>
    <w:p w14:paraId="430FAB62">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（6）扣减承包人按照合同约定应向发包人支付的款项；</w:t>
      </w:r>
    </w:p>
    <w:p w14:paraId="54BB19D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（7）双方商定或确定的其他款项。</w:t>
      </w:r>
    </w:p>
    <w:p w14:paraId="28987323">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除专用合同条款另有约定外，合同解除后，发包人应在商定或确定上述款项后28天内完成上述款项的支付。</w:t>
      </w:r>
    </w:p>
    <w:p w14:paraId="6D705197">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94" w:name="_Toc351203612"/>
      <w:bookmarkStart w:id="395" w:name="_Toc296503120"/>
      <w:bookmarkStart w:id="396" w:name="_Toc296346621"/>
      <w:bookmarkStart w:id="397" w:name="_Toc337558828"/>
      <w:r>
        <w:rPr>
          <w:rFonts w:hint="eastAsia" w:ascii="宋体" w:hAnsi="宋体" w:eastAsia="宋体" w:cs="宋体"/>
          <w:color w:val="auto"/>
          <w:kern w:val="0"/>
          <w:sz w:val="21"/>
          <w:szCs w:val="21"/>
          <w:highlight w:val="none"/>
        </w:rPr>
        <w:t>18. 保险</w:t>
      </w:r>
      <w:bookmarkEnd w:id="394"/>
    </w:p>
    <w:bookmarkEnd w:id="395"/>
    <w:bookmarkEnd w:id="396"/>
    <w:bookmarkEnd w:id="397"/>
    <w:p w14:paraId="0BAC2FD7">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398" w:name="_Toc351203613"/>
      <w:bookmarkStart w:id="399" w:name="_Toc296503121"/>
      <w:bookmarkStart w:id="400" w:name="_Toc337558829"/>
      <w:bookmarkStart w:id="401" w:name="_Toc296346622"/>
      <w:r>
        <w:rPr>
          <w:rFonts w:hint="eastAsia" w:ascii="宋体" w:hAnsi="宋体" w:eastAsia="宋体" w:cs="宋体"/>
          <w:color w:val="auto"/>
          <w:kern w:val="0"/>
          <w:sz w:val="21"/>
          <w:szCs w:val="21"/>
          <w:highlight w:val="none"/>
        </w:rPr>
        <w:t>18.1 工程保险</w:t>
      </w:r>
      <w:bookmarkEnd w:id="398"/>
    </w:p>
    <w:bookmarkEnd w:id="399"/>
    <w:bookmarkEnd w:id="400"/>
    <w:bookmarkEnd w:id="401"/>
    <w:p w14:paraId="6E13CB4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除专用合同条款另有约定外，发包人应投保建筑工程一切险或安装工程一切险；发包人委托承包人投保的，因投保产生的保险费和其他相关费用由发包人承担。</w:t>
      </w:r>
    </w:p>
    <w:p w14:paraId="31C5FB42">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02" w:name="_Toc351203614"/>
      <w:bookmarkStart w:id="403" w:name="_Toc337558830"/>
      <w:bookmarkStart w:id="404" w:name="_Toc296503122"/>
      <w:bookmarkStart w:id="405" w:name="_Toc296346623"/>
      <w:r>
        <w:rPr>
          <w:rFonts w:hint="eastAsia" w:ascii="宋体" w:hAnsi="宋体" w:eastAsia="宋体" w:cs="宋体"/>
          <w:color w:val="auto"/>
          <w:kern w:val="0"/>
          <w:sz w:val="21"/>
          <w:szCs w:val="21"/>
          <w:highlight w:val="none"/>
        </w:rPr>
        <w:t>18.2 工伤保险</w:t>
      </w:r>
      <w:bookmarkEnd w:id="402"/>
    </w:p>
    <w:bookmarkEnd w:id="403"/>
    <w:bookmarkEnd w:id="404"/>
    <w:bookmarkEnd w:id="405"/>
    <w:p w14:paraId="1E2843D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18.2.1 发包人应依照法律规定参加工伤保险，并为在施工现场的全部员工办理工伤保险，缴纳工伤保险费，并要求监理人及由发包人为履行合同聘请的第三方依法参加工伤保险。</w:t>
      </w:r>
    </w:p>
    <w:p w14:paraId="21BA926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18.2.2 承包人应依照法律规定参加工伤保险，并为其履行合同的全部员工办理工伤保险，缴纳工伤保险费，并要求分包人及由承包人为履行合同聘请的第三方依法参加工伤保险。</w:t>
      </w:r>
    </w:p>
    <w:p w14:paraId="73FC51DA">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06" w:name="_Toc351203615"/>
      <w:bookmarkStart w:id="407" w:name="_Toc296503125"/>
      <w:bookmarkStart w:id="408" w:name="_Toc337558831"/>
      <w:bookmarkStart w:id="409" w:name="_Toc296346626"/>
      <w:r>
        <w:rPr>
          <w:rFonts w:hint="eastAsia" w:ascii="宋体" w:hAnsi="宋体" w:eastAsia="宋体" w:cs="宋体"/>
          <w:color w:val="auto"/>
          <w:kern w:val="0"/>
          <w:sz w:val="21"/>
          <w:szCs w:val="21"/>
          <w:highlight w:val="none"/>
        </w:rPr>
        <w:t>18.3其他保险</w:t>
      </w:r>
      <w:bookmarkEnd w:id="406"/>
    </w:p>
    <w:bookmarkEnd w:id="407"/>
    <w:bookmarkEnd w:id="408"/>
    <w:bookmarkEnd w:id="409"/>
    <w:p w14:paraId="0286FE8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发包人和承包人可以为其施工现场的全部人员办理意外伤害保险并支付保险费，包括其员工及为履行合同聘请的第三方的人员，具体事项由合同当事人在专用合同条款约定。</w:t>
      </w:r>
    </w:p>
    <w:p w14:paraId="5D51315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除专用合同条款另有约定外，承包人应为其施工设备等办理财产保险。</w:t>
      </w:r>
    </w:p>
    <w:p w14:paraId="70B93B36">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10" w:name="_Toc351203616"/>
      <w:r>
        <w:rPr>
          <w:rFonts w:hint="eastAsia" w:ascii="宋体" w:hAnsi="宋体" w:eastAsia="宋体" w:cs="宋体"/>
          <w:color w:val="auto"/>
          <w:kern w:val="0"/>
          <w:sz w:val="21"/>
          <w:szCs w:val="21"/>
          <w:highlight w:val="none"/>
        </w:rPr>
        <w:t>18.4持续保险</w:t>
      </w:r>
      <w:bookmarkEnd w:id="410"/>
    </w:p>
    <w:p w14:paraId="7BE7189D">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合同当事人应与保险人保持联系，使保险人能够随时了解工程实施中的变动，并确保按保险合同条款要求持续保险。</w:t>
      </w:r>
    </w:p>
    <w:p w14:paraId="751D4D70">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11" w:name="_Toc351203617"/>
      <w:bookmarkStart w:id="412" w:name="_Toc337558832"/>
      <w:bookmarkStart w:id="413" w:name="_Toc296346627"/>
      <w:bookmarkStart w:id="414" w:name="_Toc296503126"/>
      <w:r>
        <w:rPr>
          <w:rFonts w:hint="eastAsia" w:ascii="宋体" w:hAnsi="宋体" w:eastAsia="宋体" w:cs="宋体"/>
          <w:color w:val="auto"/>
          <w:kern w:val="0"/>
          <w:sz w:val="21"/>
          <w:szCs w:val="21"/>
          <w:highlight w:val="none"/>
        </w:rPr>
        <w:t>18.5 保险凭证</w:t>
      </w:r>
      <w:bookmarkEnd w:id="411"/>
    </w:p>
    <w:bookmarkEnd w:id="412"/>
    <w:bookmarkEnd w:id="413"/>
    <w:bookmarkEnd w:id="414"/>
    <w:p w14:paraId="38164CDE">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合同当事人应及时向另一方当事人提交其已投保的各项保险的凭证和保险单复印件。</w:t>
      </w:r>
    </w:p>
    <w:p w14:paraId="28D77AA7">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15" w:name="_Toc351203618"/>
      <w:bookmarkStart w:id="416" w:name="_Toc296503127"/>
      <w:bookmarkStart w:id="417" w:name="_Toc337558833"/>
      <w:bookmarkStart w:id="418" w:name="_Toc296346628"/>
      <w:r>
        <w:rPr>
          <w:rFonts w:hint="eastAsia" w:ascii="宋体" w:hAnsi="宋体" w:eastAsia="宋体" w:cs="宋体"/>
          <w:color w:val="auto"/>
          <w:kern w:val="0"/>
          <w:sz w:val="21"/>
          <w:szCs w:val="21"/>
          <w:highlight w:val="none"/>
        </w:rPr>
        <w:t>18.6 未按约定投保的补救</w:t>
      </w:r>
      <w:bookmarkEnd w:id="415"/>
    </w:p>
    <w:bookmarkEnd w:id="416"/>
    <w:bookmarkEnd w:id="417"/>
    <w:bookmarkEnd w:id="418"/>
    <w:p w14:paraId="24B636D7">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18.6.1发包人未按合同约定办理保险，或未能使保险持续有效的，则承包人可代为办理，所需费用由发包人承担。发包人未按合同约定办理保险，导致未能得到足额赔偿的，由发包人负责补足。</w:t>
      </w:r>
    </w:p>
    <w:p w14:paraId="404827AC">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18.6.2承包人未按合同约定办理保险，或未能使保险持续有效的，则发包人可代为办理，所需费用由承包人承担。承包人未按合同约定办理保险，导致未能得到足额赔偿的，由承包人负责补足。</w:t>
      </w:r>
    </w:p>
    <w:p w14:paraId="1087C867">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19" w:name="_Toc351203619"/>
      <w:bookmarkStart w:id="420" w:name="_Toc337558834"/>
      <w:r>
        <w:rPr>
          <w:rFonts w:hint="eastAsia" w:ascii="宋体" w:hAnsi="宋体" w:eastAsia="宋体" w:cs="宋体"/>
          <w:color w:val="auto"/>
          <w:kern w:val="0"/>
          <w:sz w:val="21"/>
          <w:szCs w:val="21"/>
          <w:highlight w:val="none"/>
        </w:rPr>
        <w:t>18.7 通知义务</w:t>
      </w:r>
      <w:bookmarkEnd w:id="419"/>
    </w:p>
    <w:bookmarkEnd w:id="420"/>
    <w:p w14:paraId="08697479">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7683DAB4">
      <w:pPr>
        <w:keepNext w:val="0"/>
        <w:keepLines w:val="0"/>
        <w:pageBreakBefore w:val="0"/>
        <w:widowControl w:val="0"/>
        <w:shd w:val="clear" w:color="auto" w:fill="auto"/>
        <w:kinsoku/>
        <w:wordWrap/>
        <w:overflowPunct/>
        <w:topLinePunct w:val="0"/>
        <w:bidi w:val="0"/>
        <w:spacing w:line="360" w:lineRule="auto"/>
        <w:ind w:left="0"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保险事故发生时，投保人应按照保险合同规定的条件和期限及时向保险人报告。发包人和承包人应当在知道保险事故发生后及时通知对方。</w:t>
      </w:r>
    </w:p>
    <w:p w14:paraId="613274AD">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21" w:name="_Toc351203620"/>
      <w:bookmarkStart w:id="422" w:name="_Toc296346641"/>
      <w:bookmarkStart w:id="423" w:name="_Toc296503140"/>
      <w:bookmarkStart w:id="424" w:name="_Toc337558835"/>
      <w:r>
        <w:rPr>
          <w:rFonts w:hint="eastAsia" w:ascii="宋体" w:hAnsi="宋体" w:eastAsia="宋体" w:cs="宋体"/>
          <w:color w:val="auto"/>
          <w:kern w:val="0"/>
          <w:sz w:val="21"/>
          <w:szCs w:val="21"/>
          <w:highlight w:val="none"/>
        </w:rPr>
        <w:t>19. 索赔</w:t>
      </w:r>
      <w:bookmarkEnd w:id="421"/>
    </w:p>
    <w:bookmarkEnd w:id="422"/>
    <w:bookmarkEnd w:id="423"/>
    <w:bookmarkEnd w:id="424"/>
    <w:p w14:paraId="4C0C623C">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25" w:name="_Toc351203621"/>
      <w:bookmarkStart w:id="426" w:name="_Toc296503141"/>
      <w:bookmarkStart w:id="427" w:name="_Toc296346642"/>
      <w:bookmarkStart w:id="428" w:name="_Toc337558836"/>
      <w:r>
        <w:rPr>
          <w:rFonts w:hint="eastAsia" w:ascii="宋体" w:hAnsi="宋体" w:eastAsia="宋体" w:cs="宋体"/>
          <w:color w:val="auto"/>
          <w:kern w:val="0"/>
          <w:sz w:val="21"/>
          <w:szCs w:val="21"/>
          <w:highlight w:val="none"/>
        </w:rPr>
        <w:t>19.1承包人的索赔</w:t>
      </w:r>
      <w:bookmarkEnd w:id="425"/>
    </w:p>
    <w:bookmarkEnd w:id="426"/>
    <w:bookmarkEnd w:id="427"/>
    <w:bookmarkEnd w:id="428"/>
    <w:p w14:paraId="48AF705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根据合同约定，承包人认为有权得到追加付款和（或）延长工期的，应按以下程序向发包人提出索赔：</w:t>
      </w:r>
    </w:p>
    <w:p w14:paraId="7EDB7C1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05AD640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（2）承包人应在发出索赔意向通知书后28天内，向监理人正式递交索赔报告；索赔报告应详细说明索赔理由以及要求追加的付款金额和（或）延长的工期，并附必要的记录和证明材料；</w:t>
      </w:r>
    </w:p>
    <w:p w14:paraId="1961A0A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（3）索赔事件具有持续影响的，承包人应按合理时间间隔继续递交延续索赔通知，说明持续影响的实际情况和记录，列出累计的追加付款金额和（或）工期延长天数；</w:t>
      </w:r>
    </w:p>
    <w:p w14:paraId="453B3DF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（4）在索赔事件影响结束后28天内，承包人应向监理人递交最终索赔报告，说明最终要求索赔的追加付款金额和（或）延长的工期，并附必要的记录和证明材料。</w:t>
      </w:r>
    </w:p>
    <w:p w14:paraId="62F7C489">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29" w:name="_Toc351203622"/>
      <w:bookmarkStart w:id="430" w:name="_Toc296346643"/>
      <w:bookmarkStart w:id="431" w:name="_Toc337558837"/>
      <w:bookmarkStart w:id="432" w:name="_Toc296503142"/>
      <w:r>
        <w:rPr>
          <w:rFonts w:hint="eastAsia" w:ascii="宋体" w:hAnsi="宋体" w:eastAsia="宋体" w:cs="宋体"/>
          <w:color w:val="auto"/>
          <w:kern w:val="0"/>
          <w:sz w:val="21"/>
          <w:szCs w:val="21"/>
          <w:highlight w:val="none"/>
        </w:rPr>
        <w:t>19.2 对承包人索赔的处理</w:t>
      </w:r>
      <w:bookmarkEnd w:id="429"/>
    </w:p>
    <w:bookmarkEnd w:id="430"/>
    <w:bookmarkEnd w:id="431"/>
    <w:bookmarkEnd w:id="432"/>
    <w:p w14:paraId="54A893A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对承包人索赔的处理如下：</w:t>
      </w:r>
    </w:p>
    <w:p w14:paraId="7A52A34D">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（1）监理人应在收到索赔报告后14天内完成审查并报送发包人。监理人对索赔报告存在异议的，有权要求承包人提交全部原始记录副本；</w:t>
      </w:r>
    </w:p>
    <w:p w14:paraId="2C4BCDF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（2）发包人应在监理人收到索赔报告或有关索赔的进一步证明材料后的28天内，由监理人向承包人出具经发包人签认的索赔处理结果。发包人逾期答复的，则视为认可承包人的索赔要求；</w:t>
      </w:r>
    </w:p>
    <w:p w14:paraId="4EB93509">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（3）承包人接受索赔处理结果的，索赔款项在当期进度款中进行支付；承包人不接受索赔处理结果的，按照第20条〔争议解决〕约定处理。</w:t>
      </w:r>
    </w:p>
    <w:p w14:paraId="1A09126B">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33" w:name="_Toc351203623"/>
      <w:bookmarkStart w:id="434" w:name="_Toc296503143"/>
      <w:bookmarkStart w:id="435" w:name="_Toc296346644"/>
      <w:bookmarkStart w:id="436" w:name="_Toc337558838"/>
      <w:r>
        <w:rPr>
          <w:rFonts w:hint="eastAsia" w:ascii="宋体" w:hAnsi="宋体" w:eastAsia="宋体" w:cs="宋体"/>
          <w:color w:val="auto"/>
          <w:kern w:val="0"/>
          <w:sz w:val="21"/>
          <w:szCs w:val="21"/>
          <w:highlight w:val="none"/>
        </w:rPr>
        <w:t>19.3发包人的索赔</w:t>
      </w:r>
      <w:bookmarkEnd w:id="433"/>
    </w:p>
    <w:bookmarkEnd w:id="434"/>
    <w:bookmarkEnd w:id="435"/>
    <w:bookmarkEnd w:id="436"/>
    <w:p w14:paraId="4EBD7B6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根据合同约定，发包人认为有权得到赔付金额和（或）延长缺陷责任期的，监理人应向承包人发出通知并附有详细的证明。</w:t>
      </w:r>
    </w:p>
    <w:p w14:paraId="602D810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39E7B5AD">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37" w:name="_Toc351203624"/>
      <w:bookmarkStart w:id="438" w:name="_Toc296346645"/>
      <w:bookmarkStart w:id="439" w:name="_Toc296503144"/>
      <w:bookmarkStart w:id="440" w:name="_Toc337558839"/>
      <w:r>
        <w:rPr>
          <w:rFonts w:hint="eastAsia" w:ascii="宋体" w:hAnsi="宋体" w:eastAsia="宋体" w:cs="宋体"/>
          <w:color w:val="auto"/>
          <w:kern w:val="0"/>
          <w:sz w:val="21"/>
          <w:szCs w:val="21"/>
          <w:highlight w:val="none"/>
        </w:rPr>
        <w:t>19.4 对发包人索赔的处理</w:t>
      </w:r>
      <w:bookmarkEnd w:id="437"/>
    </w:p>
    <w:bookmarkEnd w:id="438"/>
    <w:bookmarkEnd w:id="439"/>
    <w:bookmarkEnd w:id="440"/>
    <w:p w14:paraId="49E06F1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对发包人索赔的处理如下：</w:t>
      </w:r>
    </w:p>
    <w:p w14:paraId="59EBCF8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（1）承包人收到发包人提交的索赔报告后，应及时审查索赔报告的内容、查验发包人证明材料；</w:t>
      </w:r>
    </w:p>
    <w:p w14:paraId="63822F6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（2）承包人应在收到索赔报告或有关索赔的进一步证明材料后28天内，将索赔处理结果答复发包人。如果承包人未在上述期限内作出答复的，则视为对发包人索赔要求的认可；</w:t>
      </w:r>
    </w:p>
    <w:p w14:paraId="143F511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（3）承包人接受索赔处理结果的，发包人可从应支付给承包人的合同价款中扣除赔付的金额或延长缺陷责任期；发包人不接受索赔处理结果的，按第20条〔争议解决〕约定处理。</w:t>
      </w:r>
    </w:p>
    <w:p w14:paraId="58898E69">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41" w:name="_Toc351203625"/>
      <w:r>
        <w:rPr>
          <w:rFonts w:hint="eastAsia" w:ascii="宋体" w:hAnsi="宋体" w:eastAsia="宋体" w:cs="宋体"/>
          <w:color w:val="auto"/>
          <w:kern w:val="0"/>
          <w:sz w:val="21"/>
          <w:szCs w:val="21"/>
          <w:highlight w:val="none"/>
        </w:rPr>
        <w:t>19.5 提出索赔的期限</w:t>
      </w:r>
      <w:bookmarkEnd w:id="441"/>
    </w:p>
    <w:p w14:paraId="663A771D">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（1）承包人按第14.2款〔竣工结算审核〕约定接收竣工付款证书后，应被视为已无权再提出在工程接收证书颁发前所发生的任何索赔。</w:t>
      </w:r>
    </w:p>
    <w:p w14:paraId="1E55EF23">
      <w:pPr>
        <w:keepNext w:val="0"/>
        <w:keepLines w:val="0"/>
        <w:pageBreakBefore w:val="0"/>
        <w:widowControl w:val="0"/>
        <w:shd w:val="clear" w:color="auto" w:fill="auto"/>
        <w:kinsoku/>
        <w:wordWrap/>
        <w:overflowPunct/>
        <w:topLinePunct w:val="0"/>
        <w:bidi w:val="0"/>
        <w:spacing w:line="360" w:lineRule="auto"/>
        <w:ind w:left="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（2）承包人按第14.4款〔最终结清〕提交的最终结清申请单中，只限于提出工程接收证书颁发后发生的索赔。提出索赔的期限自接受最终结清证书时终止。</w:t>
      </w:r>
    </w:p>
    <w:p w14:paraId="4F7F3311">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42" w:name="_Toc351203626"/>
      <w:r>
        <w:rPr>
          <w:rFonts w:hint="eastAsia" w:ascii="宋体" w:hAnsi="宋体" w:eastAsia="宋体" w:cs="宋体"/>
          <w:color w:val="auto"/>
          <w:kern w:val="0"/>
          <w:sz w:val="21"/>
          <w:szCs w:val="21"/>
          <w:highlight w:val="none"/>
        </w:rPr>
        <w:t>20</w:t>
      </w:r>
      <w:bookmarkStart w:id="443" w:name="_Toc296503146"/>
      <w:bookmarkStart w:id="444" w:name="_Toc296346647"/>
      <w:bookmarkStart w:id="445" w:name="_Toc337558840"/>
      <w:r>
        <w:rPr>
          <w:rFonts w:hint="eastAsia" w:ascii="宋体" w:hAnsi="宋体" w:eastAsia="宋体" w:cs="宋体"/>
          <w:color w:val="auto"/>
          <w:kern w:val="0"/>
          <w:sz w:val="21"/>
          <w:szCs w:val="21"/>
          <w:highlight w:val="none"/>
        </w:rPr>
        <w:t>. 争议解决</w:t>
      </w:r>
      <w:bookmarkEnd w:id="442"/>
    </w:p>
    <w:bookmarkEnd w:id="443"/>
    <w:bookmarkEnd w:id="444"/>
    <w:bookmarkEnd w:id="445"/>
    <w:p w14:paraId="7C86A4D7">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46" w:name="_Toc351203627"/>
      <w:bookmarkStart w:id="447" w:name="_Toc296503147"/>
      <w:bookmarkStart w:id="448" w:name="_Toc337558841"/>
      <w:bookmarkStart w:id="449" w:name="_Toc296346648"/>
      <w:r>
        <w:rPr>
          <w:rFonts w:hint="eastAsia" w:ascii="宋体" w:hAnsi="宋体" w:eastAsia="宋体" w:cs="宋体"/>
          <w:color w:val="auto"/>
          <w:kern w:val="0"/>
          <w:sz w:val="21"/>
          <w:szCs w:val="21"/>
          <w:highlight w:val="none"/>
        </w:rPr>
        <w:t>20.1和解</w:t>
      </w:r>
      <w:bookmarkEnd w:id="446"/>
    </w:p>
    <w:bookmarkEnd w:id="447"/>
    <w:bookmarkEnd w:id="448"/>
    <w:bookmarkEnd w:id="449"/>
    <w:p w14:paraId="1B2501A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合同当事人可以就争议自行和解，自行和解达成协议的经双方签字并盖章后作为合同补充文件，双方均应遵照执行。</w:t>
      </w:r>
    </w:p>
    <w:p w14:paraId="079C8C0B">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50" w:name="_Toc351203628"/>
      <w:r>
        <w:rPr>
          <w:rFonts w:hint="eastAsia" w:ascii="宋体" w:hAnsi="宋体" w:eastAsia="宋体" w:cs="宋体"/>
          <w:color w:val="auto"/>
          <w:kern w:val="0"/>
          <w:sz w:val="21"/>
          <w:szCs w:val="21"/>
          <w:highlight w:val="none"/>
        </w:rPr>
        <w:t>20</w:t>
      </w:r>
      <w:bookmarkStart w:id="451" w:name="_Toc296503148"/>
      <w:bookmarkStart w:id="452" w:name="_Toc296346649"/>
      <w:bookmarkStart w:id="453" w:name="_Toc337558842"/>
      <w:r>
        <w:rPr>
          <w:rFonts w:hint="eastAsia" w:ascii="宋体" w:hAnsi="宋体" w:eastAsia="宋体" w:cs="宋体"/>
          <w:color w:val="auto"/>
          <w:kern w:val="0"/>
          <w:sz w:val="21"/>
          <w:szCs w:val="21"/>
          <w:highlight w:val="none"/>
        </w:rPr>
        <w:t>.2调解</w:t>
      </w:r>
      <w:bookmarkEnd w:id="450"/>
    </w:p>
    <w:bookmarkEnd w:id="451"/>
    <w:bookmarkEnd w:id="452"/>
    <w:bookmarkEnd w:id="453"/>
    <w:p w14:paraId="7557078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合同当事人可以就争议请求建设行政主管部门、行业协会或其他第三方进行调解，调解达成协议的，经双方签字并盖章后作为合同补充文件，双方均应遵照执行。</w:t>
      </w:r>
    </w:p>
    <w:p w14:paraId="004DFB2C">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54" w:name="_Toc351203629"/>
      <w:bookmarkStart w:id="455" w:name="_Toc296346650"/>
      <w:bookmarkStart w:id="456" w:name="_Toc337558843"/>
      <w:bookmarkStart w:id="457" w:name="_Toc296503149"/>
      <w:r>
        <w:rPr>
          <w:rFonts w:hint="eastAsia" w:ascii="宋体" w:hAnsi="宋体" w:eastAsia="宋体" w:cs="宋体"/>
          <w:color w:val="auto"/>
          <w:kern w:val="0"/>
          <w:sz w:val="21"/>
          <w:szCs w:val="21"/>
          <w:highlight w:val="none"/>
        </w:rPr>
        <w:t>20.3争议评审</w:t>
      </w:r>
      <w:bookmarkEnd w:id="454"/>
    </w:p>
    <w:bookmarkEnd w:id="455"/>
    <w:bookmarkEnd w:id="456"/>
    <w:bookmarkEnd w:id="457"/>
    <w:p w14:paraId="038A997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合同当事人在专用合同条款中约定采取争议评审方式解决争议以及评审规则，并按下列约定执行： </w:t>
      </w:r>
    </w:p>
    <w:p w14:paraId="2D491B12">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20.3.1 争议评审小组的确定</w:t>
      </w:r>
    </w:p>
    <w:p w14:paraId="66D1802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合同当事人可以共同选择一名或三名争议评审员，组成争议评审小组。除专用合同条款另有约定外，合同当事人应当自合同签订后28天内，或者争议发生后14天内，选定争议评审员。</w:t>
      </w:r>
    </w:p>
    <w:p w14:paraId="6AFF796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200484D8">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除专用合同条款另有约定外，评审员报酬由发包人和承包人各承担一半。</w:t>
      </w:r>
    </w:p>
    <w:p w14:paraId="3FDFFAAB">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20.3.2 争议评审小组的决定</w:t>
      </w:r>
    </w:p>
    <w:p w14:paraId="7124FE00">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038EFCE6">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20.3.3 争议评审小组决定的效力</w:t>
      </w:r>
    </w:p>
    <w:p w14:paraId="20B81073">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争议评审小组作出的书面决定经合同当事人签字确认后，对双方具有约束力，双方应遵照执行。</w:t>
      </w:r>
    </w:p>
    <w:p w14:paraId="50C55F8C">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任何一方当事人不接受争议评审小组决定或不履行争议评审小组决定的，双方可选择采用其他争议解决方式。</w:t>
      </w:r>
    </w:p>
    <w:p w14:paraId="2079EF0E">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58" w:name="_Toc351203630"/>
      <w:bookmarkStart w:id="459" w:name="_Toc296346651"/>
      <w:bookmarkStart w:id="460" w:name="_Toc337558844"/>
      <w:bookmarkStart w:id="461" w:name="_Toc296503150"/>
      <w:r>
        <w:rPr>
          <w:rFonts w:hint="eastAsia" w:ascii="宋体" w:hAnsi="宋体" w:eastAsia="宋体" w:cs="宋体"/>
          <w:color w:val="auto"/>
          <w:kern w:val="0"/>
          <w:sz w:val="21"/>
          <w:szCs w:val="21"/>
          <w:highlight w:val="none"/>
        </w:rPr>
        <w:t>20.4仲裁或诉讼</w:t>
      </w:r>
      <w:bookmarkEnd w:id="458"/>
    </w:p>
    <w:bookmarkEnd w:id="459"/>
    <w:bookmarkEnd w:id="460"/>
    <w:bookmarkEnd w:id="461"/>
    <w:p w14:paraId="78C1A26A">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因合同及合同有关事项产生的争议，合同当事人可以在专用合同条款中约定以下一种方式解决争议：</w:t>
      </w:r>
    </w:p>
    <w:p w14:paraId="5EAFCC2E">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（1）向约定的仲裁委员会申请仲裁；</w:t>
      </w:r>
    </w:p>
    <w:p w14:paraId="0E25D7B5">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（2）向有管辖权的人民法院起诉。</w:t>
      </w:r>
    </w:p>
    <w:p w14:paraId="6C663865">
      <w:pPr>
        <w:keepNext w:val="0"/>
        <w:keepLines w:val="0"/>
        <w:pageBreakBefore w:val="0"/>
        <w:widowControl w:val="0"/>
        <w:shd w:val="clear" w:color="auto" w:fill="auto"/>
        <w:kinsoku/>
        <w:wordWrap/>
        <w:overflowPunct/>
        <w:topLinePunct w:val="0"/>
        <w:bidi w:val="0"/>
        <w:spacing w:line="360" w:lineRule="auto"/>
        <w:ind w:left="0"/>
        <w:textAlignment w:val="auto"/>
        <w:rPr>
          <w:rFonts w:hint="eastAsia" w:ascii="宋体" w:hAnsi="宋体" w:eastAsia="宋体" w:cs="宋体"/>
          <w:color w:val="auto"/>
          <w:kern w:val="0"/>
          <w:sz w:val="21"/>
          <w:szCs w:val="21"/>
          <w:highlight w:val="none"/>
        </w:rPr>
      </w:pPr>
      <w:bookmarkStart w:id="462" w:name="_Toc351203631"/>
      <w:bookmarkStart w:id="463" w:name="_Toc337558845"/>
      <w:bookmarkStart w:id="464" w:name="_Toc296503152"/>
      <w:bookmarkStart w:id="465" w:name="_Toc296346653"/>
      <w:r>
        <w:rPr>
          <w:rFonts w:hint="eastAsia" w:ascii="宋体" w:hAnsi="宋体" w:eastAsia="宋体" w:cs="宋体"/>
          <w:color w:val="auto"/>
          <w:kern w:val="0"/>
          <w:sz w:val="21"/>
          <w:szCs w:val="21"/>
          <w:highlight w:val="none"/>
        </w:rPr>
        <w:t>20.5争议解决条款效力</w:t>
      </w:r>
      <w:bookmarkEnd w:id="462"/>
    </w:p>
    <w:bookmarkEnd w:id="463"/>
    <w:bookmarkEnd w:id="464"/>
    <w:bookmarkEnd w:id="465"/>
    <w:p w14:paraId="4FDE4EBF">
      <w:pPr>
        <w:keepNext w:val="0"/>
        <w:keepLines w:val="0"/>
        <w:pageBreakBefore w:val="0"/>
        <w:widowControl w:val="0"/>
        <w:shd w:val="clear" w:color="auto" w:fill="auto"/>
        <w:kinsoku/>
        <w:wordWrap/>
        <w:overflowPunct/>
        <w:topLinePunct w:val="0"/>
        <w:autoSpaceDE w:val="0"/>
        <w:autoSpaceDN w:val="0"/>
        <w:bidi w:val="0"/>
        <w:adjustRightInd w:val="0"/>
        <w:spacing w:line="360" w:lineRule="auto"/>
        <w:ind w:left="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合同有关争议解决的条款独立存在，合同的变更、解除、终止、无效或者被撤销均不影响其效力。 </w:t>
      </w:r>
    </w:p>
    <w:p w14:paraId="15E2531E">
      <w:pPr>
        <w:pStyle w:val="6"/>
        <w:numPr>
          <w:ilvl w:val="0"/>
          <w:numId w:val="2"/>
        </w:numPr>
        <w:jc w:val="center"/>
        <w:rPr>
          <w:rFonts w:hint="eastAsia" w:ascii="宋体" w:hAnsi="宋体" w:eastAsia="宋体" w:cs="宋体"/>
          <w:color w:val="auto"/>
          <w:sz w:val="24"/>
          <w:szCs w:val="24"/>
          <w:highlight w:val="none"/>
        </w:rPr>
      </w:pPr>
      <w:bookmarkStart w:id="466" w:name="_Toc351203632"/>
      <w:r>
        <w:rPr>
          <w:rFonts w:hint="eastAsia" w:ascii="宋体" w:hAnsi="宋体" w:eastAsia="宋体" w:cs="宋体"/>
          <w:color w:val="auto"/>
          <w:highlight w:val="none"/>
        </w:rPr>
        <w:br w:type="page"/>
      </w:r>
      <w:bookmarkEnd w:id="0"/>
      <w:bookmarkEnd w:id="1"/>
      <w:bookmarkEnd w:id="2"/>
      <w:bookmarkEnd w:id="3"/>
      <w:bookmarkEnd w:id="4"/>
      <w:bookmarkEnd w:id="5"/>
      <w:bookmarkEnd w:id="6"/>
      <w:bookmarkEnd w:id="466"/>
      <w:bookmarkStart w:id="467" w:name="_Toc18712"/>
      <w:r>
        <w:rPr>
          <w:rFonts w:hint="eastAsia" w:ascii="宋体" w:hAnsi="宋体" w:eastAsia="宋体" w:cs="宋体"/>
          <w:color w:val="auto"/>
          <w:sz w:val="24"/>
          <w:szCs w:val="24"/>
          <w:highlight w:val="none"/>
        </w:rPr>
        <w:t>专用合同条款</w:t>
      </w:r>
      <w:bookmarkStart w:id="468" w:name="_Toc351203633"/>
    </w:p>
    <w:p w14:paraId="0013AF3F">
      <w:pPr>
        <w:spacing w:after="120" w:line="400" w:lineRule="exact"/>
        <w:ind w:firstLine="420" w:firstLineChars="200"/>
        <w:outlineLvl w:val="0"/>
        <w:rPr>
          <w:rFonts w:hint="eastAsia" w:ascii="宋体" w:hAnsi="宋体" w:eastAsia="宋体" w:cs="宋体"/>
          <w:color w:val="auto"/>
          <w:sz w:val="21"/>
          <w:szCs w:val="21"/>
          <w:highlight w:val="none"/>
        </w:rPr>
      </w:pPr>
      <w:bookmarkStart w:id="469" w:name="_Toc15069"/>
      <w:bookmarkStart w:id="470" w:name="_Toc24080"/>
      <w:r>
        <w:rPr>
          <w:rFonts w:hint="eastAsia" w:ascii="宋体" w:hAnsi="宋体" w:eastAsia="宋体" w:cs="宋体"/>
          <w:color w:val="auto"/>
          <w:sz w:val="21"/>
          <w:szCs w:val="21"/>
          <w:highlight w:val="none"/>
        </w:rPr>
        <w:t>1</w:t>
      </w:r>
      <w:bookmarkStart w:id="471" w:name="_Toc296347155"/>
      <w:bookmarkStart w:id="472" w:name="_Toc297048342"/>
      <w:bookmarkStart w:id="473" w:name="_Toc297120456"/>
      <w:bookmarkStart w:id="474" w:name="_Toc292559866"/>
      <w:bookmarkStart w:id="475" w:name="_Toc296944495"/>
      <w:bookmarkStart w:id="476" w:name="_Toc296890984"/>
      <w:bookmarkStart w:id="477" w:name="_Toc296891196"/>
      <w:bookmarkStart w:id="478" w:name="_Toc296346657"/>
      <w:bookmarkStart w:id="479" w:name="_Toc292559361"/>
      <w:bookmarkStart w:id="480" w:name="_Toc296503156"/>
      <w:r>
        <w:rPr>
          <w:rFonts w:hint="eastAsia" w:ascii="宋体" w:hAnsi="宋体" w:eastAsia="宋体" w:cs="宋体"/>
          <w:color w:val="auto"/>
          <w:sz w:val="21"/>
          <w:szCs w:val="21"/>
          <w:highlight w:val="none"/>
        </w:rPr>
        <w:t>. 一般约定</w:t>
      </w:r>
      <w:bookmarkEnd w:id="468"/>
      <w:bookmarkEnd w:id="469"/>
      <w:bookmarkEnd w:id="470"/>
    </w:p>
    <w:bookmarkEnd w:id="471"/>
    <w:bookmarkEnd w:id="472"/>
    <w:bookmarkEnd w:id="473"/>
    <w:bookmarkEnd w:id="474"/>
    <w:bookmarkEnd w:id="475"/>
    <w:bookmarkEnd w:id="476"/>
    <w:bookmarkEnd w:id="477"/>
    <w:bookmarkEnd w:id="478"/>
    <w:bookmarkEnd w:id="479"/>
    <w:bookmarkEnd w:id="480"/>
    <w:p w14:paraId="022E5C07">
      <w:pPr>
        <w:spacing w:after="120" w:line="400" w:lineRule="exact"/>
        <w:ind w:firstLine="420" w:firstLineChars="200"/>
        <w:outlineLvl w:val="0"/>
        <w:rPr>
          <w:rFonts w:hint="eastAsia" w:ascii="宋体" w:hAnsi="宋体" w:eastAsia="宋体" w:cs="宋体"/>
          <w:color w:val="auto"/>
          <w:sz w:val="21"/>
          <w:szCs w:val="21"/>
          <w:highlight w:val="none"/>
        </w:rPr>
      </w:pPr>
      <w:bookmarkStart w:id="481" w:name="_Toc16127"/>
      <w:bookmarkStart w:id="482" w:name="_Toc29825"/>
      <w:bookmarkStart w:id="483" w:name="_Toc20178"/>
      <w:bookmarkStart w:id="484" w:name="_Toc24056"/>
      <w:r>
        <w:rPr>
          <w:rFonts w:hint="eastAsia" w:ascii="宋体" w:hAnsi="宋体" w:eastAsia="宋体" w:cs="宋体"/>
          <w:color w:val="auto"/>
          <w:sz w:val="21"/>
          <w:szCs w:val="21"/>
          <w:highlight w:val="none"/>
        </w:rPr>
        <w:t>1.1 词语定义</w:t>
      </w:r>
      <w:bookmarkEnd w:id="481"/>
      <w:bookmarkEnd w:id="482"/>
      <w:bookmarkEnd w:id="483"/>
      <w:bookmarkEnd w:id="484"/>
    </w:p>
    <w:p w14:paraId="4423048E">
      <w:pPr>
        <w:spacing w:after="120" w:line="400" w:lineRule="exact"/>
        <w:ind w:firstLine="420" w:firstLineChars="200"/>
        <w:outlineLvl w:val="0"/>
        <w:rPr>
          <w:rFonts w:hint="eastAsia" w:ascii="宋体" w:hAnsi="宋体" w:eastAsia="宋体" w:cs="宋体"/>
          <w:color w:val="auto"/>
          <w:sz w:val="21"/>
          <w:szCs w:val="21"/>
          <w:highlight w:val="none"/>
        </w:rPr>
      </w:pPr>
      <w:bookmarkStart w:id="485" w:name="_Toc7058"/>
      <w:bookmarkStart w:id="486" w:name="_Toc20478"/>
      <w:r>
        <w:rPr>
          <w:rFonts w:hint="eastAsia" w:ascii="宋体" w:hAnsi="宋体" w:eastAsia="宋体" w:cs="宋体"/>
          <w:color w:val="auto"/>
          <w:sz w:val="21"/>
          <w:szCs w:val="21"/>
          <w:highlight w:val="none"/>
        </w:rPr>
        <w:t>1.1.1合同</w:t>
      </w:r>
      <w:bookmarkEnd w:id="485"/>
      <w:bookmarkEnd w:id="486"/>
    </w:p>
    <w:p w14:paraId="4B638FF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1.1.1.10其他合同文括：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E3FBFF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 合同当事人及其他相关方</w:t>
      </w:r>
    </w:p>
    <w:p w14:paraId="7F5989C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1.1.2.4监理人：</w:t>
      </w:r>
    </w:p>
    <w:p w14:paraId="2192DF4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    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8B7D6D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资质类别和等级：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506290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531BA7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E14550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F8ED13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1.1.2.5 设计人：</w:t>
      </w:r>
    </w:p>
    <w:p w14:paraId="6D7ACA8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    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ED2BD4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资质类别和等级：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33F4103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64F03E8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EE0E76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420992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 工程和设备</w:t>
      </w:r>
    </w:p>
    <w:p w14:paraId="51106CE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1.1.3.7 作为施工现场组成部分的其他场所包括：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7E531CB4">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1.1.3.9 永久占地包括：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15643CF1">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1.1.3.10 临时占地包括：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21B09860">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1.3法律 </w:t>
      </w:r>
    </w:p>
    <w:p w14:paraId="4709347C">
      <w:pPr>
        <w:autoSpaceDE w:val="0"/>
        <w:autoSpaceDN w:val="0"/>
        <w:adjustRightInd w:val="0"/>
        <w:spacing w:line="400" w:lineRule="exact"/>
        <w:ind w:left="806" w:leftChars="284" w:hanging="210" w:hanging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适用于合同的其他规范性文件：</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83E0552">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 标准和规范</w:t>
      </w:r>
    </w:p>
    <w:p w14:paraId="275B996B">
      <w:pPr>
        <w:spacing w:line="400" w:lineRule="exact"/>
        <w:ind w:left="596" w:leftChars="28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1.4.1适用于工程的标准规范包括：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7A9B3F30">
      <w:pPr>
        <w:spacing w:line="400" w:lineRule="exact"/>
        <w:ind w:firstLine="420" w:firstLineChars="200"/>
        <w:outlineLvl w:val="0"/>
        <w:rPr>
          <w:rFonts w:hint="eastAsia" w:ascii="宋体" w:hAnsi="宋体" w:eastAsia="宋体" w:cs="宋体"/>
          <w:color w:val="auto"/>
          <w:sz w:val="21"/>
          <w:szCs w:val="21"/>
          <w:highlight w:val="none"/>
        </w:rPr>
      </w:pPr>
      <w:bookmarkStart w:id="487" w:name="_Toc19703"/>
      <w:bookmarkStart w:id="488" w:name="_Toc5205"/>
      <w:bookmarkStart w:id="489" w:name="_Toc20399"/>
      <w:bookmarkStart w:id="490" w:name="_Toc8456"/>
      <w:r>
        <w:rPr>
          <w:rFonts w:hint="eastAsia" w:ascii="宋体" w:hAnsi="宋体" w:eastAsia="宋体" w:cs="宋体"/>
          <w:color w:val="auto"/>
          <w:sz w:val="21"/>
          <w:szCs w:val="21"/>
          <w:highlight w:val="none"/>
        </w:rPr>
        <w:t>1.4.2 发包人提供国外标准、规范的名称：</w:t>
      </w:r>
      <w:bookmarkEnd w:id="487"/>
      <w:bookmarkEnd w:id="488"/>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bookmarkEnd w:id="489"/>
      <w:bookmarkEnd w:id="490"/>
    </w:p>
    <w:p w14:paraId="370D1AD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发包人提供国外标准、规范的份数：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D6F0AD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发包人提供国外标准、规范的名称：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ADE067E">
      <w:pPr>
        <w:spacing w:line="400" w:lineRule="exact"/>
        <w:ind w:left="596" w:leftChars="28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1.4.3发包人对工程的技术标准和功能要求的特殊要求：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C5D0883">
      <w:pPr>
        <w:spacing w:after="120" w:line="400" w:lineRule="exact"/>
        <w:ind w:firstLine="420" w:firstLineChars="200"/>
        <w:outlineLvl w:val="0"/>
        <w:rPr>
          <w:rFonts w:hint="eastAsia" w:ascii="宋体" w:hAnsi="宋体" w:eastAsia="宋体" w:cs="宋体"/>
          <w:color w:val="auto"/>
          <w:sz w:val="21"/>
          <w:szCs w:val="21"/>
          <w:highlight w:val="none"/>
        </w:rPr>
      </w:pPr>
      <w:bookmarkStart w:id="491" w:name="_Toc11720"/>
      <w:bookmarkStart w:id="492" w:name="_Toc13912"/>
      <w:bookmarkStart w:id="493" w:name="_Toc916"/>
      <w:bookmarkStart w:id="494" w:name="_Toc1931"/>
      <w:r>
        <w:rPr>
          <w:rFonts w:hint="eastAsia" w:ascii="宋体" w:hAnsi="宋体" w:eastAsia="宋体" w:cs="宋体"/>
          <w:color w:val="auto"/>
          <w:sz w:val="21"/>
          <w:szCs w:val="21"/>
          <w:highlight w:val="none"/>
        </w:rPr>
        <w:t>1.5 合同文件的优先顺序</w:t>
      </w:r>
      <w:bookmarkEnd w:id="491"/>
      <w:bookmarkEnd w:id="492"/>
      <w:bookmarkEnd w:id="493"/>
      <w:bookmarkEnd w:id="494"/>
    </w:p>
    <w:p w14:paraId="62917B4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合同文件组成及优先顺序为：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202AF640">
      <w:pPr>
        <w:spacing w:after="120" w:line="400" w:lineRule="exact"/>
        <w:ind w:firstLine="420" w:firstLineChars="200"/>
        <w:outlineLvl w:val="0"/>
        <w:rPr>
          <w:rFonts w:hint="eastAsia" w:ascii="宋体" w:hAnsi="宋体" w:eastAsia="宋体" w:cs="宋体"/>
          <w:color w:val="auto"/>
          <w:sz w:val="21"/>
          <w:szCs w:val="21"/>
          <w:highlight w:val="none"/>
        </w:rPr>
      </w:pPr>
      <w:bookmarkStart w:id="495" w:name="_Toc6757"/>
      <w:bookmarkStart w:id="496" w:name="_Toc21135"/>
      <w:bookmarkStart w:id="497" w:name="_Toc1880"/>
      <w:bookmarkStart w:id="498" w:name="_Toc18458"/>
      <w:r>
        <w:rPr>
          <w:rFonts w:hint="eastAsia" w:ascii="宋体" w:hAnsi="宋体" w:eastAsia="宋体" w:cs="宋体"/>
          <w:color w:val="auto"/>
          <w:sz w:val="21"/>
          <w:szCs w:val="21"/>
          <w:highlight w:val="none"/>
        </w:rPr>
        <w:t>1.6 图纸和承包人文件</w:t>
      </w:r>
      <w:bookmarkEnd w:id="495"/>
      <w:bookmarkEnd w:id="496"/>
      <w:bookmarkEnd w:id="497"/>
      <w:bookmarkEnd w:id="498"/>
      <w:r>
        <w:rPr>
          <w:rFonts w:hint="eastAsia" w:ascii="宋体" w:hAnsi="宋体" w:eastAsia="宋体" w:cs="宋体"/>
          <w:color w:val="auto"/>
          <w:sz w:val="21"/>
          <w:szCs w:val="21"/>
          <w:highlight w:val="none"/>
        </w:rPr>
        <w:tab/>
      </w:r>
    </w:p>
    <w:p w14:paraId="4318402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 图纸的提供</w:t>
      </w:r>
    </w:p>
    <w:p w14:paraId="4ADC09C4">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发包人向承包人提供图纸的期限：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D7D9FA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发包人向承包人提供图纸的数量：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A26E1E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发包人向承包人提供图纸的内容：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A0608E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1.6.4 承包人文件</w:t>
      </w:r>
    </w:p>
    <w:p w14:paraId="486FD78B">
      <w:pPr>
        <w:spacing w:line="400" w:lineRule="exact"/>
        <w:ind w:left="596" w:leftChars="28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需要由承包人提供的文件，包括：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426000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承包人提供的文件的期限为：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827867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承包人提供的文件的数量为：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68F4EE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承包人提供的文件的形式为：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E8C668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发包人审批承包人文件的期限：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8A1464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1.6.5 现场图纸准备</w:t>
      </w:r>
    </w:p>
    <w:p w14:paraId="4A969D2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关于现场图纸准备的约定：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EE51052">
      <w:pPr>
        <w:spacing w:after="120" w:line="400" w:lineRule="exact"/>
        <w:ind w:firstLine="420" w:firstLineChars="200"/>
        <w:outlineLvl w:val="0"/>
        <w:rPr>
          <w:rFonts w:hint="eastAsia" w:ascii="宋体" w:hAnsi="宋体" w:eastAsia="宋体" w:cs="宋体"/>
          <w:color w:val="auto"/>
          <w:sz w:val="21"/>
          <w:szCs w:val="21"/>
          <w:highlight w:val="none"/>
        </w:rPr>
      </w:pPr>
      <w:bookmarkStart w:id="499" w:name="_Toc7236"/>
      <w:bookmarkStart w:id="500" w:name="_Toc29197"/>
      <w:bookmarkStart w:id="501" w:name="_Toc3111"/>
      <w:bookmarkStart w:id="502" w:name="_Toc32041"/>
      <w:r>
        <w:rPr>
          <w:rFonts w:hint="eastAsia" w:ascii="宋体" w:hAnsi="宋体" w:eastAsia="宋体" w:cs="宋体"/>
          <w:color w:val="auto"/>
          <w:sz w:val="21"/>
          <w:szCs w:val="21"/>
          <w:highlight w:val="none"/>
        </w:rPr>
        <w:t>1.7 联络</w:t>
      </w:r>
      <w:bookmarkEnd w:id="499"/>
      <w:bookmarkEnd w:id="500"/>
      <w:bookmarkEnd w:id="501"/>
      <w:bookmarkEnd w:id="502"/>
    </w:p>
    <w:p w14:paraId="47C2F994">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1.7.1发包人和承包人应当在</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天内将与合同有关的通知、批准、证明、证书、指示、指令、要求、请求、同意、意见、确定和决定等书面函件送达对方当事人。</w:t>
      </w:r>
    </w:p>
    <w:p w14:paraId="6A76FBB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1.7.2 发包人接收文件的地点：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93C694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发包人指定的接收人为：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684B7E4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承包人接收文件的地点：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6CFA754">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承包人指定的接收人为：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FA62FC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监理人接收文件的地点：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266E59D4">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监理人指定的接收人为：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36429EFD">
      <w:pPr>
        <w:spacing w:after="120" w:line="400" w:lineRule="exact"/>
        <w:ind w:firstLine="420" w:firstLineChars="200"/>
        <w:outlineLvl w:val="0"/>
        <w:rPr>
          <w:rFonts w:hint="eastAsia" w:ascii="宋体" w:hAnsi="宋体" w:eastAsia="宋体" w:cs="宋体"/>
          <w:color w:val="auto"/>
          <w:sz w:val="21"/>
          <w:szCs w:val="21"/>
          <w:highlight w:val="none"/>
        </w:rPr>
      </w:pPr>
      <w:bookmarkStart w:id="503" w:name="_Toc32418"/>
      <w:bookmarkStart w:id="504" w:name="_Toc30760"/>
      <w:bookmarkStart w:id="505" w:name="_Toc18801"/>
      <w:bookmarkStart w:id="506" w:name="_Toc27113"/>
      <w:r>
        <w:rPr>
          <w:rFonts w:hint="eastAsia" w:ascii="宋体" w:hAnsi="宋体" w:eastAsia="宋体" w:cs="宋体"/>
          <w:color w:val="auto"/>
          <w:sz w:val="21"/>
          <w:szCs w:val="21"/>
          <w:highlight w:val="none"/>
        </w:rPr>
        <w:t>1.10 交通运输</w:t>
      </w:r>
      <w:bookmarkEnd w:id="503"/>
      <w:bookmarkEnd w:id="504"/>
      <w:bookmarkEnd w:id="505"/>
      <w:bookmarkEnd w:id="506"/>
    </w:p>
    <w:p w14:paraId="0A64AD49">
      <w:pPr>
        <w:spacing w:line="400" w:lineRule="exact"/>
        <w:ind w:firstLine="420" w:firstLineChars="200"/>
        <w:outlineLvl w:val="0"/>
        <w:rPr>
          <w:rFonts w:hint="eastAsia" w:ascii="宋体" w:hAnsi="宋体" w:eastAsia="宋体" w:cs="宋体"/>
          <w:color w:val="auto"/>
          <w:sz w:val="21"/>
          <w:szCs w:val="21"/>
          <w:highlight w:val="none"/>
        </w:rPr>
      </w:pPr>
      <w:bookmarkStart w:id="507" w:name="_Toc24334"/>
      <w:bookmarkStart w:id="508" w:name="_Toc17319"/>
      <w:bookmarkStart w:id="509" w:name="_Toc28602"/>
      <w:bookmarkStart w:id="510" w:name="_Toc11978"/>
      <w:r>
        <w:rPr>
          <w:rFonts w:hint="eastAsia" w:ascii="宋体" w:hAnsi="宋体" w:eastAsia="宋体" w:cs="宋体"/>
          <w:color w:val="auto"/>
          <w:sz w:val="21"/>
          <w:szCs w:val="21"/>
          <w:highlight w:val="none"/>
        </w:rPr>
        <w:t>1</w:t>
      </w:r>
      <w:bookmarkStart w:id="511" w:name="_Toc300934943"/>
      <w:bookmarkStart w:id="512" w:name="_Toc304295521"/>
      <w:bookmarkStart w:id="513" w:name="_Toc318581155"/>
      <w:bookmarkStart w:id="514" w:name="_Toc312677986"/>
      <w:bookmarkStart w:id="515" w:name="_Toc303539100"/>
      <w:r>
        <w:rPr>
          <w:rFonts w:hint="eastAsia" w:ascii="宋体" w:hAnsi="宋体" w:eastAsia="宋体" w:cs="宋体"/>
          <w:color w:val="auto"/>
          <w:sz w:val="21"/>
          <w:szCs w:val="21"/>
          <w:highlight w:val="none"/>
        </w:rPr>
        <w:t>.10.1 出入现场的权利</w:t>
      </w:r>
      <w:bookmarkEnd w:id="507"/>
      <w:bookmarkEnd w:id="508"/>
      <w:bookmarkEnd w:id="509"/>
      <w:bookmarkEnd w:id="510"/>
    </w:p>
    <w:p w14:paraId="2357ACDC">
      <w:pPr>
        <w:spacing w:line="400" w:lineRule="exact"/>
        <w:ind w:left="596" w:leftChars="28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关于出入现场的权利的约定：</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511"/>
    <w:bookmarkEnd w:id="512"/>
    <w:bookmarkEnd w:id="513"/>
    <w:bookmarkEnd w:id="514"/>
    <w:bookmarkEnd w:id="515"/>
    <w:p w14:paraId="2C009AD0">
      <w:pPr>
        <w:spacing w:line="400" w:lineRule="exact"/>
        <w:ind w:firstLine="420" w:firstLineChars="200"/>
        <w:outlineLvl w:val="0"/>
        <w:rPr>
          <w:rFonts w:hint="eastAsia" w:ascii="宋体" w:hAnsi="宋体" w:eastAsia="宋体" w:cs="宋体"/>
          <w:color w:val="auto"/>
          <w:sz w:val="21"/>
          <w:szCs w:val="21"/>
          <w:highlight w:val="none"/>
        </w:rPr>
      </w:pPr>
      <w:bookmarkStart w:id="516" w:name="_Toc16146"/>
      <w:bookmarkStart w:id="517" w:name="_Toc1140"/>
      <w:bookmarkStart w:id="518" w:name="_Toc11003"/>
      <w:bookmarkStart w:id="519" w:name="_Toc28639"/>
      <w:r>
        <w:rPr>
          <w:rFonts w:hint="eastAsia" w:ascii="宋体" w:hAnsi="宋体" w:eastAsia="宋体" w:cs="宋体"/>
          <w:color w:val="auto"/>
          <w:sz w:val="21"/>
          <w:szCs w:val="21"/>
          <w:highlight w:val="none"/>
        </w:rPr>
        <w:t>1</w:t>
      </w:r>
      <w:bookmarkStart w:id="520" w:name="_Toc312677987"/>
      <w:bookmarkStart w:id="521" w:name="_Toc300934944"/>
      <w:bookmarkStart w:id="522" w:name="_Toc304295522"/>
      <w:bookmarkStart w:id="523" w:name="_Toc303539101"/>
      <w:bookmarkStart w:id="524" w:name="_Toc318581156"/>
      <w:r>
        <w:rPr>
          <w:rFonts w:hint="eastAsia" w:ascii="宋体" w:hAnsi="宋体" w:eastAsia="宋体" w:cs="宋体"/>
          <w:color w:val="auto"/>
          <w:sz w:val="21"/>
          <w:szCs w:val="21"/>
          <w:highlight w:val="none"/>
        </w:rPr>
        <w:t>.10.3 场内交通</w:t>
      </w:r>
      <w:bookmarkEnd w:id="516"/>
      <w:bookmarkEnd w:id="517"/>
      <w:bookmarkEnd w:id="518"/>
      <w:bookmarkEnd w:id="519"/>
    </w:p>
    <w:p w14:paraId="038A614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关于场外交通和场内交通的边界的约定：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4C0C6F1">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关于发包人向承包人免费提供满足工程施工需要的场内道路和交通设施的约定：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bookmarkEnd w:id="520"/>
      <w:bookmarkEnd w:id="521"/>
      <w:bookmarkEnd w:id="522"/>
      <w:bookmarkEnd w:id="523"/>
      <w:bookmarkEnd w:id="524"/>
      <w:r>
        <w:rPr>
          <w:rFonts w:hint="eastAsia" w:ascii="宋体" w:hAnsi="宋体" w:eastAsia="宋体" w:cs="宋体"/>
          <w:color w:val="auto"/>
          <w:sz w:val="21"/>
          <w:szCs w:val="21"/>
          <w:highlight w:val="none"/>
        </w:rPr>
        <w:t xml:space="preserve">  </w:t>
      </w:r>
      <w:bookmarkStart w:id="525" w:name="_Toc318581157"/>
    </w:p>
    <w:p w14:paraId="67C02EB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1.10.4超大件和超重件的运输</w:t>
      </w:r>
    </w:p>
    <w:p w14:paraId="1AE8944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运输超大件或超重件所需的道路和桥梁临时加固改造费用和其他有关费用由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承担。</w:t>
      </w:r>
    </w:p>
    <w:bookmarkEnd w:id="525"/>
    <w:p w14:paraId="7A0C88CB">
      <w:pPr>
        <w:spacing w:after="120" w:line="400" w:lineRule="exact"/>
        <w:ind w:firstLine="420" w:firstLineChars="200"/>
        <w:outlineLvl w:val="0"/>
        <w:rPr>
          <w:rFonts w:hint="eastAsia" w:ascii="宋体" w:hAnsi="宋体" w:eastAsia="宋体" w:cs="宋体"/>
          <w:color w:val="auto"/>
          <w:sz w:val="21"/>
          <w:szCs w:val="21"/>
          <w:highlight w:val="none"/>
        </w:rPr>
      </w:pPr>
      <w:bookmarkStart w:id="526" w:name="_Toc3355"/>
      <w:bookmarkStart w:id="527" w:name="_Toc2409"/>
      <w:bookmarkStart w:id="528" w:name="_Toc6425"/>
      <w:bookmarkStart w:id="529" w:name="_Toc17759"/>
      <w:r>
        <w:rPr>
          <w:rFonts w:hint="eastAsia" w:ascii="宋体" w:hAnsi="宋体" w:eastAsia="宋体" w:cs="宋体"/>
          <w:color w:val="auto"/>
          <w:sz w:val="21"/>
          <w:szCs w:val="21"/>
          <w:highlight w:val="none"/>
        </w:rPr>
        <w:t>1.11 知识产权</w:t>
      </w:r>
      <w:bookmarkEnd w:id="526"/>
      <w:bookmarkEnd w:id="527"/>
      <w:bookmarkEnd w:id="528"/>
      <w:bookmarkEnd w:id="529"/>
    </w:p>
    <w:p w14:paraId="1068868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78E0068">
      <w:pPr>
        <w:spacing w:line="400" w:lineRule="exact"/>
        <w:ind w:left="596" w:leftChars="28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关于发包人提供的上述文件的使用限制的要求：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2EACC0B">
      <w:pPr>
        <w:spacing w:line="400" w:lineRule="exact"/>
        <w:ind w:left="596" w:leftChars="284"/>
        <w:outlineLvl w:val="0"/>
        <w:rPr>
          <w:rFonts w:hint="eastAsia" w:ascii="宋体" w:hAnsi="宋体" w:eastAsia="宋体" w:cs="宋体"/>
          <w:color w:val="auto"/>
          <w:sz w:val="21"/>
          <w:szCs w:val="21"/>
          <w:highlight w:val="none"/>
        </w:rPr>
      </w:pPr>
      <w:bookmarkStart w:id="530" w:name="_Toc25329"/>
      <w:bookmarkStart w:id="531" w:name="_Toc9940"/>
      <w:bookmarkStart w:id="532" w:name="_Toc20685"/>
      <w:bookmarkStart w:id="533" w:name="_Toc19614"/>
      <w:r>
        <w:rPr>
          <w:rFonts w:hint="eastAsia" w:ascii="宋体" w:hAnsi="宋体" w:eastAsia="宋体" w:cs="宋体"/>
          <w:color w:val="auto"/>
          <w:sz w:val="21"/>
          <w:szCs w:val="21"/>
          <w:highlight w:val="none"/>
        </w:rPr>
        <w:t>1.11.2 关于承包人为实施工程所编制文件的著作权的归属：</w:t>
      </w:r>
      <w:bookmarkEnd w:id="530"/>
      <w:bookmarkEnd w:id="531"/>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bookmarkEnd w:id="532"/>
      <w:bookmarkEnd w:id="533"/>
    </w:p>
    <w:p w14:paraId="29F56257">
      <w:pPr>
        <w:spacing w:line="400" w:lineRule="exact"/>
        <w:ind w:left="239" w:leftChars="114" w:firstLine="210" w:firstLineChars="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关于承包人提供的上述文件的使用限制的要求：</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1C690C2">
      <w:pPr>
        <w:spacing w:line="400" w:lineRule="exact"/>
        <w:ind w:firstLine="420" w:firstLineChars="200"/>
        <w:outlineLvl w:val="0"/>
        <w:rPr>
          <w:rFonts w:hint="eastAsia" w:ascii="宋体" w:hAnsi="宋体" w:eastAsia="宋体" w:cs="宋体"/>
          <w:color w:val="auto"/>
          <w:sz w:val="21"/>
          <w:szCs w:val="21"/>
          <w:highlight w:val="none"/>
        </w:rPr>
      </w:pPr>
      <w:bookmarkStart w:id="534" w:name="_Toc20022"/>
      <w:bookmarkStart w:id="535" w:name="_Toc16415"/>
      <w:bookmarkStart w:id="536" w:name="_Toc22728"/>
      <w:bookmarkStart w:id="537" w:name="_Toc1700"/>
      <w:r>
        <w:rPr>
          <w:rFonts w:hint="eastAsia" w:ascii="宋体" w:hAnsi="宋体" w:eastAsia="宋体" w:cs="宋体"/>
          <w:color w:val="auto"/>
          <w:sz w:val="21"/>
          <w:szCs w:val="21"/>
          <w:highlight w:val="none"/>
        </w:rPr>
        <w:t>1.11.4 承包人在施工过程中所采用的专利、专有技术、技术秘密的使用费的承担方式：</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bookmarkEnd w:id="534"/>
      <w:bookmarkEnd w:id="535"/>
      <w:bookmarkEnd w:id="536"/>
      <w:bookmarkEnd w:id="537"/>
    </w:p>
    <w:p w14:paraId="68AB445D">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1.13工程量清单错误的修正</w:t>
      </w:r>
    </w:p>
    <w:p w14:paraId="3AE5061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出现工程量清单错误时，是否调整合同价格：</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F93101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允许调整合同价格的工程量偏差范围：</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BE5DB78">
      <w:pPr>
        <w:pStyle w:val="7"/>
        <w:spacing w:before="120" w:after="120" w:line="400" w:lineRule="exact"/>
        <w:rPr>
          <w:rFonts w:hint="eastAsia" w:ascii="宋体" w:hAnsi="宋体" w:eastAsia="宋体" w:cs="宋体"/>
          <w:b w:val="0"/>
          <w:color w:val="auto"/>
          <w:sz w:val="21"/>
          <w:szCs w:val="21"/>
          <w:highlight w:val="none"/>
        </w:rPr>
      </w:pPr>
      <w:bookmarkStart w:id="538" w:name="_Toc351203634"/>
      <w:r>
        <w:rPr>
          <w:rFonts w:hint="eastAsia" w:ascii="宋体" w:hAnsi="宋体" w:eastAsia="宋体" w:cs="宋体"/>
          <w:b w:val="0"/>
          <w:color w:val="auto"/>
          <w:sz w:val="21"/>
          <w:szCs w:val="21"/>
          <w:highlight w:val="none"/>
        </w:rPr>
        <w:t>2</w:t>
      </w:r>
      <w:bookmarkStart w:id="539" w:name="_Toc297120457"/>
      <w:bookmarkStart w:id="540" w:name="_Toc296891197"/>
      <w:bookmarkStart w:id="541" w:name="_Toc296346658"/>
      <w:bookmarkStart w:id="542" w:name="_Toc296503157"/>
      <w:bookmarkStart w:id="543" w:name="_Toc292559362"/>
      <w:bookmarkStart w:id="544" w:name="_Toc292559867"/>
      <w:bookmarkStart w:id="545" w:name="_Toc296944496"/>
      <w:bookmarkStart w:id="546" w:name="_Toc297048343"/>
      <w:bookmarkStart w:id="547" w:name="_Toc296890985"/>
      <w:bookmarkStart w:id="548" w:name="_Toc296347156"/>
      <w:r>
        <w:rPr>
          <w:rFonts w:hint="eastAsia" w:ascii="宋体" w:hAnsi="宋体" w:eastAsia="宋体" w:cs="宋体"/>
          <w:b w:val="0"/>
          <w:color w:val="auto"/>
          <w:sz w:val="21"/>
          <w:szCs w:val="21"/>
          <w:highlight w:val="none"/>
        </w:rPr>
        <w:t>. 发包人</w:t>
      </w:r>
      <w:bookmarkEnd w:id="538"/>
    </w:p>
    <w:bookmarkEnd w:id="539"/>
    <w:bookmarkEnd w:id="540"/>
    <w:bookmarkEnd w:id="541"/>
    <w:bookmarkEnd w:id="542"/>
    <w:bookmarkEnd w:id="543"/>
    <w:bookmarkEnd w:id="544"/>
    <w:bookmarkEnd w:id="545"/>
    <w:bookmarkEnd w:id="546"/>
    <w:bookmarkEnd w:id="547"/>
    <w:bookmarkEnd w:id="548"/>
    <w:p w14:paraId="4844C9F6">
      <w:pPr>
        <w:spacing w:after="120" w:line="400" w:lineRule="exact"/>
        <w:ind w:firstLine="420" w:firstLineChars="200"/>
        <w:outlineLvl w:val="0"/>
        <w:rPr>
          <w:rFonts w:hint="eastAsia" w:ascii="宋体" w:hAnsi="宋体" w:eastAsia="宋体" w:cs="宋体"/>
          <w:color w:val="auto"/>
          <w:sz w:val="21"/>
          <w:szCs w:val="21"/>
          <w:highlight w:val="none"/>
        </w:rPr>
      </w:pPr>
      <w:bookmarkStart w:id="549" w:name="_Toc9705"/>
      <w:bookmarkStart w:id="550" w:name="_Toc12351"/>
      <w:bookmarkStart w:id="551" w:name="_Toc11023"/>
      <w:bookmarkStart w:id="552" w:name="_Toc17301"/>
      <w:r>
        <w:rPr>
          <w:rFonts w:hint="eastAsia" w:ascii="宋体" w:hAnsi="宋体" w:eastAsia="宋体" w:cs="宋体"/>
          <w:color w:val="auto"/>
          <w:sz w:val="21"/>
          <w:szCs w:val="21"/>
          <w:highlight w:val="none"/>
        </w:rPr>
        <w:t>2.2 发包人代表</w:t>
      </w:r>
      <w:bookmarkEnd w:id="549"/>
      <w:bookmarkEnd w:id="550"/>
      <w:bookmarkEnd w:id="551"/>
      <w:bookmarkEnd w:id="552"/>
    </w:p>
    <w:p w14:paraId="2F7661E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发包人代表：</w:t>
      </w:r>
    </w:p>
    <w:p w14:paraId="4A27FB1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    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3110492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身份证号：</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2343074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    务：</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C0DFC9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CA527BC">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A48848C">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6C965FD">
      <w:pPr>
        <w:spacing w:line="400" w:lineRule="exact"/>
        <w:ind w:firstLine="420" w:firstLineChars="200"/>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发包人对发包人代表的授权范围如下：</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4E19AA3">
      <w:pPr>
        <w:spacing w:after="120" w:line="400" w:lineRule="exact"/>
        <w:ind w:firstLine="420" w:firstLineChars="200"/>
        <w:outlineLvl w:val="0"/>
        <w:rPr>
          <w:rFonts w:hint="eastAsia" w:ascii="宋体" w:hAnsi="宋体" w:eastAsia="宋体" w:cs="宋体"/>
          <w:color w:val="auto"/>
          <w:sz w:val="21"/>
          <w:szCs w:val="21"/>
          <w:highlight w:val="none"/>
        </w:rPr>
      </w:pPr>
      <w:bookmarkStart w:id="553" w:name="_Toc18232"/>
      <w:bookmarkStart w:id="554" w:name="_Toc25441"/>
      <w:bookmarkStart w:id="555" w:name="_Toc25086"/>
      <w:bookmarkStart w:id="556" w:name="_Toc27674"/>
      <w:r>
        <w:rPr>
          <w:rFonts w:hint="eastAsia" w:ascii="宋体" w:hAnsi="宋体" w:eastAsia="宋体" w:cs="宋体"/>
          <w:color w:val="auto"/>
          <w:sz w:val="21"/>
          <w:szCs w:val="21"/>
          <w:highlight w:val="none"/>
        </w:rPr>
        <w:t>2.4 施工现场、施工条件和基础资料的提供</w:t>
      </w:r>
      <w:bookmarkEnd w:id="553"/>
      <w:bookmarkEnd w:id="554"/>
      <w:bookmarkEnd w:id="555"/>
      <w:bookmarkEnd w:id="556"/>
    </w:p>
    <w:p w14:paraId="62CDD3E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2.4.1 提供施工现场</w:t>
      </w:r>
    </w:p>
    <w:p w14:paraId="773D805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关于发包人移交施工现场的期限要求：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C02016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2.4.2 提供施工条件</w:t>
      </w:r>
    </w:p>
    <w:p w14:paraId="442E08FE">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关于发包人应负责提供施工所需要的条件，包括：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64FB242">
      <w:pPr>
        <w:spacing w:after="120" w:line="400" w:lineRule="exact"/>
        <w:ind w:firstLine="420" w:firstLineChars="200"/>
        <w:outlineLvl w:val="0"/>
        <w:rPr>
          <w:rFonts w:hint="eastAsia" w:ascii="宋体" w:hAnsi="宋体" w:eastAsia="宋体" w:cs="宋体"/>
          <w:color w:val="auto"/>
          <w:sz w:val="21"/>
          <w:szCs w:val="21"/>
          <w:highlight w:val="none"/>
        </w:rPr>
      </w:pPr>
      <w:bookmarkStart w:id="557" w:name="_Toc6012"/>
      <w:bookmarkStart w:id="558" w:name="_Toc27159"/>
      <w:bookmarkStart w:id="559" w:name="_Toc29986"/>
      <w:bookmarkStart w:id="560" w:name="_Toc3959"/>
      <w:r>
        <w:rPr>
          <w:rFonts w:hint="eastAsia" w:ascii="宋体" w:hAnsi="宋体" w:eastAsia="宋体" w:cs="宋体"/>
          <w:color w:val="auto"/>
          <w:sz w:val="21"/>
          <w:szCs w:val="21"/>
          <w:highlight w:val="none"/>
        </w:rPr>
        <w:t>2.5 资金来源证明及支付担保</w:t>
      </w:r>
      <w:bookmarkEnd w:id="557"/>
      <w:bookmarkEnd w:id="558"/>
      <w:bookmarkEnd w:id="559"/>
      <w:bookmarkEnd w:id="560"/>
    </w:p>
    <w:p w14:paraId="3543536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发包人提供资金来源证明的期限要求：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FA4A1E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发包人是否提供支付担保：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C939C9D">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发包人提供支付担保的形式：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538688FD">
      <w:pPr>
        <w:pStyle w:val="7"/>
        <w:spacing w:before="120" w:after="120" w:line="400" w:lineRule="exact"/>
        <w:rPr>
          <w:rFonts w:hint="eastAsia" w:ascii="宋体" w:hAnsi="宋体" w:eastAsia="宋体" w:cs="宋体"/>
          <w:b w:val="0"/>
          <w:color w:val="auto"/>
          <w:sz w:val="21"/>
          <w:szCs w:val="21"/>
          <w:highlight w:val="none"/>
        </w:rPr>
      </w:pPr>
      <w:bookmarkStart w:id="561" w:name="_Toc351203635"/>
      <w:r>
        <w:rPr>
          <w:rFonts w:hint="eastAsia" w:ascii="宋体" w:hAnsi="宋体" w:eastAsia="宋体" w:cs="宋体"/>
          <w:b w:val="0"/>
          <w:color w:val="auto"/>
          <w:sz w:val="21"/>
          <w:szCs w:val="21"/>
          <w:highlight w:val="none"/>
        </w:rPr>
        <w:t>3</w:t>
      </w:r>
      <w:bookmarkStart w:id="562" w:name="_Toc292559363"/>
      <w:bookmarkStart w:id="563" w:name="_Toc296346659"/>
      <w:bookmarkStart w:id="564" w:name="_Toc296890986"/>
      <w:bookmarkStart w:id="565" w:name="_Toc296944497"/>
      <w:bookmarkStart w:id="566" w:name="_Toc292559868"/>
      <w:bookmarkStart w:id="567" w:name="_Toc296347157"/>
      <w:bookmarkStart w:id="568" w:name="_Toc297120458"/>
      <w:bookmarkStart w:id="569" w:name="_Toc296503158"/>
      <w:bookmarkStart w:id="570" w:name="_Toc297048344"/>
      <w:bookmarkStart w:id="571" w:name="_Toc296891198"/>
      <w:r>
        <w:rPr>
          <w:rFonts w:hint="eastAsia" w:ascii="宋体" w:hAnsi="宋体" w:eastAsia="宋体" w:cs="宋体"/>
          <w:b w:val="0"/>
          <w:color w:val="auto"/>
          <w:sz w:val="21"/>
          <w:szCs w:val="21"/>
          <w:highlight w:val="none"/>
        </w:rPr>
        <w:t>. 承包人</w:t>
      </w:r>
      <w:bookmarkEnd w:id="561"/>
    </w:p>
    <w:bookmarkEnd w:id="562"/>
    <w:bookmarkEnd w:id="563"/>
    <w:bookmarkEnd w:id="564"/>
    <w:bookmarkEnd w:id="565"/>
    <w:bookmarkEnd w:id="566"/>
    <w:bookmarkEnd w:id="567"/>
    <w:bookmarkEnd w:id="568"/>
    <w:bookmarkEnd w:id="569"/>
    <w:bookmarkEnd w:id="570"/>
    <w:bookmarkEnd w:id="571"/>
    <w:p w14:paraId="31284CAA">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 承包人的一般义务</w:t>
      </w:r>
    </w:p>
    <w:p w14:paraId="1F8ABEE1">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（9）承包人提交的竣工资料的内容：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2DC33E4">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承包人需要提交的竣工资料套数：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CC73625">
      <w:pPr>
        <w:spacing w:line="400" w:lineRule="exact"/>
        <w:ind w:left="638" w:leftChars="30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承包人提交的竣工资料的费用承担：</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3BC92D4">
      <w:pPr>
        <w:spacing w:line="400" w:lineRule="exact"/>
        <w:ind w:left="638" w:leftChars="304"/>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承包人提交的竣工资料移交时间：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D190A9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承包人提交的竣工资料形式要求：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EEA461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（10）承包人应履行的其他义务：</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6C2C4D17">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 项目经理</w:t>
      </w:r>
    </w:p>
    <w:p w14:paraId="6DB7C9E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3.2.1 项目经理：</w:t>
      </w:r>
    </w:p>
    <w:p w14:paraId="099F28D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    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24899F7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身份证号：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0B33FB1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建造师执业资格等级：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rPr>
        <w:t>；</w:t>
      </w:r>
    </w:p>
    <w:p w14:paraId="40844E4C">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建造师注册证书号：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84B193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建造师执业印章号：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53968A4">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安全生产考核合格证书号：</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EC3481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28ACF8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00604E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3A07C9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承包人对项目经理的授权范围如下：</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FDE058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关于项目经理每月在施工现场的时间要求：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FD333C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承包人未提交劳动合同，以及没有为项目经理缴纳社会保险证明的违约责任：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C0B76FD">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项目经理未经批准，擅自离开施工现场的违约责任：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F8FDC4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3.2.3 承包人擅自更换项目经理的违约责任：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24BB256">
      <w:pPr>
        <w:spacing w:line="400" w:lineRule="exact"/>
        <w:outlineLvl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bookmarkStart w:id="572" w:name="_Toc20373"/>
      <w:bookmarkStart w:id="573" w:name="_Toc17764"/>
      <w:bookmarkStart w:id="574" w:name="_Toc29377"/>
      <w:bookmarkStart w:id="575" w:name="_Toc24007"/>
      <w:r>
        <w:rPr>
          <w:rFonts w:hint="eastAsia" w:ascii="宋体" w:hAnsi="宋体" w:eastAsia="宋体" w:cs="宋体"/>
          <w:color w:val="auto"/>
          <w:sz w:val="21"/>
          <w:szCs w:val="21"/>
          <w:highlight w:val="none"/>
        </w:rPr>
        <w:t>3.2.4 承包人无正当理由拒绝更换项目经理的违约责任：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bookmarkEnd w:id="572"/>
      <w:bookmarkEnd w:id="573"/>
      <w:bookmarkEnd w:id="574"/>
      <w:bookmarkEnd w:id="575"/>
    </w:p>
    <w:p w14:paraId="108E4CBC">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 承包人人员</w:t>
      </w:r>
    </w:p>
    <w:p w14:paraId="0F7C57C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3.3.1 承包人提交项目管理机构及施工现场管理人员安排报告的期限：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C60E04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3.3.3 承包人无正当理由拒绝撤换主要施工管理人员的违约责任：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24ACDE3">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3.3.4 承包人主要施工管理人员离开施工现场的批准要求：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2BD810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3.3.5承包人擅自更换主要施工管理人员的违约责任：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DF6759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承包人主要施工管理人员擅自离开施工现场的违约责任：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70A2E75">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bookmarkStart w:id="576" w:name="_Toc296346660"/>
      <w:bookmarkStart w:id="577" w:name="_Toc292559869"/>
      <w:bookmarkStart w:id="578" w:name="_Toc296891199"/>
      <w:bookmarkStart w:id="579" w:name="_Toc296890987"/>
      <w:bookmarkStart w:id="580" w:name="_Toc312677988"/>
      <w:bookmarkStart w:id="581" w:name="_Toc297123492"/>
      <w:bookmarkStart w:id="582" w:name="_Toc304295523"/>
      <w:bookmarkStart w:id="583" w:name="_Toc303539102"/>
      <w:bookmarkStart w:id="584" w:name="_Toc297048345"/>
      <w:bookmarkStart w:id="585" w:name="_Toc296347158"/>
      <w:bookmarkStart w:id="586" w:name="_Toc296503159"/>
      <w:bookmarkStart w:id="587" w:name="_Toc300934945"/>
      <w:bookmarkStart w:id="588" w:name="_Toc296944498"/>
      <w:bookmarkStart w:id="589" w:name="_Toc292559364"/>
      <w:bookmarkStart w:id="590" w:name="_Toc297120459"/>
      <w:bookmarkStart w:id="591" w:name="_Toc297216151"/>
      <w:r>
        <w:rPr>
          <w:rFonts w:hint="eastAsia" w:ascii="宋体" w:hAnsi="宋体" w:eastAsia="宋体" w:cs="宋体"/>
          <w:color w:val="auto"/>
          <w:sz w:val="21"/>
          <w:szCs w:val="21"/>
          <w:highlight w:val="none"/>
        </w:rPr>
        <w:t>.5 分包</w:t>
      </w:r>
    </w:p>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14:paraId="01C8163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bookmarkStart w:id="592" w:name="_Toc296347159"/>
      <w:bookmarkStart w:id="593" w:name="_Toc297123493"/>
      <w:bookmarkStart w:id="594" w:name="_Toc296944499"/>
      <w:bookmarkStart w:id="595" w:name="_Toc296346661"/>
      <w:bookmarkStart w:id="596" w:name="_Toc304295524"/>
      <w:bookmarkStart w:id="597" w:name="_Toc296891200"/>
      <w:bookmarkStart w:id="598" w:name="_Toc292559870"/>
      <w:bookmarkStart w:id="599" w:name="_Toc297048346"/>
      <w:bookmarkStart w:id="600" w:name="_Toc303539103"/>
      <w:bookmarkStart w:id="601" w:name="_Toc297120460"/>
      <w:bookmarkStart w:id="602" w:name="_Toc300934946"/>
      <w:bookmarkStart w:id="603" w:name="_Toc297216152"/>
      <w:bookmarkStart w:id="604" w:name="_Toc296503160"/>
      <w:bookmarkStart w:id="605" w:name="_Toc292559365"/>
      <w:bookmarkStart w:id="606" w:name="_Toc296890988"/>
      <w:bookmarkStart w:id="607" w:name="_Toc312677989"/>
      <w:bookmarkStart w:id="608" w:name="_Toc318581158"/>
      <w:r>
        <w:rPr>
          <w:rFonts w:hint="eastAsia" w:ascii="宋体" w:hAnsi="宋体" w:eastAsia="宋体" w:cs="宋体"/>
          <w:color w:val="auto"/>
          <w:sz w:val="21"/>
          <w:szCs w:val="21"/>
          <w:highlight w:val="none"/>
        </w:rPr>
        <w:t>.5.1 分包的一般约定</w:t>
      </w:r>
    </w:p>
    <w:p w14:paraId="2EF8F3C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禁止分包的工程包括：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97BE029">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主体结构、关键性工作的范围：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Start w:id="609" w:name="_Toc300934947"/>
      <w:bookmarkStart w:id="610" w:name="_Toc296891201"/>
      <w:bookmarkStart w:id="611" w:name="_Toc297123494"/>
      <w:bookmarkStart w:id="612" w:name="_Toc297048347"/>
      <w:bookmarkStart w:id="613" w:name="_Toc296347160"/>
      <w:bookmarkStart w:id="614" w:name="_Toc297120461"/>
      <w:bookmarkStart w:id="615" w:name="_Toc296890989"/>
      <w:bookmarkStart w:id="616" w:name="_Toc304295525"/>
      <w:bookmarkStart w:id="617" w:name="_Toc296346662"/>
      <w:bookmarkStart w:id="618" w:name="_Toc303539104"/>
      <w:bookmarkStart w:id="619" w:name="_Toc296944500"/>
      <w:bookmarkStart w:id="620" w:name="_Toc296503161"/>
      <w:bookmarkStart w:id="621" w:name="_Toc297216153"/>
    </w:p>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14:paraId="2ABEA00A">
      <w:pPr>
        <w:spacing w:line="4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3</w:t>
      </w:r>
      <w:bookmarkStart w:id="622" w:name="_Toc312677990"/>
      <w:bookmarkStart w:id="623" w:name="_Toc318581159"/>
      <w:r>
        <w:rPr>
          <w:rFonts w:hint="eastAsia" w:ascii="宋体" w:hAnsi="宋体" w:eastAsia="宋体" w:cs="宋体"/>
          <w:color w:val="auto"/>
          <w:sz w:val="21"/>
          <w:szCs w:val="21"/>
          <w:highlight w:val="none"/>
        </w:rPr>
        <w:t>.5.2分包的确定</w:t>
      </w:r>
    </w:p>
    <w:p w14:paraId="5F7905BC">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允许分包的专业工程包括：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C38C4D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其他关于分包的约定：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1DBF65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3.5.4 分包合同价款</w:t>
      </w:r>
    </w:p>
    <w:p w14:paraId="06295E3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关于分包合同价款支付的约定：</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622"/>
    <w:bookmarkEnd w:id="623"/>
    <w:p w14:paraId="7E0ED7D5">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3.6 工程照管与成品、半成品保护</w:t>
      </w:r>
    </w:p>
    <w:p w14:paraId="4B7EAB73">
      <w:pPr>
        <w:spacing w:before="120" w:after="120"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承包人负责照管工程及工程相关的材料、工程设备的起始时间：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19BA009">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3.7 履约担保</w:t>
      </w:r>
    </w:p>
    <w:p w14:paraId="4639551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承包人是否提供履约担保：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61BB89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承包人提供履约担保的形式、金额及期限的：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19A7A2C">
      <w:pPr>
        <w:pStyle w:val="7"/>
        <w:spacing w:before="120" w:after="120" w:line="400" w:lineRule="exact"/>
        <w:rPr>
          <w:rFonts w:hint="eastAsia" w:ascii="宋体" w:hAnsi="宋体" w:eastAsia="宋体" w:cs="宋体"/>
          <w:b w:val="0"/>
          <w:color w:val="auto"/>
          <w:sz w:val="21"/>
          <w:szCs w:val="21"/>
          <w:highlight w:val="none"/>
        </w:rPr>
      </w:pPr>
      <w:bookmarkStart w:id="624" w:name="_Toc351203636"/>
      <w:r>
        <w:rPr>
          <w:rFonts w:hint="eastAsia" w:ascii="宋体" w:hAnsi="宋体" w:eastAsia="宋体" w:cs="宋体"/>
          <w:b w:val="0"/>
          <w:color w:val="auto"/>
          <w:sz w:val="21"/>
          <w:szCs w:val="21"/>
          <w:highlight w:val="none"/>
        </w:rPr>
        <w:t>4</w:t>
      </w:r>
      <w:bookmarkStart w:id="625" w:name="_Toc296503162"/>
      <w:bookmarkStart w:id="626" w:name="_Toc296346663"/>
      <w:bookmarkStart w:id="627" w:name="_Toc296891202"/>
      <w:bookmarkStart w:id="628" w:name="_Toc297048348"/>
      <w:bookmarkStart w:id="629" w:name="_Toc297120462"/>
      <w:bookmarkStart w:id="630" w:name="_Toc296347161"/>
      <w:bookmarkStart w:id="631" w:name="_Toc296944501"/>
      <w:bookmarkStart w:id="632" w:name="_Toc296890990"/>
      <w:bookmarkStart w:id="633" w:name="_Toc292559366"/>
      <w:bookmarkStart w:id="634" w:name="_Toc292559871"/>
      <w:bookmarkStart w:id="635" w:name="_Toc267251413"/>
      <w:r>
        <w:rPr>
          <w:rFonts w:hint="eastAsia" w:ascii="宋体" w:hAnsi="宋体" w:eastAsia="宋体" w:cs="宋体"/>
          <w:b w:val="0"/>
          <w:color w:val="auto"/>
          <w:sz w:val="21"/>
          <w:szCs w:val="21"/>
          <w:highlight w:val="none"/>
        </w:rPr>
        <w:t>. 监</w:t>
      </w:r>
      <w:bookmarkEnd w:id="625"/>
      <w:bookmarkEnd w:id="626"/>
      <w:bookmarkEnd w:id="627"/>
      <w:bookmarkEnd w:id="628"/>
      <w:bookmarkEnd w:id="629"/>
      <w:bookmarkEnd w:id="630"/>
      <w:bookmarkEnd w:id="631"/>
      <w:bookmarkEnd w:id="632"/>
      <w:bookmarkEnd w:id="633"/>
      <w:bookmarkEnd w:id="634"/>
      <w:bookmarkEnd w:id="635"/>
      <w:r>
        <w:rPr>
          <w:rFonts w:hint="eastAsia" w:ascii="宋体" w:hAnsi="宋体" w:eastAsia="宋体" w:cs="宋体"/>
          <w:b w:val="0"/>
          <w:color w:val="auto"/>
          <w:sz w:val="21"/>
          <w:szCs w:val="21"/>
          <w:highlight w:val="none"/>
        </w:rPr>
        <w:t>理人</w:t>
      </w:r>
      <w:bookmarkEnd w:id="624"/>
    </w:p>
    <w:p w14:paraId="1E7D4E40">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4.1监理人的一般规定</w:t>
      </w:r>
    </w:p>
    <w:p w14:paraId="06B3CD7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关于监理人的监理内容：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FE5B38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关于监理人的监理权限：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61412A74">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关于监理人在施工现场的办公场所、生活场所的提供和费用承担的约定：</w:t>
      </w:r>
      <w:r>
        <w:rPr>
          <w:rFonts w:hint="eastAsia" w:ascii="宋体" w:hAnsi="宋体" w:eastAsia="宋体" w:cs="宋体"/>
          <w:color w:val="auto"/>
          <w:sz w:val="21"/>
          <w:szCs w:val="21"/>
          <w:highlight w:val="none"/>
          <w:u w:val="single"/>
        </w:rPr>
        <w:t xml:space="preserve">                                  </w:t>
      </w:r>
    </w:p>
    <w:p w14:paraId="366B3A3B">
      <w:pPr>
        <w:spacing w:line="4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C205CFC">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 监理人员</w:t>
      </w:r>
    </w:p>
    <w:p w14:paraId="15AB681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总监理工程师：</w:t>
      </w:r>
    </w:p>
    <w:p w14:paraId="49D6592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    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DE708C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    务：</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FE2518C">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监理工程师执业资格证书号：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D16303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5012C6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电子信箱：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DA86DB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通信地址：</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5630C5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关于监理人的其他约定：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9ED8EAB">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4.4 商定或确定</w:t>
      </w:r>
    </w:p>
    <w:p w14:paraId="475CD946">
      <w:pPr>
        <w:spacing w:line="400" w:lineRule="exact"/>
        <w:ind w:firstLine="420" w:firstLineChars="200"/>
        <w:rPr>
          <w:rFonts w:hint="eastAsia" w:ascii="宋体" w:hAnsi="宋体" w:eastAsia="宋体" w:cs="宋体"/>
          <w:color w:val="auto"/>
          <w:sz w:val="21"/>
          <w:szCs w:val="21"/>
          <w:highlight w:val="none"/>
        </w:rPr>
      </w:pPr>
      <w:bookmarkStart w:id="636" w:name="_Toc267251418"/>
      <w:r>
        <w:rPr>
          <w:rFonts w:hint="eastAsia" w:ascii="宋体" w:hAnsi="宋体" w:eastAsia="宋体" w:cs="宋体"/>
          <w:color w:val="auto"/>
          <w:sz w:val="21"/>
          <w:szCs w:val="21"/>
          <w:highlight w:val="none"/>
        </w:rPr>
        <w:t>在发包人和承包人不能通过协商达成一致意见时，发包人授权监理人对以下事项进行确定：</w:t>
      </w:r>
    </w:p>
    <w:p w14:paraId="61DB6881">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2627BFB">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88539A5">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8B236D1">
      <w:pPr>
        <w:pStyle w:val="7"/>
        <w:spacing w:before="120" w:after="120" w:line="400" w:lineRule="exact"/>
        <w:rPr>
          <w:rFonts w:hint="eastAsia" w:ascii="宋体" w:hAnsi="宋体" w:eastAsia="宋体" w:cs="宋体"/>
          <w:b w:val="0"/>
          <w:color w:val="auto"/>
          <w:sz w:val="21"/>
          <w:szCs w:val="21"/>
          <w:highlight w:val="none"/>
        </w:rPr>
      </w:pPr>
      <w:bookmarkStart w:id="637" w:name="_Toc351203637"/>
      <w:r>
        <w:rPr>
          <w:rFonts w:hint="eastAsia" w:ascii="宋体" w:hAnsi="宋体" w:eastAsia="宋体" w:cs="宋体"/>
          <w:b w:val="0"/>
          <w:color w:val="auto"/>
          <w:sz w:val="21"/>
          <w:szCs w:val="21"/>
          <w:highlight w:val="none"/>
        </w:rPr>
        <w:t>5</w:t>
      </w:r>
      <w:bookmarkEnd w:id="636"/>
      <w:bookmarkStart w:id="638" w:name="_Toc296346664"/>
      <w:bookmarkStart w:id="639" w:name="_Toc296503163"/>
      <w:bookmarkStart w:id="640" w:name="_Toc297120463"/>
      <w:bookmarkStart w:id="641" w:name="_Toc296347162"/>
      <w:bookmarkStart w:id="642" w:name="_Toc292559872"/>
      <w:bookmarkStart w:id="643" w:name="_Toc292559367"/>
      <w:bookmarkStart w:id="644" w:name="_Toc296891203"/>
      <w:bookmarkStart w:id="645" w:name="_Toc297048349"/>
      <w:bookmarkStart w:id="646" w:name="_Toc296890991"/>
      <w:bookmarkStart w:id="647" w:name="_Toc296944502"/>
      <w:r>
        <w:rPr>
          <w:rFonts w:hint="eastAsia" w:ascii="宋体" w:hAnsi="宋体" w:eastAsia="宋体" w:cs="宋体"/>
          <w:b w:val="0"/>
          <w:color w:val="auto"/>
          <w:sz w:val="21"/>
          <w:szCs w:val="21"/>
          <w:highlight w:val="none"/>
        </w:rPr>
        <w:t>. 工程质量</w:t>
      </w:r>
      <w:bookmarkEnd w:id="637"/>
    </w:p>
    <w:p w14:paraId="5FEE49FD">
      <w:pPr>
        <w:spacing w:after="120" w:line="400" w:lineRule="exact"/>
        <w:ind w:firstLine="420" w:firstLineChars="200"/>
        <w:outlineLvl w:val="0"/>
        <w:rPr>
          <w:rFonts w:hint="eastAsia" w:ascii="宋体" w:hAnsi="宋体" w:eastAsia="宋体" w:cs="宋体"/>
          <w:color w:val="auto"/>
          <w:sz w:val="21"/>
          <w:szCs w:val="21"/>
          <w:highlight w:val="none"/>
        </w:rPr>
      </w:pPr>
      <w:bookmarkStart w:id="648" w:name="_Toc21007"/>
      <w:bookmarkStart w:id="649" w:name="_Toc27954"/>
      <w:bookmarkStart w:id="650" w:name="_Toc28264"/>
      <w:bookmarkStart w:id="651" w:name="_Toc30911"/>
      <w:r>
        <w:rPr>
          <w:rFonts w:hint="eastAsia" w:ascii="宋体" w:hAnsi="宋体" w:eastAsia="宋体" w:cs="宋体"/>
          <w:color w:val="auto"/>
          <w:sz w:val="21"/>
          <w:szCs w:val="21"/>
          <w:highlight w:val="none"/>
        </w:rPr>
        <w:t>5.1 质量要求</w:t>
      </w:r>
      <w:bookmarkEnd w:id="648"/>
      <w:bookmarkEnd w:id="649"/>
      <w:bookmarkEnd w:id="650"/>
      <w:bookmarkEnd w:id="651"/>
    </w:p>
    <w:p w14:paraId="1D17587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bookmarkStart w:id="652" w:name="_Toc300934949"/>
      <w:bookmarkStart w:id="653" w:name="_Toc304295527"/>
      <w:bookmarkStart w:id="654" w:name="_Toc297216155"/>
      <w:bookmarkStart w:id="655" w:name="_Toc303539106"/>
      <w:bookmarkStart w:id="656" w:name="_Toc318581164"/>
      <w:bookmarkStart w:id="657" w:name="_Toc297123496"/>
      <w:bookmarkStart w:id="658" w:name="_Toc312677997"/>
      <w:r>
        <w:rPr>
          <w:rFonts w:hint="eastAsia" w:ascii="宋体" w:hAnsi="宋体" w:eastAsia="宋体" w:cs="宋体"/>
          <w:color w:val="auto"/>
          <w:sz w:val="21"/>
          <w:szCs w:val="21"/>
          <w:highlight w:val="none"/>
        </w:rPr>
        <w:t>.1.1 特殊质量标准和要求：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E6B176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关于工程奖项的约定：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6DC337E">
      <w:pPr>
        <w:spacing w:after="120" w:line="400" w:lineRule="exact"/>
        <w:ind w:firstLine="420" w:firstLineChars="200"/>
        <w:outlineLvl w:val="0"/>
        <w:rPr>
          <w:rFonts w:hint="eastAsia" w:ascii="宋体" w:hAnsi="宋体" w:eastAsia="宋体" w:cs="宋体"/>
          <w:color w:val="auto"/>
          <w:sz w:val="21"/>
          <w:szCs w:val="21"/>
          <w:highlight w:val="none"/>
        </w:rPr>
      </w:pPr>
      <w:bookmarkStart w:id="659" w:name="_Toc7145"/>
      <w:bookmarkStart w:id="660" w:name="_Toc6820"/>
      <w:bookmarkStart w:id="661" w:name="_Toc12155"/>
      <w:bookmarkStart w:id="662" w:name="_Toc32315"/>
      <w:r>
        <w:rPr>
          <w:rFonts w:hint="eastAsia" w:ascii="宋体" w:hAnsi="宋体" w:eastAsia="宋体" w:cs="宋体"/>
          <w:color w:val="auto"/>
          <w:sz w:val="21"/>
          <w:szCs w:val="21"/>
          <w:highlight w:val="none"/>
        </w:rPr>
        <w:t>5.3 隐蔽工程检查</w:t>
      </w:r>
      <w:bookmarkEnd w:id="659"/>
      <w:bookmarkEnd w:id="660"/>
      <w:bookmarkEnd w:id="661"/>
      <w:bookmarkEnd w:id="662"/>
    </w:p>
    <w:p w14:paraId="26ED6161">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5.3.2承包人提前通知监理人隐蔽工程检查的期限的约定：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151DB8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监理人不能按时进行检查时，应提前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小时提交书面延期要求。</w:t>
      </w:r>
    </w:p>
    <w:p w14:paraId="020F6ED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关于延期最长不得超过：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小时。</w:t>
      </w:r>
    </w:p>
    <w:p w14:paraId="799892C4">
      <w:pPr>
        <w:pStyle w:val="7"/>
        <w:spacing w:before="120" w:after="120" w:line="400" w:lineRule="exact"/>
        <w:rPr>
          <w:rFonts w:hint="eastAsia" w:ascii="宋体" w:hAnsi="宋体" w:eastAsia="宋体" w:cs="宋体"/>
          <w:b w:val="0"/>
          <w:color w:val="auto"/>
          <w:sz w:val="21"/>
          <w:szCs w:val="21"/>
          <w:highlight w:val="none"/>
        </w:rPr>
      </w:pPr>
      <w:bookmarkStart w:id="663" w:name="_Toc351203638"/>
      <w:r>
        <w:rPr>
          <w:rFonts w:hint="eastAsia" w:ascii="宋体" w:hAnsi="宋体" w:eastAsia="宋体" w:cs="宋体"/>
          <w:b w:val="0"/>
          <w:color w:val="auto"/>
          <w:sz w:val="21"/>
          <w:szCs w:val="21"/>
          <w:highlight w:val="none"/>
        </w:rPr>
        <w:t>6. 安全文明施工与环境保护</w:t>
      </w:r>
      <w:bookmarkEnd w:id="663"/>
    </w:p>
    <w:p w14:paraId="05CAB9DB">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6.1安全文明施工</w:t>
      </w:r>
    </w:p>
    <w:p w14:paraId="1D6404D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6.1.1 项目安全生产的达标目标及相应事项的约定：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D96A04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6.1.4 关于治安保卫的特别约定：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08CEBC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关于编制施工场地治安管理计划的约定：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136E03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6.1.5 文明施工</w:t>
      </w:r>
    </w:p>
    <w:p w14:paraId="2BB4832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合同当事人对文明施工的要求：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39268C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6.1.6 关于安全文明施工费支付比例和支付期限的约定：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652"/>
    <w:bookmarkEnd w:id="653"/>
    <w:bookmarkEnd w:id="654"/>
    <w:bookmarkEnd w:id="655"/>
    <w:bookmarkEnd w:id="656"/>
    <w:bookmarkEnd w:id="657"/>
    <w:bookmarkEnd w:id="658"/>
    <w:p w14:paraId="1A887AC7">
      <w:pPr>
        <w:pStyle w:val="7"/>
        <w:spacing w:before="120" w:after="120" w:line="400" w:lineRule="exact"/>
        <w:rPr>
          <w:rFonts w:hint="eastAsia" w:ascii="宋体" w:hAnsi="宋体" w:eastAsia="宋体" w:cs="宋体"/>
          <w:b w:val="0"/>
          <w:color w:val="auto"/>
          <w:sz w:val="21"/>
          <w:szCs w:val="21"/>
          <w:highlight w:val="none"/>
        </w:rPr>
      </w:pPr>
      <w:bookmarkStart w:id="664" w:name="_Toc351203639"/>
      <w:r>
        <w:rPr>
          <w:rFonts w:hint="eastAsia" w:ascii="宋体" w:hAnsi="宋体" w:eastAsia="宋体" w:cs="宋体"/>
          <w:b w:val="0"/>
          <w:color w:val="auto"/>
          <w:sz w:val="21"/>
          <w:szCs w:val="21"/>
          <w:highlight w:val="none"/>
        </w:rPr>
        <w:t>7. 工期和进度</w:t>
      </w:r>
      <w:bookmarkEnd w:id="664"/>
    </w:p>
    <w:p w14:paraId="7F7246F8">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7.1 施工组织设计</w:t>
      </w:r>
    </w:p>
    <w:p w14:paraId="36A9E932">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7.1.1 合同当事人约定的施工组织设计应包括的其他内容：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C500B75">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7.1.2 施工组织设计的提交和修改</w:t>
      </w:r>
    </w:p>
    <w:p w14:paraId="3030D66A">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承包人提交详细施工组织设计的期限的约定：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543E83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发包人和监理人在收到详细的施工组织设计后确认或提出修改意见的期限：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B2E1960">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bookmarkStart w:id="665" w:name="_Toc303539123"/>
      <w:bookmarkStart w:id="666" w:name="_Toc312678005"/>
      <w:bookmarkStart w:id="667" w:name="_Toc300934966"/>
      <w:bookmarkStart w:id="668" w:name="_Toc297216173"/>
      <w:bookmarkStart w:id="669" w:name="_Toc304295541"/>
      <w:bookmarkStart w:id="670" w:name="_Toc297123514"/>
      <w:bookmarkStart w:id="671" w:name="_Toc312677479"/>
      <w:r>
        <w:rPr>
          <w:rFonts w:hint="eastAsia" w:ascii="宋体" w:hAnsi="宋体" w:eastAsia="宋体" w:cs="宋体"/>
          <w:color w:val="auto"/>
          <w:sz w:val="21"/>
          <w:szCs w:val="21"/>
          <w:highlight w:val="none"/>
        </w:rPr>
        <w:t>.2 施工进度计划</w:t>
      </w:r>
    </w:p>
    <w:p w14:paraId="37C5081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7.2.2 施工进度计划的修订</w:t>
      </w:r>
    </w:p>
    <w:p w14:paraId="524B581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发包人和监理人在收到修订的施工进度计划后确认或提出修改意见的期限：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60E9DF4">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 开工</w:t>
      </w:r>
    </w:p>
    <w:p w14:paraId="3C6F9C3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7.3.1 开工准备</w:t>
      </w:r>
    </w:p>
    <w:p w14:paraId="374E62E3">
      <w:pPr>
        <w:spacing w:line="400" w:lineRule="exact"/>
        <w:ind w:firstLine="645"/>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关于承包人提交工程开工报审表的期限：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AAB58FC">
      <w:pPr>
        <w:spacing w:line="400" w:lineRule="exact"/>
        <w:ind w:firstLine="64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关于发包人应完成的其他开工准备工作及期限：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656ED0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关于承包人应完成的其他开工准备工作及期限：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874A5A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7.3.2开工通知</w:t>
      </w:r>
    </w:p>
    <w:p w14:paraId="08270EB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因发包人原因造成监理人未能在计划开工日期之日起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天内发出开工通知的，承包人有权提出价格调整要求，或者解除合同。</w:t>
      </w:r>
    </w:p>
    <w:bookmarkEnd w:id="665"/>
    <w:bookmarkEnd w:id="666"/>
    <w:bookmarkEnd w:id="667"/>
    <w:bookmarkEnd w:id="668"/>
    <w:bookmarkEnd w:id="669"/>
    <w:bookmarkEnd w:id="670"/>
    <w:bookmarkEnd w:id="671"/>
    <w:p w14:paraId="4FF9E7D8">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7.4 测量放线</w:t>
      </w:r>
    </w:p>
    <w:p w14:paraId="4C225979">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7.4.1发包人通过监理人向承包人提供测量基准点、基准线和水准点及其书面资料的期限：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56F1911">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bookmarkStart w:id="672" w:name="_Toc300934968"/>
      <w:bookmarkStart w:id="673" w:name="_Toc297123516"/>
      <w:bookmarkStart w:id="674" w:name="_Toc312677484"/>
      <w:bookmarkStart w:id="675" w:name="_Toc303539125"/>
      <w:bookmarkStart w:id="676" w:name="_Toc304295546"/>
      <w:bookmarkStart w:id="677" w:name="_Toc312678010"/>
      <w:bookmarkStart w:id="678" w:name="_Toc297216175"/>
      <w:r>
        <w:rPr>
          <w:rFonts w:hint="eastAsia" w:ascii="宋体" w:hAnsi="宋体" w:eastAsia="宋体" w:cs="宋体"/>
          <w:color w:val="auto"/>
          <w:sz w:val="21"/>
          <w:szCs w:val="21"/>
          <w:highlight w:val="none"/>
        </w:rPr>
        <w:t>.5 工期延误</w:t>
      </w:r>
    </w:p>
    <w:bookmarkEnd w:id="672"/>
    <w:bookmarkEnd w:id="673"/>
    <w:bookmarkEnd w:id="674"/>
    <w:bookmarkEnd w:id="675"/>
    <w:bookmarkEnd w:id="676"/>
    <w:bookmarkEnd w:id="677"/>
    <w:bookmarkEnd w:id="678"/>
    <w:p w14:paraId="38CCD3C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7.5.1 因发包人原因导致工期延误</w:t>
      </w:r>
    </w:p>
    <w:p w14:paraId="0659791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（7）因发包人原因导致工期延误的其他情形：</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CC73ED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bookmarkStart w:id="679" w:name="_Toc318581169"/>
      <w:bookmarkStart w:id="680" w:name="_Toc312678012"/>
      <w:bookmarkStart w:id="681" w:name="_Toc312677486"/>
      <w:bookmarkStart w:id="682" w:name="_Toc304295548"/>
      <w:bookmarkStart w:id="683" w:name="_Toc303539127"/>
      <w:bookmarkStart w:id="684" w:name="_Toc297216177"/>
      <w:bookmarkStart w:id="685" w:name="_Toc300934970"/>
      <w:bookmarkStart w:id="686" w:name="_Toc297123518"/>
      <w:r>
        <w:rPr>
          <w:rFonts w:hint="eastAsia" w:ascii="宋体" w:hAnsi="宋体" w:eastAsia="宋体" w:cs="宋体"/>
          <w:color w:val="auto"/>
          <w:sz w:val="21"/>
          <w:szCs w:val="21"/>
          <w:highlight w:val="none"/>
        </w:rPr>
        <w:t>.5.2 因承包人原因导致工期延误</w:t>
      </w:r>
    </w:p>
    <w:bookmarkEnd w:id="679"/>
    <w:bookmarkEnd w:id="680"/>
    <w:bookmarkEnd w:id="681"/>
    <w:p w14:paraId="4C04E56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w:t>
      </w:r>
      <w:bookmarkStart w:id="687" w:name="_Toc312677487"/>
      <w:bookmarkStart w:id="688" w:name="_Toc312678013"/>
      <w:bookmarkStart w:id="689" w:name="_Toc318581170"/>
      <w:r>
        <w:rPr>
          <w:rFonts w:hint="eastAsia" w:ascii="宋体" w:hAnsi="宋体" w:eastAsia="宋体" w:cs="宋体"/>
          <w:color w:val="auto"/>
          <w:sz w:val="21"/>
          <w:szCs w:val="21"/>
          <w:highlight w:val="none"/>
        </w:rPr>
        <w:t>承包人原因造成工期延误，逾期竣工违约金的计算方法为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bookmarkEnd w:id="682"/>
      <w:bookmarkEnd w:id="683"/>
      <w:bookmarkEnd w:id="684"/>
      <w:bookmarkEnd w:id="685"/>
      <w:bookmarkEnd w:id="686"/>
      <w:bookmarkEnd w:id="687"/>
      <w:bookmarkEnd w:id="688"/>
    </w:p>
    <w:bookmarkEnd w:id="689"/>
    <w:p w14:paraId="00EC1C0C">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因承包人原因造成工期延误，逾</w:t>
      </w:r>
      <w:bookmarkStart w:id="690" w:name="_Toc312678014"/>
      <w:bookmarkStart w:id="691" w:name="_Toc318581171"/>
      <w:r>
        <w:rPr>
          <w:rFonts w:hint="eastAsia" w:ascii="宋体" w:hAnsi="宋体" w:eastAsia="宋体" w:cs="宋体"/>
          <w:color w:val="auto"/>
          <w:sz w:val="21"/>
          <w:szCs w:val="21"/>
          <w:highlight w:val="none"/>
        </w:rPr>
        <w:t>期竣工违约金的上限：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690"/>
    <w:bookmarkEnd w:id="691"/>
    <w:p w14:paraId="0447045C">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bookmarkStart w:id="692" w:name="_Toc312678015"/>
      <w:bookmarkStart w:id="693" w:name="_Toc300934971"/>
      <w:bookmarkStart w:id="694" w:name="_Toc297123519"/>
      <w:bookmarkStart w:id="695" w:name="_Toc297216178"/>
      <w:bookmarkStart w:id="696" w:name="_Toc304295549"/>
      <w:bookmarkStart w:id="697" w:name="_Toc303539128"/>
      <w:r>
        <w:rPr>
          <w:rFonts w:hint="eastAsia" w:ascii="宋体" w:hAnsi="宋体" w:eastAsia="宋体" w:cs="宋体"/>
          <w:color w:val="auto"/>
          <w:sz w:val="21"/>
          <w:szCs w:val="21"/>
          <w:highlight w:val="none"/>
        </w:rPr>
        <w:t>.6 不</w:t>
      </w:r>
      <w:bookmarkEnd w:id="692"/>
      <w:bookmarkEnd w:id="693"/>
      <w:bookmarkEnd w:id="694"/>
      <w:bookmarkEnd w:id="695"/>
      <w:bookmarkEnd w:id="696"/>
      <w:bookmarkEnd w:id="697"/>
      <w:r>
        <w:rPr>
          <w:rFonts w:hint="eastAsia" w:ascii="宋体" w:hAnsi="宋体" w:eastAsia="宋体" w:cs="宋体"/>
          <w:color w:val="auto"/>
          <w:sz w:val="21"/>
          <w:szCs w:val="21"/>
          <w:highlight w:val="none"/>
        </w:rPr>
        <w:t>利物质条件</w:t>
      </w:r>
    </w:p>
    <w:p w14:paraId="4C04670F">
      <w:pPr>
        <w:spacing w:line="400" w:lineRule="exact"/>
        <w:ind w:firstLine="420" w:firstLineChars="200"/>
        <w:rPr>
          <w:rFonts w:hint="eastAsia" w:ascii="宋体" w:hAnsi="宋体" w:eastAsia="宋体" w:cs="宋体"/>
          <w:color w:val="auto"/>
          <w:sz w:val="21"/>
          <w:szCs w:val="21"/>
          <w:highlight w:val="none"/>
        </w:rPr>
      </w:pPr>
      <w:bookmarkStart w:id="698" w:name="_Toc303539129"/>
      <w:bookmarkStart w:id="699" w:name="_Toc304295550"/>
      <w:bookmarkStart w:id="700" w:name="_Toc312678016"/>
      <w:bookmarkStart w:id="701" w:name="_Toc297216179"/>
      <w:bookmarkStart w:id="702" w:name="_Toc300934972"/>
      <w:bookmarkStart w:id="703" w:name="_Toc318581172"/>
      <w:bookmarkStart w:id="704" w:name="_Toc297123520"/>
      <w:r>
        <w:rPr>
          <w:rFonts w:hint="eastAsia" w:ascii="宋体" w:hAnsi="宋体" w:eastAsia="宋体" w:cs="宋体"/>
          <w:color w:val="auto"/>
          <w:sz w:val="21"/>
          <w:szCs w:val="21"/>
          <w:highlight w:val="none"/>
        </w:rPr>
        <w:t>不利物质条件的其他情形和有关约定：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698"/>
    <w:bookmarkEnd w:id="699"/>
    <w:bookmarkEnd w:id="700"/>
    <w:bookmarkEnd w:id="701"/>
    <w:bookmarkEnd w:id="702"/>
    <w:bookmarkEnd w:id="703"/>
    <w:bookmarkEnd w:id="704"/>
    <w:p w14:paraId="092BC7A0">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bookmarkStart w:id="705" w:name="_Toc312678017"/>
      <w:bookmarkStart w:id="706" w:name="_Toc297216180"/>
      <w:bookmarkStart w:id="707" w:name="_Toc304295551"/>
      <w:bookmarkStart w:id="708" w:name="_Toc300934973"/>
      <w:bookmarkStart w:id="709" w:name="_Toc297123521"/>
      <w:bookmarkStart w:id="710" w:name="_Toc303539130"/>
      <w:r>
        <w:rPr>
          <w:rFonts w:hint="eastAsia" w:ascii="宋体" w:hAnsi="宋体" w:eastAsia="宋体" w:cs="宋体"/>
          <w:color w:val="auto"/>
          <w:sz w:val="21"/>
          <w:szCs w:val="21"/>
          <w:highlight w:val="none"/>
        </w:rPr>
        <w:t>.7异常恶劣的气候条件</w:t>
      </w:r>
    </w:p>
    <w:bookmarkEnd w:id="705"/>
    <w:bookmarkEnd w:id="706"/>
    <w:bookmarkEnd w:id="707"/>
    <w:bookmarkEnd w:id="708"/>
    <w:bookmarkEnd w:id="709"/>
    <w:bookmarkEnd w:id="710"/>
    <w:p w14:paraId="0951834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发包人和承包人同意以下情形视为异常恶劣的气候条件：</w:t>
      </w:r>
    </w:p>
    <w:p w14:paraId="7CE6786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4A50C5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551238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967AA92">
      <w:pPr>
        <w:spacing w:after="120" w:line="400" w:lineRule="exact"/>
        <w:ind w:firstLine="420" w:firstLineChars="200"/>
        <w:outlineLvl w:val="0"/>
        <w:rPr>
          <w:rFonts w:hint="eastAsia" w:ascii="宋体" w:hAnsi="宋体" w:eastAsia="宋体" w:cs="宋体"/>
          <w:color w:val="auto"/>
          <w:sz w:val="21"/>
          <w:szCs w:val="21"/>
          <w:highlight w:val="none"/>
        </w:rPr>
      </w:pPr>
      <w:bookmarkStart w:id="711" w:name="_Toc12622"/>
      <w:bookmarkStart w:id="712" w:name="_Toc10913"/>
      <w:bookmarkStart w:id="713" w:name="_Toc23920"/>
      <w:bookmarkStart w:id="714" w:name="_Toc6125"/>
      <w:r>
        <w:rPr>
          <w:rFonts w:hint="eastAsia" w:ascii="宋体" w:hAnsi="宋体" w:eastAsia="宋体" w:cs="宋体"/>
          <w:color w:val="auto"/>
          <w:sz w:val="21"/>
          <w:szCs w:val="21"/>
          <w:highlight w:val="none"/>
        </w:rPr>
        <w:t>7.9 提前竣工的奖励</w:t>
      </w:r>
      <w:bookmarkEnd w:id="711"/>
      <w:bookmarkEnd w:id="712"/>
      <w:bookmarkEnd w:id="713"/>
      <w:bookmarkEnd w:id="714"/>
    </w:p>
    <w:p w14:paraId="06A7E94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7.9.2提前竣工的奖励：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5BF8250">
      <w:pPr>
        <w:pStyle w:val="7"/>
        <w:spacing w:before="120" w:after="120" w:line="400" w:lineRule="exact"/>
        <w:rPr>
          <w:rFonts w:hint="eastAsia" w:ascii="宋体" w:hAnsi="宋体" w:eastAsia="宋体" w:cs="宋体"/>
          <w:b w:val="0"/>
          <w:color w:val="auto"/>
          <w:sz w:val="21"/>
          <w:szCs w:val="21"/>
          <w:highlight w:val="none"/>
        </w:rPr>
      </w:pPr>
      <w:bookmarkStart w:id="715" w:name="_Toc351203640"/>
      <w:r>
        <w:rPr>
          <w:rFonts w:hint="eastAsia" w:ascii="宋体" w:hAnsi="宋体" w:eastAsia="宋体" w:cs="宋体"/>
          <w:b w:val="0"/>
          <w:color w:val="auto"/>
          <w:sz w:val="21"/>
          <w:szCs w:val="21"/>
          <w:highlight w:val="none"/>
        </w:rPr>
        <w:t>8. 材料与设备</w:t>
      </w:r>
      <w:bookmarkEnd w:id="715"/>
    </w:p>
    <w:bookmarkEnd w:id="638"/>
    <w:bookmarkEnd w:id="639"/>
    <w:bookmarkEnd w:id="640"/>
    <w:bookmarkEnd w:id="641"/>
    <w:bookmarkEnd w:id="642"/>
    <w:bookmarkEnd w:id="643"/>
    <w:bookmarkEnd w:id="644"/>
    <w:bookmarkEnd w:id="645"/>
    <w:bookmarkEnd w:id="646"/>
    <w:bookmarkEnd w:id="647"/>
    <w:p w14:paraId="79BB0DA0">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bookmarkStart w:id="716" w:name="_Toc280868654"/>
      <w:bookmarkStart w:id="717" w:name="_Toc312678019"/>
      <w:bookmarkStart w:id="718" w:name="_Toc292559877"/>
      <w:bookmarkStart w:id="719" w:name="_Toc297123527"/>
      <w:bookmarkStart w:id="720" w:name="_Toc296891207"/>
      <w:bookmarkStart w:id="721" w:name="_Toc303539136"/>
      <w:bookmarkStart w:id="722" w:name="_Toc296944506"/>
      <w:bookmarkStart w:id="723" w:name="_Toc297048353"/>
      <w:bookmarkStart w:id="724" w:name="_Toc300934979"/>
      <w:bookmarkStart w:id="725" w:name="_Toc297216186"/>
      <w:bookmarkStart w:id="726" w:name="_Toc296346668"/>
      <w:bookmarkStart w:id="727" w:name="_Toc296503167"/>
      <w:bookmarkStart w:id="728" w:name="_Toc312677493"/>
      <w:bookmarkStart w:id="729" w:name="_Toc297120467"/>
      <w:bookmarkStart w:id="730" w:name="_Toc296890995"/>
      <w:bookmarkStart w:id="731" w:name="_Toc292559372"/>
      <w:bookmarkStart w:id="732" w:name="_Toc304295556"/>
      <w:bookmarkStart w:id="733" w:name="_Toc296347166"/>
      <w:bookmarkStart w:id="734" w:name="_Toc280868656"/>
      <w:bookmarkStart w:id="735" w:name="_Toc280868655"/>
      <w:bookmarkStart w:id="736" w:name="_Toc267251424"/>
      <w:r>
        <w:rPr>
          <w:rFonts w:hint="eastAsia" w:ascii="宋体" w:hAnsi="宋体" w:eastAsia="宋体" w:cs="宋体"/>
          <w:color w:val="auto"/>
          <w:sz w:val="21"/>
          <w:szCs w:val="21"/>
          <w:highlight w:val="none"/>
        </w:rPr>
        <w:t>.4材料与工程设备的保管与使用</w:t>
      </w:r>
    </w:p>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14:paraId="1967EC8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bookmarkStart w:id="737" w:name="_Toc292559878"/>
      <w:bookmarkStart w:id="738" w:name="_Toc292559373"/>
      <w:bookmarkStart w:id="739" w:name="_Toc296346669"/>
      <w:bookmarkStart w:id="740" w:name="_Toc296891208"/>
      <w:bookmarkStart w:id="741" w:name="_Toc304295557"/>
      <w:bookmarkStart w:id="742" w:name="_Toc318581173"/>
      <w:bookmarkStart w:id="743" w:name="_Toc300934980"/>
      <w:bookmarkStart w:id="744" w:name="_Toc297120468"/>
      <w:bookmarkStart w:id="745" w:name="_Toc312677494"/>
      <w:bookmarkStart w:id="746" w:name="_Toc296944507"/>
      <w:bookmarkStart w:id="747" w:name="_Toc296347167"/>
      <w:bookmarkStart w:id="748" w:name="_Toc303539137"/>
      <w:bookmarkStart w:id="749" w:name="_Toc296503168"/>
      <w:bookmarkStart w:id="750" w:name="_Toc312678020"/>
      <w:bookmarkStart w:id="751" w:name="_Toc297216187"/>
      <w:bookmarkStart w:id="752" w:name="_Toc297048354"/>
      <w:bookmarkStart w:id="753" w:name="_Toc296890996"/>
      <w:bookmarkStart w:id="754" w:name="_Toc297123528"/>
      <w:r>
        <w:rPr>
          <w:rFonts w:hint="eastAsia" w:ascii="宋体" w:hAnsi="宋体" w:eastAsia="宋体" w:cs="宋体"/>
          <w:color w:val="auto"/>
          <w:sz w:val="21"/>
          <w:szCs w:val="21"/>
          <w:highlight w:val="none"/>
        </w:rPr>
        <w:t>.4.1发包人供应的材料设备的保管费用的承担：</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bookmarkEnd w:id="737"/>
      <w:bookmarkEnd w:id="738"/>
    </w:p>
    <w:p w14:paraId="7BF74966">
      <w:pPr>
        <w:spacing w:after="120" w:line="400" w:lineRule="exact"/>
        <w:ind w:firstLine="420" w:firstLineChars="200"/>
        <w:outlineLvl w:val="0"/>
        <w:rPr>
          <w:rFonts w:hint="eastAsia" w:ascii="宋体" w:hAnsi="宋体" w:eastAsia="宋体" w:cs="宋体"/>
          <w:color w:val="auto"/>
          <w:sz w:val="21"/>
          <w:szCs w:val="21"/>
          <w:highlight w:val="none"/>
        </w:rPr>
      </w:pPr>
      <w:bookmarkStart w:id="755" w:name="_Toc28386"/>
      <w:bookmarkStart w:id="756" w:name="_Toc12220"/>
      <w:bookmarkStart w:id="757" w:name="_Toc17312"/>
      <w:bookmarkStart w:id="758" w:name="_Toc15209"/>
      <w:r>
        <w:rPr>
          <w:rFonts w:hint="eastAsia" w:ascii="宋体" w:hAnsi="宋体" w:eastAsia="宋体" w:cs="宋体"/>
          <w:color w:val="auto"/>
          <w:sz w:val="21"/>
          <w:szCs w:val="21"/>
          <w:highlight w:val="none"/>
        </w:rPr>
        <w:t>8.6 样品</w:t>
      </w:r>
      <w:bookmarkEnd w:id="755"/>
      <w:bookmarkEnd w:id="756"/>
      <w:bookmarkEnd w:id="757"/>
      <w:bookmarkEnd w:id="758"/>
    </w:p>
    <w:p w14:paraId="15C94B5E">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8.6.1样品的报送与封存</w:t>
      </w:r>
    </w:p>
    <w:p w14:paraId="7E87B1FB">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需要承包人报送样品的材料或工程设备，样品的种类、名称、规格、数量要求：</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5614864">
      <w:pPr>
        <w:spacing w:after="120" w:line="400" w:lineRule="exact"/>
        <w:ind w:firstLine="420" w:firstLineChars="200"/>
        <w:outlineLvl w:val="0"/>
        <w:rPr>
          <w:rFonts w:hint="eastAsia" w:ascii="宋体" w:hAnsi="宋体" w:eastAsia="宋体" w:cs="宋体"/>
          <w:color w:val="auto"/>
          <w:sz w:val="21"/>
          <w:szCs w:val="21"/>
          <w:highlight w:val="none"/>
        </w:rPr>
      </w:pPr>
      <w:bookmarkStart w:id="759" w:name="_Toc20607"/>
      <w:bookmarkStart w:id="760" w:name="_Toc27751"/>
      <w:bookmarkStart w:id="761" w:name="_Toc28978"/>
      <w:bookmarkStart w:id="762" w:name="_Toc14941"/>
      <w:r>
        <w:rPr>
          <w:rFonts w:hint="eastAsia" w:ascii="宋体" w:hAnsi="宋体" w:eastAsia="宋体" w:cs="宋体"/>
          <w:color w:val="auto"/>
          <w:sz w:val="21"/>
          <w:szCs w:val="21"/>
          <w:highlight w:val="none"/>
        </w:rPr>
        <w:t>8.8 施工设备和临时设施</w:t>
      </w:r>
      <w:bookmarkEnd w:id="759"/>
      <w:bookmarkEnd w:id="760"/>
      <w:bookmarkEnd w:id="761"/>
      <w:bookmarkEnd w:id="762"/>
    </w:p>
    <w:p w14:paraId="13EE8B4E">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8.8.1 承包人提供的施工设备和临时设施</w:t>
      </w:r>
    </w:p>
    <w:p w14:paraId="470CC02E">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关于修建临时设施费用承担的约定：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14:paraId="186CE766">
      <w:pPr>
        <w:pStyle w:val="7"/>
        <w:spacing w:before="120" w:after="120" w:line="400" w:lineRule="exact"/>
        <w:rPr>
          <w:rFonts w:hint="eastAsia" w:ascii="宋体" w:hAnsi="宋体" w:eastAsia="宋体" w:cs="宋体"/>
          <w:b w:val="0"/>
          <w:color w:val="auto"/>
          <w:sz w:val="21"/>
          <w:szCs w:val="21"/>
          <w:highlight w:val="none"/>
        </w:rPr>
      </w:pPr>
      <w:bookmarkStart w:id="763" w:name="_Toc351203641"/>
      <w:r>
        <w:rPr>
          <w:rFonts w:hint="eastAsia" w:ascii="宋体" w:hAnsi="宋体" w:eastAsia="宋体" w:cs="宋体"/>
          <w:b w:val="0"/>
          <w:color w:val="auto"/>
          <w:sz w:val="21"/>
          <w:szCs w:val="21"/>
          <w:highlight w:val="none"/>
        </w:rPr>
        <w:t>9</w:t>
      </w:r>
      <w:bookmarkEnd w:id="734"/>
      <w:bookmarkEnd w:id="735"/>
      <w:bookmarkEnd w:id="736"/>
      <w:bookmarkStart w:id="764" w:name="_Toc297123533"/>
      <w:bookmarkStart w:id="765" w:name="_Toc303539139"/>
      <w:bookmarkStart w:id="766" w:name="_Toc312677495"/>
      <w:bookmarkStart w:id="767" w:name="_Toc297216192"/>
      <w:bookmarkStart w:id="768" w:name="_Toc304295559"/>
      <w:bookmarkStart w:id="769" w:name="_Toc300934982"/>
      <w:bookmarkStart w:id="770" w:name="_Toc312678021"/>
      <w:bookmarkStart w:id="771" w:name="_Toc296347172"/>
      <w:bookmarkStart w:id="772" w:name="_Toc297048359"/>
      <w:bookmarkStart w:id="773" w:name="_Toc292559883"/>
      <w:bookmarkStart w:id="774" w:name="_Toc296944512"/>
      <w:bookmarkStart w:id="775" w:name="_Toc296891001"/>
      <w:bookmarkStart w:id="776" w:name="_Toc267251427"/>
      <w:bookmarkStart w:id="777" w:name="_Toc296503173"/>
      <w:bookmarkStart w:id="778" w:name="_Toc296891213"/>
      <w:bookmarkStart w:id="779" w:name="_Toc267251428"/>
      <w:bookmarkStart w:id="780" w:name="_Toc296346674"/>
      <w:bookmarkStart w:id="781" w:name="_Toc297120473"/>
      <w:bookmarkStart w:id="782" w:name="_Toc292559378"/>
      <w:r>
        <w:rPr>
          <w:rFonts w:hint="eastAsia" w:ascii="宋体" w:hAnsi="宋体" w:eastAsia="宋体" w:cs="宋体"/>
          <w:b w:val="0"/>
          <w:color w:val="auto"/>
          <w:sz w:val="21"/>
          <w:szCs w:val="21"/>
          <w:highlight w:val="none"/>
        </w:rPr>
        <w:t>. 试验与检验</w:t>
      </w:r>
      <w:bookmarkEnd w:id="763"/>
    </w:p>
    <w:bookmarkEnd w:id="764"/>
    <w:bookmarkEnd w:id="765"/>
    <w:bookmarkEnd w:id="766"/>
    <w:bookmarkEnd w:id="767"/>
    <w:bookmarkEnd w:id="768"/>
    <w:bookmarkEnd w:id="769"/>
    <w:bookmarkEnd w:id="770"/>
    <w:p w14:paraId="4538A002">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bookmarkStart w:id="783" w:name="_Toc303539140"/>
      <w:bookmarkStart w:id="784" w:name="_Toc312677496"/>
      <w:bookmarkStart w:id="785" w:name="_Toc304295560"/>
      <w:bookmarkStart w:id="786" w:name="_Toc297216193"/>
      <w:bookmarkStart w:id="787" w:name="_Toc312678022"/>
      <w:bookmarkStart w:id="788" w:name="_Toc300934983"/>
      <w:bookmarkStart w:id="789" w:name="_Toc297123534"/>
      <w:r>
        <w:rPr>
          <w:rFonts w:hint="eastAsia" w:ascii="宋体" w:hAnsi="宋体" w:eastAsia="宋体" w:cs="宋体"/>
          <w:color w:val="auto"/>
          <w:sz w:val="21"/>
          <w:szCs w:val="21"/>
          <w:highlight w:val="none"/>
        </w:rPr>
        <w:t>.1试验设备与试验人员</w:t>
      </w:r>
    </w:p>
    <w:bookmarkEnd w:id="783"/>
    <w:bookmarkEnd w:id="784"/>
    <w:bookmarkEnd w:id="785"/>
    <w:bookmarkEnd w:id="786"/>
    <w:bookmarkEnd w:id="787"/>
    <w:bookmarkEnd w:id="788"/>
    <w:bookmarkEnd w:id="789"/>
    <w:p w14:paraId="7BB58D4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bookmarkStart w:id="790" w:name="_Toc312677497"/>
      <w:bookmarkStart w:id="791" w:name="_Toc300934984"/>
      <w:bookmarkStart w:id="792" w:name="_Toc304295561"/>
      <w:bookmarkStart w:id="793" w:name="_Toc297216194"/>
      <w:bookmarkStart w:id="794" w:name="_Toc312678023"/>
      <w:bookmarkStart w:id="795" w:name="_Toc303539141"/>
      <w:bookmarkStart w:id="796" w:name="_Toc297123535"/>
      <w:bookmarkStart w:id="797" w:name="_Toc318581174"/>
      <w:r>
        <w:rPr>
          <w:rFonts w:hint="eastAsia" w:ascii="宋体" w:hAnsi="宋体" w:eastAsia="宋体" w:cs="宋体"/>
          <w:color w:val="auto"/>
          <w:sz w:val="21"/>
          <w:szCs w:val="21"/>
          <w:highlight w:val="none"/>
        </w:rPr>
        <w:t>.1.2 试验设备</w:t>
      </w:r>
    </w:p>
    <w:p w14:paraId="2282179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施工现场需要配置的试验场所：</w:t>
      </w:r>
      <w:bookmarkEnd w:id="790"/>
      <w:bookmarkEnd w:id="791"/>
      <w:bookmarkEnd w:id="792"/>
      <w:bookmarkEnd w:id="793"/>
      <w:bookmarkEnd w:id="794"/>
      <w:bookmarkEnd w:id="795"/>
      <w:bookmarkEnd w:id="796"/>
      <w:bookmarkStart w:id="798" w:name="_Toc312677498"/>
      <w:bookmarkStart w:id="799" w:name="_Toc304295562"/>
      <w:bookmarkStart w:id="800" w:name="_Toc297216195"/>
      <w:bookmarkStart w:id="801" w:name="_Toc297123536"/>
      <w:bookmarkStart w:id="802" w:name="_Toc303539142"/>
      <w:bookmarkStart w:id="803" w:name="_Toc312678024"/>
      <w:bookmarkStart w:id="804" w:name="_Toc300934985"/>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4D33780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施工现场需要配备的试验设备：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6BFFE9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施工现场需要具备的其他试验条件：</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6E430E6">
      <w:pPr>
        <w:spacing w:after="120" w:line="400" w:lineRule="exact"/>
        <w:ind w:firstLine="420" w:firstLineChars="200"/>
        <w:outlineLvl w:val="0"/>
        <w:rPr>
          <w:rFonts w:hint="eastAsia" w:ascii="宋体" w:hAnsi="宋体" w:eastAsia="宋体" w:cs="宋体"/>
          <w:color w:val="auto"/>
          <w:sz w:val="21"/>
          <w:szCs w:val="21"/>
          <w:highlight w:val="none"/>
        </w:rPr>
      </w:pPr>
      <w:bookmarkStart w:id="805" w:name="_Toc31954"/>
      <w:bookmarkStart w:id="806" w:name="_Toc15033"/>
      <w:bookmarkStart w:id="807" w:name="_Toc3835"/>
      <w:bookmarkStart w:id="808" w:name="_Toc29480"/>
      <w:r>
        <w:rPr>
          <w:rFonts w:hint="eastAsia" w:ascii="宋体" w:hAnsi="宋体" w:eastAsia="宋体" w:cs="宋体"/>
          <w:color w:val="auto"/>
          <w:sz w:val="21"/>
          <w:szCs w:val="21"/>
          <w:highlight w:val="none"/>
        </w:rPr>
        <w:t>9.4 现场工艺试验</w:t>
      </w:r>
      <w:bookmarkEnd w:id="805"/>
      <w:bookmarkEnd w:id="806"/>
      <w:bookmarkEnd w:id="807"/>
      <w:bookmarkEnd w:id="808"/>
      <w:r>
        <w:rPr>
          <w:rFonts w:hint="eastAsia" w:ascii="宋体" w:hAnsi="宋体" w:eastAsia="宋体" w:cs="宋体"/>
          <w:color w:val="auto"/>
          <w:sz w:val="21"/>
          <w:szCs w:val="21"/>
          <w:highlight w:val="none"/>
        </w:rPr>
        <w:t xml:space="preserve"> </w:t>
      </w:r>
    </w:p>
    <w:p w14:paraId="59EF339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现场工艺试验的有关约定：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797"/>
    <w:bookmarkEnd w:id="798"/>
    <w:bookmarkEnd w:id="799"/>
    <w:bookmarkEnd w:id="800"/>
    <w:bookmarkEnd w:id="801"/>
    <w:bookmarkEnd w:id="802"/>
    <w:bookmarkEnd w:id="803"/>
    <w:bookmarkEnd w:id="804"/>
    <w:p w14:paraId="055F30F9">
      <w:pPr>
        <w:pStyle w:val="7"/>
        <w:spacing w:before="120" w:after="120" w:line="400" w:lineRule="exact"/>
        <w:rPr>
          <w:rFonts w:hint="eastAsia" w:ascii="宋体" w:hAnsi="宋体" w:eastAsia="宋体" w:cs="宋体"/>
          <w:b w:val="0"/>
          <w:color w:val="auto"/>
          <w:sz w:val="21"/>
          <w:szCs w:val="21"/>
          <w:highlight w:val="none"/>
        </w:rPr>
      </w:pPr>
      <w:bookmarkStart w:id="809" w:name="_Toc351203642"/>
      <w:r>
        <w:rPr>
          <w:rFonts w:hint="eastAsia" w:ascii="宋体" w:hAnsi="宋体" w:eastAsia="宋体" w:cs="宋体"/>
          <w:b w:val="0"/>
          <w:color w:val="auto"/>
          <w:sz w:val="21"/>
          <w:szCs w:val="21"/>
          <w:highlight w:val="none"/>
        </w:rPr>
        <w:t>1</w:t>
      </w:r>
      <w:bookmarkEnd w:id="771"/>
      <w:bookmarkEnd w:id="772"/>
      <w:bookmarkEnd w:id="773"/>
      <w:bookmarkEnd w:id="774"/>
      <w:bookmarkEnd w:id="775"/>
      <w:bookmarkEnd w:id="776"/>
      <w:bookmarkEnd w:id="777"/>
      <w:bookmarkEnd w:id="778"/>
      <w:bookmarkEnd w:id="779"/>
      <w:bookmarkEnd w:id="780"/>
      <w:bookmarkEnd w:id="781"/>
      <w:bookmarkEnd w:id="782"/>
      <w:bookmarkStart w:id="810" w:name="_Toc292559398"/>
      <w:bookmarkStart w:id="811" w:name="_Toc300934989"/>
      <w:bookmarkStart w:id="812" w:name="_Toc296347192"/>
      <w:bookmarkStart w:id="813" w:name="_Toc296891021"/>
      <w:bookmarkStart w:id="814" w:name="_Toc296891233"/>
      <w:bookmarkStart w:id="815" w:name="_Toc303539146"/>
      <w:bookmarkStart w:id="816" w:name="_Toc304295566"/>
      <w:bookmarkStart w:id="817" w:name="_Toc297216199"/>
      <w:bookmarkStart w:id="818" w:name="_Toc292559903"/>
      <w:bookmarkStart w:id="819" w:name="_Toc296944532"/>
      <w:bookmarkStart w:id="820" w:name="_Toc297048379"/>
      <w:bookmarkStart w:id="821" w:name="_Toc296346694"/>
      <w:bookmarkStart w:id="822" w:name="_Toc297123540"/>
      <w:bookmarkStart w:id="823" w:name="_Toc296503193"/>
      <w:bookmarkStart w:id="824" w:name="_Toc297120493"/>
      <w:bookmarkStart w:id="825" w:name="_Toc312677499"/>
      <w:bookmarkStart w:id="826" w:name="_Toc312678025"/>
      <w:bookmarkStart w:id="827" w:name="_Toc267251437"/>
      <w:bookmarkStart w:id="828" w:name="_Toc267251441"/>
      <w:bookmarkStart w:id="829" w:name="_Toc267251439"/>
      <w:bookmarkStart w:id="830" w:name="_Toc267251433"/>
      <w:bookmarkStart w:id="831" w:name="_Toc267251435"/>
      <w:bookmarkStart w:id="832" w:name="_Toc267251440"/>
      <w:bookmarkStart w:id="833" w:name="_Toc267251442"/>
      <w:r>
        <w:rPr>
          <w:rFonts w:hint="eastAsia" w:ascii="宋体" w:hAnsi="宋体" w:eastAsia="宋体" w:cs="宋体"/>
          <w:b w:val="0"/>
          <w:color w:val="auto"/>
          <w:sz w:val="21"/>
          <w:szCs w:val="21"/>
          <w:highlight w:val="none"/>
        </w:rPr>
        <w:t>0. 变更</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bookmarkEnd w:id="825"/>
    <w:bookmarkEnd w:id="826"/>
    <w:p w14:paraId="77C38184">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Start w:id="834" w:name="_Toc296346695"/>
      <w:bookmarkStart w:id="835" w:name="_Toc292559904"/>
      <w:bookmarkStart w:id="836" w:name="_Toc297048380"/>
      <w:bookmarkStart w:id="837" w:name="_Toc312678026"/>
      <w:bookmarkStart w:id="838" w:name="_Toc304295567"/>
      <w:bookmarkStart w:id="839" w:name="_Toc296891234"/>
      <w:bookmarkStart w:id="840" w:name="_Toc296944533"/>
      <w:bookmarkStart w:id="841" w:name="_Toc297120494"/>
      <w:bookmarkStart w:id="842" w:name="_Toc292559399"/>
      <w:bookmarkStart w:id="843" w:name="_Toc296891022"/>
      <w:bookmarkStart w:id="844" w:name="_Toc297216200"/>
      <w:bookmarkStart w:id="845" w:name="_Toc296503194"/>
      <w:bookmarkStart w:id="846" w:name="_Toc297123541"/>
      <w:bookmarkStart w:id="847" w:name="_Toc303539147"/>
      <w:bookmarkStart w:id="848" w:name="_Toc312677500"/>
      <w:bookmarkStart w:id="849" w:name="_Toc300934990"/>
      <w:bookmarkStart w:id="850" w:name="_Toc296347193"/>
      <w:r>
        <w:rPr>
          <w:rFonts w:hint="eastAsia" w:ascii="宋体" w:hAnsi="宋体" w:eastAsia="宋体" w:cs="宋体"/>
          <w:color w:val="auto"/>
          <w:sz w:val="21"/>
          <w:szCs w:val="21"/>
          <w:highlight w:val="none"/>
        </w:rPr>
        <w:t>0.1变更的范围</w:t>
      </w:r>
    </w:p>
    <w:p w14:paraId="65148230">
      <w:pPr>
        <w:spacing w:line="400" w:lineRule="exact"/>
        <w:ind w:firstLine="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关于变更的范围的约定：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2B2A3F5">
      <w:pPr>
        <w:spacing w:line="400" w:lineRule="exact"/>
        <w:ind w:firstLine="420" w:firstLineChars="200"/>
        <w:rPr>
          <w:rFonts w:hint="eastAsia" w:ascii="宋体" w:hAnsi="宋体" w:eastAsia="宋体" w:cs="宋体"/>
          <w:color w:val="auto"/>
          <w:sz w:val="21"/>
          <w:szCs w:val="21"/>
          <w:highlight w:val="none"/>
        </w:rPr>
      </w:pPr>
      <w:bookmarkStart w:id="851" w:name="_Toc25164"/>
      <w:bookmarkStart w:id="852" w:name="_Toc13222"/>
      <w:bookmarkStart w:id="853" w:name="_Toc29620"/>
      <w:r>
        <w:rPr>
          <w:rFonts w:hint="eastAsia" w:ascii="宋体" w:hAnsi="宋体" w:eastAsia="宋体" w:cs="宋体"/>
          <w:color w:val="auto"/>
          <w:sz w:val="21"/>
          <w:szCs w:val="21"/>
          <w:highlight w:val="none"/>
        </w:rPr>
        <w:t>10.4 变更估价</w:t>
      </w:r>
      <w:bookmarkEnd w:id="851"/>
      <w:bookmarkEnd w:id="852"/>
      <w:bookmarkEnd w:id="853"/>
    </w:p>
    <w:p w14:paraId="7C8A1EE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10.4.1 变更估价原则</w:t>
      </w:r>
    </w:p>
    <w:p w14:paraId="1FFF4FE7">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关于变更估价的约定: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A00215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Start w:id="854" w:name="_Toc297123544"/>
      <w:bookmarkStart w:id="855" w:name="_Toc297048383"/>
      <w:bookmarkStart w:id="856" w:name="_Toc292559402"/>
      <w:bookmarkStart w:id="857" w:name="_Toc297120497"/>
      <w:bookmarkStart w:id="858" w:name="_Toc297216203"/>
      <w:bookmarkStart w:id="859" w:name="_Toc303539150"/>
      <w:bookmarkStart w:id="860" w:name="_Toc296891237"/>
      <w:bookmarkStart w:id="861" w:name="_Toc296503197"/>
      <w:bookmarkStart w:id="862" w:name="_Toc296891025"/>
      <w:bookmarkStart w:id="863" w:name="_Toc300934993"/>
      <w:bookmarkStart w:id="864" w:name="_Toc296944536"/>
      <w:bookmarkStart w:id="865" w:name="_Toc296347196"/>
      <w:bookmarkStart w:id="866" w:name="_Toc296346698"/>
      <w:bookmarkStart w:id="867" w:name="_Toc292559907"/>
      <w:bookmarkStart w:id="868" w:name="_Toc312678029"/>
      <w:bookmarkStart w:id="869" w:name="_Toc312677503"/>
      <w:bookmarkStart w:id="870" w:name="_Toc304295570"/>
      <w:r>
        <w:rPr>
          <w:rFonts w:hint="eastAsia" w:ascii="宋体" w:hAnsi="宋体" w:eastAsia="宋体" w:cs="宋体"/>
          <w:color w:val="auto"/>
          <w:sz w:val="21"/>
          <w:szCs w:val="21"/>
          <w:highlight w:val="none"/>
        </w:rPr>
        <w:t>0.5承</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Start w:id="871" w:name="_Toc296891031"/>
      <w:bookmarkStart w:id="872" w:name="_Toc296346704"/>
      <w:bookmarkStart w:id="873" w:name="_Toc296944542"/>
      <w:bookmarkStart w:id="874" w:name="_Toc297048389"/>
      <w:bookmarkStart w:id="875" w:name="_Toc297216204"/>
      <w:bookmarkStart w:id="876" w:name="_Toc300934994"/>
      <w:bookmarkStart w:id="877" w:name="_Toc292559408"/>
      <w:bookmarkStart w:id="878" w:name="_Toc296347202"/>
      <w:bookmarkStart w:id="879" w:name="_Toc297123545"/>
      <w:bookmarkStart w:id="880" w:name="_Toc296891243"/>
      <w:bookmarkStart w:id="881" w:name="_Toc303539151"/>
      <w:bookmarkStart w:id="882" w:name="_Toc297120503"/>
      <w:bookmarkStart w:id="883" w:name="_Toc296503203"/>
      <w:bookmarkStart w:id="884" w:name="_Toc292559913"/>
      <w:r>
        <w:rPr>
          <w:rFonts w:hint="eastAsia" w:ascii="宋体" w:hAnsi="宋体" w:eastAsia="宋体" w:cs="宋体"/>
          <w:color w:val="auto"/>
          <w:sz w:val="21"/>
          <w:szCs w:val="21"/>
          <w:highlight w:val="none"/>
        </w:rPr>
        <w:t>包人的合理化建议</w:t>
      </w:r>
    </w:p>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14:paraId="7217BAE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监理人审查承包人合理化建议的期限：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DC33D3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发包人审批承包人合理化建议的期限：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3CF0739">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w:t>
      </w:r>
      <w:bookmarkStart w:id="885" w:name="_Toc297120504"/>
      <w:bookmarkStart w:id="886" w:name="_Toc296891244"/>
      <w:bookmarkStart w:id="887" w:name="_Toc296891032"/>
      <w:bookmarkStart w:id="888" w:name="_Toc304295571"/>
      <w:bookmarkStart w:id="889" w:name="_Toc297123546"/>
      <w:bookmarkStart w:id="890" w:name="_Toc303539152"/>
      <w:bookmarkStart w:id="891" w:name="_Toc300934995"/>
      <w:bookmarkStart w:id="892" w:name="_Toc292559409"/>
      <w:bookmarkStart w:id="893" w:name="_Toc296346705"/>
      <w:bookmarkStart w:id="894" w:name="_Toc297048390"/>
      <w:bookmarkStart w:id="895" w:name="_Toc296503204"/>
      <w:bookmarkStart w:id="896" w:name="_Toc312677504"/>
      <w:bookmarkStart w:id="897" w:name="_Toc296347203"/>
      <w:bookmarkStart w:id="898" w:name="_Toc296944543"/>
      <w:bookmarkStart w:id="899" w:name="_Toc318581175"/>
      <w:bookmarkStart w:id="900" w:name="_Toc297216205"/>
      <w:bookmarkStart w:id="901" w:name="_Toc292559914"/>
      <w:bookmarkStart w:id="902" w:name="_Toc312678030"/>
      <w:r>
        <w:rPr>
          <w:rFonts w:hint="eastAsia" w:ascii="宋体" w:hAnsi="宋体" w:eastAsia="宋体" w:cs="宋体"/>
          <w:color w:val="auto"/>
          <w:sz w:val="21"/>
          <w:szCs w:val="21"/>
          <w:highlight w:val="none"/>
        </w:rPr>
        <w:t>包人提出的合理化建议降低了合同价格或者提高了工程经济效益的奖励的方法和金额为：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14:paraId="2AD316FC">
      <w:pPr>
        <w:spacing w:after="120" w:line="400" w:lineRule="exact"/>
        <w:ind w:firstLine="420" w:firstLineChars="200"/>
        <w:outlineLvl w:val="0"/>
        <w:rPr>
          <w:rFonts w:hint="eastAsia" w:ascii="宋体" w:hAnsi="宋体" w:eastAsia="宋体" w:cs="宋体"/>
          <w:color w:val="auto"/>
          <w:sz w:val="21"/>
          <w:szCs w:val="21"/>
          <w:highlight w:val="none"/>
        </w:rPr>
      </w:pPr>
      <w:bookmarkStart w:id="903" w:name="_Toc22853"/>
      <w:bookmarkStart w:id="904" w:name="_Toc25524"/>
      <w:bookmarkStart w:id="905" w:name="_Toc13119"/>
      <w:bookmarkStart w:id="906" w:name="_Toc7576"/>
      <w:r>
        <w:rPr>
          <w:rFonts w:hint="eastAsia" w:ascii="宋体" w:hAnsi="宋体" w:eastAsia="宋体" w:cs="宋体"/>
          <w:color w:val="auto"/>
          <w:sz w:val="21"/>
          <w:szCs w:val="21"/>
          <w:highlight w:val="none"/>
        </w:rPr>
        <w:t>1</w:t>
      </w:r>
      <w:bookmarkStart w:id="907" w:name="_Toc296503199"/>
      <w:bookmarkStart w:id="908" w:name="_Toc303539154"/>
      <w:bookmarkStart w:id="909" w:name="_Toc300934997"/>
      <w:bookmarkStart w:id="910" w:name="_Toc296891027"/>
      <w:bookmarkStart w:id="911" w:name="_Toc296944538"/>
      <w:bookmarkStart w:id="912" w:name="_Toc297123548"/>
      <w:bookmarkStart w:id="913" w:name="_Toc304295574"/>
      <w:bookmarkStart w:id="914" w:name="_Toc296346700"/>
      <w:bookmarkStart w:id="915" w:name="_Toc297048385"/>
      <w:bookmarkStart w:id="916" w:name="_Toc292559404"/>
      <w:bookmarkStart w:id="917" w:name="_Toc297120499"/>
      <w:bookmarkStart w:id="918" w:name="_Toc297216207"/>
      <w:bookmarkStart w:id="919" w:name="_Toc312678033"/>
      <w:bookmarkStart w:id="920" w:name="_Toc296891239"/>
      <w:bookmarkStart w:id="921" w:name="_Toc292559909"/>
      <w:bookmarkStart w:id="922" w:name="_Toc296347198"/>
      <w:bookmarkStart w:id="923" w:name="_Toc312677507"/>
      <w:r>
        <w:rPr>
          <w:rFonts w:hint="eastAsia" w:ascii="宋体" w:hAnsi="宋体" w:eastAsia="宋体" w:cs="宋体"/>
          <w:color w:val="auto"/>
          <w:sz w:val="21"/>
          <w:szCs w:val="21"/>
          <w:highlight w:val="none"/>
        </w:rPr>
        <w:t>0.7 暂估价</w:t>
      </w:r>
      <w:bookmarkEnd w:id="903"/>
      <w:bookmarkEnd w:id="904"/>
      <w:bookmarkEnd w:id="905"/>
      <w:bookmarkEnd w:id="906"/>
    </w:p>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14:paraId="3DF85D5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暂</w:t>
      </w:r>
      <w:bookmarkStart w:id="924" w:name="_Toc318581176"/>
      <w:bookmarkStart w:id="925" w:name="_Toc312678034"/>
      <w:bookmarkStart w:id="926" w:name="_Toc312677508"/>
      <w:r>
        <w:rPr>
          <w:rFonts w:hint="eastAsia" w:ascii="宋体" w:hAnsi="宋体" w:eastAsia="宋体" w:cs="宋体"/>
          <w:color w:val="auto"/>
          <w:sz w:val="21"/>
          <w:szCs w:val="21"/>
          <w:highlight w:val="none"/>
        </w:rPr>
        <w:t>估价材料和工程设备的明细详见附件11：《暂估价一览表》。</w:t>
      </w:r>
    </w:p>
    <w:bookmarkEnd w:id="924"/>
    <w:bookmarkEnd w:id="925"/>
    <w:bookmarkEnd w:id="926"/>
    <w:p w14:paraId="4D8D4ABC">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Start w:id="927" w:name="_Toc318581177"/>
      <w:bookmarkStart w:id="928" w:name="_Toc312677509"/>
      <w:bookmarkStart w:id="929" w:name="_Toc312678035"/>
      <w:r>
        <w:rPr>
          <w:rFonts w:hint="eastAsia" w:ascii="宋体" w:hAnsi="宋体" w:eastAsia="宋体" w:cs="宋体"/>
          <w:color w:val="auto"/>
          <w:sz w:val="21"/>
          <w:szCs w:val="21"/>
          <w:highlight w:val="none"/>
        </w:rPr>
        <w:t>0.7.1 依法必须招标的暂估价项目</w:t>
      </w:r>
    </w:p>
    <w:bookmarkEnd w:id="927"/>
    <w:bookmarkEnd w:id="928"/>
    <w:bookmarkEnd w:id="929"/>
    <w:p w14:paraId="55B1617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对于依法必须招标的暂估价项目的确认和批准采取第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种方式确定。</w:t>
      </w:r>
    </w:p>
    <w:p w14:paraId="5668F7F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10.7.2 不属于依法必须招标的暂估价项目</w:t>
      </w:r>
    </w:p>
    <w:p w14:paraId="535DD57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对于不属于依法必须招标的暂估价项目的确认和批准采取第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种方式确定。</w:t>
      </w:r>
    </w:p>
    <w:p w14:paraId="39E14C7C">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第3种方式：承包人直接实施的暂估价项目</w:t>
      </w:r>
    </w:p>
    <w:p w14:paraId="0501D83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承包人直接实施的暂估价项目的约定：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0B9708C">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10.8 暂列金额</w:t>
      </w:r>
    </w:p>
    <w:p w14:paraId="62385B77">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合同当事人关于暂列金额使用的约定：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727F850">
      <w:pPr>
        <w:pStyle w:val="7"/>
        <w:spacing w:before="120" w:after="120" w:line="400" w:lineRule="exact"/>
        <w:rPr>
          <w:rFonts w:hint="eastAsia" w:ascii="宋体" w:hAnsi="宋体" w:eastAsia="宋体" w:cs="宋体"/>
          <w:b w:val="0"/>
          <w:color w:val="auto"/>
          <w:sz w:val="21"/>
          <w:szCs w:val="21"/>
          <w:highlight w:val="none"/>
        </w:rPr>
      </w:pPr>
      <w:bookmarkStart w:id="930" w:name="_Toc351203643"/>
      <w:r>
        <w:rPr>
          <w:rFonts w:hint="eastAsia" w:ascii="宋体" w:hAnsi="宋体" w:eastAsia="宋体" w:cs="宋体"/>
          <w:b w:val="0"/>
          <w:color w:val="auto"/>
          <w:sz w:val="21"/>
          <w:szCs w:val="21"/>
          <w:highlight w:val="none"/>
        </w:rPr>
        <w:t>11. 价格调整</w:t>
      </w:r>
      <w:bookmarkEnd w:id="930"/>
    </w:p>
    <w:p w14:paraId="5EF431A3">
      <w:pPr>
        <w:spacing w:after="120" w:line="400" w:lineRule="exact"/>
        <w:ind w:firstLine="420" w:firstLineChars="200"/>
        <w:rPr>
          <w:rFonts w:hint="eastAsia" w:ascii="宋体" w:hAnsi="宋体" w:eastAsia="宋体" w:cs="宋体"/>
          <w:color w:val="auto"/>
          <w:sz w:val="21"/>
          <w:szCs w:val="21"/>
          <w:highlight w:val="none"/>
        </w:rPr>
      </w:pPr>
      <w:bookmarkStart w:id="931" w:name="_Toc292559911"/>
      <w:bookmarkStart w:id="932" w:name="_Toc297048387"/>
      <w:bookmarkStart w:id="933" w:name="_Toc296347200"/>
      <w:bookmarkStart w:id="934" w:name="_Toc297216209"/>
      <w:bookmarkStart w:id="935" w:name="_Toc304295577"/>
      <w:bookmarkStart w:id="936" w:name="_Toc296346702"/>
      <w:bookmarkStart w:id="937" w:name="_Toc296891029"/>
      <w:bookmarkStart w:id="938" w:name="_Toc296944540"/>
      <w:bookmarkStart w:id="939" w:name="_Toc303539157"/>
      <w:bookmarkStart w:id="940" w:name="_Toc312678039"/>
      <w:bookmarkStart w:id="941" w:name="_Toc292559406"/>
      <w:bookmarkStart w:id="942" w:name="_Toc297120501"/>
      <w:bookmarkStart w:id="943" w:name="_Toc300935000"/>
      <w:bookmarkStart w:id="944" w:name="_Toc297123550"/>
      <w:bookmarkStart w:id="945" w:name="_Toc296503201"/>
      <w:bookmarkStart w:id="946" w:name="_Toc296891241"/>
      <w:r>
        <w:rPr>
          <w:rFonts w:hint="eastAsia" w:ascii="宋体" w:hAnsi="宋体" w:eastAsia="宋体" w:cs="宋体"/>
          <w:color w:val="auto"/>
          <w:sz w:val="21"/>
          <w:szCs w:val="21"/>
          <w:highlight w:val="none"/>
        </w:rPr>
        <w:t>11.1 市场价格波动引起的调整</w:t>
      </w:r>
    </w:p>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p w14:paraId="42EB6FF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市场价格波动是否调整合同价格的约定：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F2BFAA1">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因市场价格波动调整合同价格，采用以下第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种方式对合同价格进行调整：</w:t>
      </w:r>
    </w:p>
    <w:p w14:paraId="3481311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第1种方式：采用价格指数进行价格调整。</w:t>
      </w:r>
    </w:p>
    <w:p w14:paraId="53923782">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关于各可调因子、定值和变值权重，以及基本价格指数及其来源的约定：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019AFBD1">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第2种方式：采用造价信息进行价格调整。</w:t>
      </w:r>
    </w:p>
    <w:p w14:paraId="7D5A0ED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（2）关于基准价格的约定：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DB8737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%时，或材料单价跌幅以已标价工程量清单或预算书中载明材料单价为基础超过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%时，其超过部分据实调整。</w:t>
      </w:r>
    </w:p>
    <w:p w14:paraId="4DC0913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%时，材料单价涨幅以已标价工程量清单或预算书中载明材料单价为基础超过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%时，其超过部分据实调整。</w:t>
      </w:r>
    </w:p>
    <w:p w14:paraId="303AA496">
      <w:pPr>
        <w:spacing w:line="400" w:lineRule="exact"/>
        <w:ind w:firstLine="64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%时，其超过部分据实调整。</w:t>
      </w:r>
    </w:p>
    <w:p w14:paraId="64763B31">
      <w:pPr>
        <w:spacing w:line="400" w:lineRule="exact"/>
        <w:ind w:firstLine="64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第3种方式：其他价格调整方式：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827"/>
    <w:bookmarkEnd w:id="828"/>
    <w:bookmarkEnd w:id="829"/>
    <w:bookmarkEnd w:id="830"/>
    <w:bookmarkEnd w:id="831"/>
    <w:bookmarkEnd w:id="832"/>
    <w:p w14:paraId="684BA465">
      <w:pPr>
        <w:pStyle w:val="7"/>
        <w:spacing w:before="120" w:after="120" w:line="400" w:lineRule="exact"/>
        <w:rPr>
          <w:rFonts w:hint="eastAsia" w:ascii="宋体" w:hAnsi="宋体" w:eastAsia="宋体" w:cs="宋体"/>
          <w:b w:val="0"/>
          <w:color w:val="auto"/>
          <w:sz w:val="21"/>
          <w:szCs w:val="21"/>
          <w:highlight w:val="none"/>
        </w:rPr>
      </w:pPr>
      <w:bookmarkStart w:id="947" w:name="_Toc296944544"/>
      <w:bookmarkStart w:id="948" w:name="_Toc296503205"/>
      <w:bookmarkStart w:id="949" w:name="_Toc296347204"/>
      <w:bookmarkStart w:id="950" w:name="_Toc297048391"/>
      <w:bookmarkStart w:id="951" w:name="_Toc292559410"/>
      <w:bookmarkStart w:id="952" w:name="_Toc292559915"/>
      <w:bookmarkStart w:id="953" w:name="_Toc296891033"/>
      <w:bookmarkStart w:id="954" w:name="_Toc296346706"/>
      <w:bookmarkStart w:id="955" w:name="_Toc297120505"/>
      <w:bookmarkStart w:id="956" w:name="_Toc296891245"/>
      <w:bookmarkStart w:id="957" w:name="_Toc351203644"/>
      <w:bookmarkStart w:id="958" w:name="_Toc297216211"/>
      <w:bookmarkStart w:id="959" w:name="_Toc312678040"/>
      <w:bookmarkStart w:id="960" w:name="_Toc304295579"/>
      <w:bookmarkStart w:id="961" w:name="_Toc300935002"/>
      <w:bookmarkStart w:id="962" w:name="_Toc297123552"/>
      <w:bookmarkStart w:id="963" w:name="_Toc303539159"/>
      <w:r>
        <w:rPr>
          <w:rFonts w:hint="eastAsia" w:ascii="宋体" w:hAnsi="宋体" w:eastAsia="宋体" w:cs="宋体"/>
          <w:b w:val="0"/>
          <w:color w:val="auto"/>
          <w:sz w:val="21"/>
          <w:szCs w:val="21"/>
          <w:highlight w:val="none"/>
        </w:rPr>
        <w:t xml:space="preserve">12. </w:t>
      </w:r>
      <w:bookmarkEnd w:id="947"/>
      <w:bookmarkEnd w:id="948"/>
      <w:bookmarkEnd w:id="949"/>
      <w:bookmarkEnd w:id="950"/>
      <w:bookmarkEnd w:id="951"/>
      <w:bookmarkEnd w:id="952"/>
      <w:bookmarkEnd w:id="953"/>
      <w:bookmarkEnd w:id="954"/>
      <w:bookmarkEnd w:id="955"/>
      <w:bookmarkEnd w:id="956"/>
      <w:r>
        <w:rPr>
          <w:rFonts w:hint="eastAsia" w:ascii="宋体" w:hAnsi="宋体" w:eastAsia="宋体" w:cs="宋体"/>
          <w:b w:val="0"/>
          <w:color w:val="auto"/>
          <w:sz w:val="21"/>
          <w:szCs w:val="21"/>
          <w:highlight w:val="none"/>
        </w:rPr>
        <w:t>合同价格、计量与支付</w:t>
      </w:r>
      <w:bookmarkEnd w:id="957"/>
    </w:p>
    <w:bookmarkEnd w:id="958"/>
    <w:bookmarkEnd w:id="959"/>
    <w:bookmarkEnd w:id="960"/>
    <w:bookmarkEnd w:id="961"/>
    <w:bookmarkEnd w:id="962"/>
    <w:bookmarkEnd w:id="963"/>
    <w:p w14:paraId="7372B461">
      <w:pPr>
        <w:spacing w:after="120" w:line="400" w:lineRule="exact"/>
        <w:ind w:firstLine="420" w:firstLineChars="200"/>
        <w:rPr>
          <w:rFonts w:hint="eastAsia" w:ascii="宋体" w:hAnsi="宋体" w:eastAsia="宋体" w:cs="宋体"/>
          <w:color w:val="auto"/>
          <w:sz w:val="21"/>
          <w:szCs w:val="21"/>
          <w:highlight w:val="none"/>
        </w:rPr>
      </w:pPr>
      <w:bookmarkStart w:id="964" w:name="_Toc292559916"/>
      <w:bookmarkStart w:id="965" w:name="_Toc292559411"/>
      <w:bookmarkStart w:id="966" w:name="_Toc267251461"/>
      <w:bookmarkStart w:id="967" w:name="_Toc296891246"/>
      <w:bookmarkStart w:id="968" w:name="_Toc296347205"/>
      <w:bookmarkStart w:id="969" w:name="_Toc296944545"/>
      <w:bookmarkStart w:id="970" w:name="_Toc297120506"/>
      <w:bookmarkStart w:id="971" w:name="_Toc297048392"/>
      <w:bookmarkStart w:id="972" w:name="_Toc296891034"/>
      <w:bookmarkStart w:id="973" w:name="_Toc296346707"/>
      <w:bookmarkStart w:id="974" w:name="_Toc296503206"/>
      <w:bookmarkStart w:id="975" w:name="_Toc303539160"/>
      <w:bookmarkStart w:id="976" w:name="_Toc297216212"/>
      <w:bookmarkStart w:id="977" w:name="_Toc297123553"/>
      <w:bookmarkStart w:id="978" w:name="_Toc304295580"/>
      <w:bookmarkStart w:id="979" w:name="_Toc300935003"/>
      <w:bookmarkStart w:id="980" w:name="_Toc312678041"/>
      <w:r>
        <w:rPr>
          <w:rFonts w:hint="eastAsia" w:ascii="宋体" w:hAnsi="宋体" w:eastAsia="宋体" w:cs="宋体"/>
          <w:color w:val="auto"/>
          <w:sz w:val="21"/>
          <w:szCs w:val="21"/>
          <w:highlight w:val="none"/>
        </w:rPr>
        <w:t>12.1 合</w:t>
      </w:r>
      <w:bookmarkEnd w:id="964"/>
      <w:bookmarkEnd w:id="965"/>
      <w:bookmarkEnd w:id="966"/>
      <w:r>
        <w:rPr>
          <w:rFonts w:hint="eastAsia" w:ascii="宋体" w:hAnsi="宋体" w:eastAsia="宋体" w:cs="宋体"/>
          <w:color w:val="auto"/>
          <w:sz w:val="21"/>
          <w:szCs w:val="21"/>
          <w:highlight w:val="none"/>
        </w:rPr>
        <w:t>同价</w:t>
      </w:r>
      <w:bookmarkEnd w:id="967"/>
      <w:bookmarkEnd w:id="968"/>
      <w:bookmarkEnd w:id="969"/>
      <w:bookmarkEnd w:id="970"/>
      <w:bookmarkEnd w:id="971"/>
      <w:bookmarkEnd w:id="972"/>
      <w:bookmarkEnd w:id="973"/>
      <w:bookmarkEnd w:id="974"/>
      <w:r>
        <w:rPr>
          <w:rFonts w:hint="eastAsia" w:ascii="宋体" w:hAnsi="宋体" w:eastAsia="宋体" w:cs="宋体"/>
          <w:color w:val="auto"/>
          <w:sz w:val="21"/>
          <w:szCs w:val="21"/>
          <w:highlight w:val="none"/>
        </w:rPr>
        <w:t>格形式</w:t>
      </w:r>
    </w:p>
    <w:bookmarkEnd w:id="975"/>
    <w:bookmarkEnd w:id="976"/>
    <w:bookmarkEnd w:id="977"/>
    <w:bookmarkEnd w:id="978"/>
    <w:bookmarkEnd w:id="979"/>
    <w:bookmarkEnd w:id="980"/>
    <w:p w14:paraId="0ED4C26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1、单价合同。</w:t>
      </w:r>
    </w:p>
    <w:p w14:paraId="4002DC34">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综合单价包含的风险范围：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AD3DA0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风险费用的计算方法：</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89800A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风险范围以外合同价格的调整方法：</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42148C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2、总价合同。</w:t>
      </w:r>
    </w:p>
    <w:p w14:paraId="39BA9C6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总价包含的风险范围：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F9751F4">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风险费用的计算方法：</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E2D70BC">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风险范围以外合同价格的调整方法：</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89E501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3、其他价格方式：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56CC824">
      <w:pPr>
        <w:spacing w:after="120" w:line="400" w:lineRule="exact"/>
        <w:ind w:firstLine="420" w:firstLineChars="200"/>
        <w:rPr>
          <w:rFonts w:hint="eastAsia" w:ascii="宋体" w:hAnsi="宋体" w:eastAsia="宋体" w:cs="宋体"/>
          <w:color w:val="auto"/>
          <w:sz w:val="21"/>
          <w:szCs w:val="21"/>
          <w:highlight w:val="none"/>
        </w:rPr>
      </w:pPr>
      <w:bookmarkStart w:id="981" w:name="_Toc300935004"/>
      <w:bookmarkStart w:id="982" w:name="_Toc312678042"/>
      <w:bookmarkStart w:id="983" w:name="_Toc297216213"/>
      <w:bookmarkStart w:id="984" w:name="_Toc304295581"/>
      <w:bookmarkStart w:id="985" w:name="_Toc303539161"/>
      <w:bookmarkStart w:id="986" w:name="_Toc297123554"/>
      <w:bookmarkStart w:id="987" w:name="_Toc296891035"/>
      <w:bookmarkStart w:id="988" w:name="_Toc296347206"/>
      <w:bookmarkStart w:id="989" w:name="_Toc297120507"/>
      <w:bookmarkStart w:id="990" w:name="_Toc296346708"/>
      <w:bookmarkStart w:id="991" w:name="_Toc292559412"/>
      <w:bookmarkStart w:id="992" w:name="_Toc292559917"/>
      <w:bookmarkStart w:id="993" w:name="_Toc296891247"/>
      <w:bookmarkStart w:id="994" w:name="_Toc296944546"/>
      <w:bookmarkStart w:id="995" w:name="_Toc296503207"/>
      <w:bookmarkStart w:id="996" w:name="_Toc297048393"/>
      <w:r>
        <w:rPr>
          <w:rFonts w:hint="eastAsia" w:ascii="宋体" w:hAnsi="宋体" w:eastAsia="宋体" w:cs="宋体"/>
          <w:color w:val="auto"/>
          <w:sz w:val="21"/>
          <w:szCs w:val="21"/>
          <w:highlight w:val="none"/>
        </w:rPr>
        <w:t>12.2 预付款</w:t>
      </w:r>
    </w:p>
    <w:bookmarkEnd w:id="981"/>
    <w:bookmarkEnd w:id="982"/>
    <w:bookmarkEnd w:id="983"/>
    <w:bookmarkEnd w:id="984"/>
    <w:bookmarkEnd w:id="985"/>
    <w:bookmarkEnd w:id="986"/>
    <w:p w14:paraId="240231F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12.2.1 预付款的支付</w:t>
      </w:r>
    </w:p>
    <w:p w14:paraId="4605E38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预付款支付比例或金额：</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EDE7CD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预付款支付期限：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AC797E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预付款扣回的方式：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5388CD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12.2.2 预付款担保</w:t>
      </w:r>
    </w:p>
    <w:p w14:paraId="16A3A9E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承包人提交预付款担保的期限：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649499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预付款担保的形式为：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987"/>
    <w:bookmarkEnd w:id="988"/>
    <w:bookmarkEnd w:id="989"/>
    <w:bookmarkEnd w:id="990"/>
    <w:bookmarkEnd w:id="991"/>
    <w:bookmarkEnd w:id="992"/>
    <w:bookmarkEnd w:id="993"/>
    <w:bookmarkEnd w:id="994"/>
    <w:bookmarkEnd w:id="995"/>
    <w:bookmarkEnd w:id="996"/>
    <w:p w14:paraId="68CC178F">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 计量</w:t>
      </w:r>
    </w:p>
    <w:p w14:paraId="527727C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12.3.1 计量原则</w:t>
      </w:r>
    </w:p>
    <w:p w14:paraId="116A7EA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工程量计算规则：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C6CD89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12.3.2 计量周期</w:t>
      </w:r>
    </w:p>
    <w:p w14:paraId="790BEB91">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关于计量周期的约定：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76D916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12.3.3 单价合同的计量</w:t>
      </w:r>
    </w:p>
    <w:p w14:paraId="256E3AE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关于单价合同计量的约定：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9E449FC">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12.3.4 总价合同的计量</w:t>
      </w:r>
    </w:p>
    <w:p w14:paraId="64F3E78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关于总价合同计量的约定：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873F83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12.3.5总价合同采用支付分解表计量支付的，是否适用第12.3.4 项〔总价合同的计量〕约定进行计量：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F0F4CA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12.3.6 其他价格形式合同的计量</w:t>
      </w:r>
    </w:p>
    <w:p w14:paraId="76FBE9D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其他价格形式的计量方式和程序：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073D097">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 工程进度款支付</w:t>
      </w:r>
    </w:p>
    <w:p w14:paraId="6E846AED">
      <w:pPr>
        <w:spacing w:line="400" w:lineRule="exact"/>
        <w:ind w:firstLine="420" w:firstLineChars="200"/>
        <w:rPr>
          <w:rFonts w:hint="eastAsia" w:ascii="宋体" w:hAnsi="宋体" w:eastAsia="宋体" w:cs="宋体"/>
          <w:color w:val="auto"/>
          <w:sz w:val="21"/>
          <w:szCs w:val="21"/>
          <w:highlight w:val="none"/>
        </w:rPr>
      </w:pPr>
      <w:bookmarkStart w:id="997" w:name="_Toc297120511"/>
      <w:bookmarkStart w:id="998" w:name="_Toc297216215"/>
      <w:bookmarkStart w:id="999" w:name="_Toc296891039"/>
      <w:bookmarkStart w:id="1000" w:name="_Toc296891251"/>
      <w:bookmarkStart w:id="1001" w:name="_Toc303539163"/>
      <w:bookmarkStart w:id="1002" w:name="_Toc297048397"/>
      <w:bookmarkStart w:id="1003" w:name="_Toc297123556"/>
      <w:bookmarkStart w:id="1004" w:name="_Toc296944550"/>
      <w:bookmarkStart w:id="1005" w:name="_Toc292559921"/>
      <w:bookmarkStart w:id="1006" w:name="_Toc296347210"/>
      <w:bookmarkStart w:id="1007" w:name="_Toc300935006"/>
      <w:bookmarkStart w:id="1008" w:name="_Toc296503211"/>
      <w:bookmarkStart w:id="1009" w:name="_Toc292559416"/>
      <w:bookmarkStart w:id="1010" w:name="_Toc296346712"/>
      <w:r>
        <w:rPr>
          <w:rFonts w:hint="eastAsia" w:ascii="宋体" w:hAnsi="宋体" w:eastAsia="宋体" w:cs="宋体"/>
          <w:color w:val="auto"/>
          <w:sz w:val="21"/>
          <w:szCs w:val="21"/>
          <w:highlight w:val="none"/>
        </w:rPr>
        <w:t>12.4.1 付款周期</w:t>
      </w:r>
    </w:p>
    <w:p w14:paraId="6D96E0A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关于付款周期的约定：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5951A31">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12.4.2 进度付款申请单的编制</w:t>
      </w:r>
    </w:p>
    <w:p w14:paraId="099AC30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关于进度付款申请单编制的约定：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FB6B3E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r>
        <w:rPr>
          <w:rFonts w:hint="eastAsia" w:ascii="宋体" w:hAnsi="宋体" w:eastAsia="宋体" w:cs="宋体"/>
          <w:color w:val="auto"/>
          <w:sz w:val="21"/>
          <w:szCs w:val="21"/>
          <w:highlight w:val="none"/>
        </w:rPr>
        <w:t>2.4.3 进度付款申请单的提交</w:t>
      </w:r>
    </w:p>
    <w:p w14:paraId="0FE7F22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（1）单价合同进度付款申请单提交的约定：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1B84760">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（2）总价合同进度付款申请单提交的约定：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0110F2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（3）其他价格形式合同进度付款申请单提交的约定：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286020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12.4.4 进度款审核和支付</w:t>
      </w:r>
    </w:p>
    <w:p w14:paraId="37F93B37">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（1）监理人审查并报送发包人的期限：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B96AB5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发包人完成审批并签发进度款支付证书的期限：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54F670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（2）发包人支付进度款的期限：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3AC52DF1">
      <w:pPr>
        <w:spacing w:line="400" w:lineRule="exact"/>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发包人逾期支付进度款的违约金的计算方式：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FD9714B">
      <w:pPr>
        <w:spacing w:line="400" w:lineRule="exact"/>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12.4.6 支付分解表的编制</w:t>
      </w:r>
    </w:p>
    <w:p w14:paraId="4F3FB83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2、总价合同支付分解表的编制与审批：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7D64C4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3、单价合同的总价项目支付分解表的编制与审批：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833"/>
    <w:p w14:paraId="43EA8B08">
      <w:pPr>
        <w:pStyle w:val="7"/>
        <w:spacing w:before="120" w:after="120" w:line="400" w:lineRule="exact"/>
        <w:rPr>
          <w:rFonts w:hint="eastAsia" w:ascii="宋体" w:hAnsi="宋体" w:eastAsia="宋体" w:cs="宋体"/>
          <w:b w:val="0"/>
          <w:color w:val="auto"/>
          <w:sz w:val="21"/>
          <w:szCs w:val="21"/>
          <w:highlight w:val="none"/>
        </w:rPr>
      </w:pPr>
      <w:bookmarkStart w:id="1011" w:name="_Toc351203645"/>
      <w:bookmarkStart w:id="1012" w:name="_Toc296891047"/>
      <w:bookmarkStart w:id="1013" w:name="_Toc297216223"/>
      <w:bookmarkStart w:id="1014" w:name="_Toc296891259"/>
      <w:bookmarkStart w:id="1015" w:name="_Toc304295593"/>
      <w:bookmarkStart w:id="1016" w:name="_Toc296346720"/>
      <w:bookmarkStart w:id="1017" w:name="_Toc292559929"/>
      <w:bookmarkStart w:id="1018" w:name="_Toc303539172"/>
      <w:bookmarkStart w:id="1019" w:name="_Toc296944558"/>
      <w:bookmarkStart w:id="1020" w:name="_Toc297123564"/>
      <w:bookmarkStart w:id="1021" w:name="_Toc297048405"/>
      <w:bookmarkStart w:id="1022" w:name="_Toc296347218"/>
      <w:bookmarkStart w:id="1023" w:name="_Toc292559424"/>
      <w:bookmarkStart w:id="1024" w:name="_Toc297120519"/>
      <w:bookmarkStart w:id="1025" w:name="_Toc296503219"/>
      <w:bookmarkStart w:id="1026" w:name="_Toc300935015"/>
      <w:bookmarkStart w:id="1027" w:name="_Toc312678053"/>
      <w:r>
        <w:rPr>
          <w:rFonts w:hint="eastAsia" w:ascii="宋体" w:hAnsi="宋体" w:eastAsia="宋体" w:cs="宋体"/>
          <w:b w:val="0"/>
          <w:color w:val="auto"/>
          <w:sz w:val="21"/>
          <w:szCs w:val="21"/>
          <w:highlight w:val="none"/>
        </w:rPr>
        <w:t>13. 验收和工程试车</w:t>
      </w:r>
      <w:bookmarkEnd w:id="1011"/>
    </w:p>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14:paraId="53907508">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 分部分项工程验收</w:t>
      </w:r>
    </w:p>
    <w:p w14:paraId="450245B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13.1.2监理人不能按时进行验收时，应提前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小时提交书面延期要求。</w:t>
      </w:r>
    </w:p>
    <w:p w14:paraId="727F9AC3">
      <w:pPr>
        <w:spacing w:line="400" w:lineRule="exact"/>
        <w:ind w:firstLine="420" w:firstLineChars="200"/>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关于延期最长不得超过：</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小时。</w:t>
      </w:r>
    </w:p>
    <w:p w14:paraId="0583EFFC">
      <w:pPr>
        <w:spacing w:after="120" w:line="400" w:lineRule="exact"/>
        <w:ind w:firstLine="420" w:firstLineChars="200"/>
        <w:rPr>
          <w:rFonts w:hint="eastAsia" w:ascii="宋体" w:hAnsi="宋体" w:eastAsia="宋体" w:cs="宋体"/>
          <w:color w:val="auto"/>
          <w:sz w:val="21"/>
          <w:szCs w:val="21"/>
          <w:highlight w:val="none"/>
        </w:rPr>
      </w:pPr>
      <w:bookmarkStart w:id="1028" w:name="_Toc312678056"/>
      <w:bookmarkStart w:id="1029" w:name="_Toc300935016"/>
      <w:bookmarkStart w:id="1030" w:name="_Toc296503223"/>
      <w:bookmarkStart w:id="1031" w:name="_Toc292559933"/>
      <w:bookmarkStart w:id="1032" w:name="_Toc296346724"/>
      <w:bookmarkStart w:id="1033" w:name="_Toc297048409"/>
      <w:bookmarkStart w:id="1034" w:name="_Toc296347222"/>
      <w:bookmarkStart w:id="1035" w:name="_Toc296891263"/>
      <w:bookmarkStart w:id="1036" w:name="_Toc303539173"/>
      <w:bookmarkStart w:id="1037" w:name="_Toc297120523"/>
      <w:bookmarkStart w:id="1038" w:name="_Toc304295596"/>
      <w:bookmarkStart w:id="1039" w:name="_Toc297216224"/>
      <w:bookmarkStart w:id="1040" w:name="_Toc296944562"/>
      <w:bookmarkStart w:id="1041" w:name="_Toc292559428"/>
      <w:bookmarkStart w:id="1042" w:name="_Toc296891051"/>
      <w:bookmarkStart w:id="1043" w:name="_Toc297123565"/>
      <w:bookmarkStart w:id="1044" w:name="_Toc267251475"/>
      <w:bookmarkStart w:id="1045" w:name="_Toc267251473"/>
      <w:bookmarkStart w:id="1046" w:name="_Toc267251476"/>
      <w:bookmarkStart w:id="1047" w:name="_Toc267251470"/>
      <w:bookmarkStart w:id="1048" w:name="_Toc267251471"/>
      <w:bookmarkStart w:id="1049" w:name="_Toc267251474"/>
      <w:bookmarkStart w:id="1050" w:name="_Toc267251472"/>
      <w:r>
        <w:rPr>
          <w:rFonts w:hint="eastAsia" w:ascii="宋体" w:hAnsi="宋体" w:eastAsia="宋体" w:cs="宋体"/>
          <w:color w:val="auto"/>
          <w:sz w:val="21"/>
          <w:szCs w:val="21"/>
          <w:highlight w:val="none"/>
        </w:rPr>
        <w:t>13.2 竣工验收</w:t>
      </w:r>
    </w:p>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p w14:paraId="46B0DE8F">
      <w:pPr>
        <w:spacing w:line="400" w:lineRule="exact"/>
        <w:ind w:firstLine="420" w:firstLineChars="200"/>
        <w:rPr>
          <w:rFonts w:hint="eastAsia" w:ascii="宋体" w:hAnsi="宋体" w:eastAsia="宋体" w:cs="宋体"/>
          <w:color w:val="auto"/>
          <w:sz w:val="21"/>
          <w:szCs w:val="21"/>
          <w:highlight w:val="none"/>
        </w:rPr>
      </w:pPr>
      <w:bookmarkStart w:id="1051" w:name="_Toc280868704"/>
      <w:bookmarkStart w:id="1052" w:name="_Toc280868705"/>
      <w:bookmarkStart w:id="1053" w:name="_Toc280868706"/>
      <w:bookmarkStart w:id="1054" w:name="_Toc280868707"/>
      <w:bookmarkStart w:id="1055" w:name="_Toc280868708"/>
      <w:bookmarkStart w:id="1056" w:name="_Toc280868709"/>
      <w:r>
        <w:rPr>
          <w:rFonts w:hint="eastAsia" w:ascii="宋体" w:hAnsi="宋体" w:eastAsia="宋体" w:cs="宋体"/>
          <w:color w:val="auto"/>
          <w:sz w:val="21"/>
          <w:szCs w:val="21"/>
          <w:highlight w:val="none"/>
        </w:rPr>
        <w:t>13.2.2竣工验收程序</w:t>
      </w:r>
    </w:p>
    <w:bookmarkEnd w:id="1051"/>
    <w:p w14:paraId="596C2C3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关于竣工验收程序的约定：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3C54A1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发包人不按照本项约定组织竣工验收、颁发工程接收证书的违约金的计算方法：</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1052"/>
    <w:p w14:paraId="4075A23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13.2.5移交、接收全部与部分工程</w:t>
      </w:r>
    </w:p>
    <w:bookmarkEnd w:id="1053"/>
    <w:p w14:paraId="57E0B72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承包人向发包人移交工程的期限：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2484A1E">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发包人未按本合同约定接收全部或部分工程的，违约金的计算方法为：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1054"/>
    <w:p w14:paraId="682DF6F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承包人未按时移交工程的，违约金的计算方法为：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840408B">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 工程试车</w:t>
      </w:r>
    </w:p>
    <w:bookmarkEnd w:id="1055"/>
    <w:p w14:paraId="73EDC20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13.3.1 试车程序</w:t>
      </w:r>
    </w:p>
    <w:p w14:paraId="570D90C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工程试车内容：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5B04E3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（1）单机无负荷试车费用由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承担；</w:t>
      </w:r>
    </w:p>
    <w:p w14:paraId="67289E9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（2）无负荷联动试车费用由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承担。</w:t>
      </w:r>
    </w:p>
    <w:p w14:paraId="53BD902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13.3.3 投料试车</w:t>
      </w:r>
    </w:p>
    <w:p w14:paraId="01C54E6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关于投料试车相关事项的约定：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609B947">
      <w:pPr>
        <w:spacing w:after="120" w:line="400" w:lineRule="exact"/>
        <w:ind w:firstLine="420" w:firstLineChars="200"/>
        <w:outlineLvl w:val="0"/>
        <w:rPr>
          <w:rFonts w:hint="eastAsia" w:ascii="宋体" w:hAnsi="宋体" w:eastAsia="宋体" w:cs="宋体"/>
          <w:color w:val="auto"/>
          <w:sz w:val="21"/>
          <w:szCs w:val="21"/>
          <w:highlight w:val="none"/>
        </w:rPr>
      </w:pPr>
      <w:bookmarkStart w:id="1057" w:name="_Toc32108"/>
      <w:bookmarkStart w:id="1058" w:name="_Toc29592"/>
      <w:bookmarkStart w:id="1059" w:name="_Toc22715"/>
      <w:bookmarkStart w:id="1060" w:name="_Toc31734"/>
      <w:r>
        <w:rPr>
          <w:rFonts w:hint="eastAsia" w:ascii="宋体" w:hAnsi="宋体" w:eastAsia="宋体" w:cs="宋体"/>
          <w:color w:val="auto"/>
          <w:sz w:val="21"/>
          <w:szCs w:val="21"/>
          <w:highlight w:val="none"/>
        </w:rPr>
        <w:t>13.6 竣工退场</w:t>
      </w:r>
      <w:bookmarkEnd w:id="1057"/>
      <w:bookmarkEnd w:id="1058"/>
      <w:bookmarkEnd w:id="1059"/>
      <w:bookmarkEnd w:id="1060"/>
    </w:p>
    <w:p w14:paraId="5449F1A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13.6.1 竣工退场</w:t>
      </w:r>
    </w:p>
    <w:p w14:paraId="5E209DD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承包人完成竣工退场的期限：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BDF6B4C">
      <w:pPr>
        <w:pStyle w:val="7"/>
        <w:spacing w:before="120" w:after="120" w:line="400" w:lineRule="exact"/>
        <w:rPr>
          <w:rFonts w:hint="eastAsia" w:ascii="宋体" w:hAnsi="宋体" w:eastAsia="宋体" w:cs="宋体"/>
          <w:b w:val="0"/>
          <w:color w:val="auto"/>
          <w:sz w:val="21"/>
          <w:szCs w:val="21"/>
          <w:highlight w:val="none"/>
        </w:rPr>
      </w:pPr>
      <w:bookmarkStart w:id="1061" w:name="_Toc351203646"/>
      <w:r>
        <w:rPr>
          <w:rFonts w:hint="eastAsia" w:ascii="宋体" w:hAnsi="宋体" w:eastAsia="宋体" w:cs="宋体"/>
          <w:b w:val="0"/>
          <w:color w:val="auto"/>
          <w:sz w:val="21"/>
          <w:szCs w:val="21"/>
          <w:highlight w:val="none"/>
        </w:rPr>
        <w:t>14. 竣工结算</w:t>
      </w:r>
      <w:bookmarkEnd w:id="1061"/>
    </w:p>
    <w:p w14:paraId="2BB613D5">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 竣工结算申请</w:t>
      </w:r>
    </w:p>
    <w:p w14:paraId="7BCF53B1">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承包人提交竣工结算申请单的期限：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EFF0B9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竣工结算申请单应包括的内容：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8CE1CC9">
      <w:pPr>
        <w:spacing w:after="120" w:line="400" w:lineRule="exact"/>
        <w:ind w:firstLine="420" w:firstLineChars="200"/>
        <w:outlineLvl w:val="0"/>
        <w:rPr>
          <w:rFonts w:hint="eastAsia" w:ascii="宋体" w:hAnsi="宋体" w:eastAsia="宋体" w:cs="宋体"/>
          <w:color w:val="auto"/>
          <w:sz w:val="21"/>
          <w:szCs w:val="21"/>
          <w:highlight w:val="none"/>
        </w:rPr>
      </w:pPr>
      <w:bookmarkStart w:id="1062" w:name="_Toc14928"/>
      <w:bookmarkStart w:id="1063" w:name="_Toc2732"/>
      <w:bookmarkStart w:id="1064" w:name="_Toc11754"/>
      <w:bookmarkStart w:id="1065" w:name="_Toc20317"/>
      <w:r>
        <w:rPr>
          <w:rFonts w:hint="eastAsia" w:ascii="宋体" w:hAnsi="宋体" w:eastAsia="宋体" w:cs="宋体"/>
          <w:color w:val="auto"/>
          <w:sz w:val="21"/>
          <w:szCs w:val="21"/>
          <w:highlight w:val="none"/>
        </w:rPr>
        <w:t>14.2 竣工结算审核</w:t>
      </w:r>
      <w:bookmarkEnd w:id="1062"/>
      <w:bookmarkEnd w:id="1063"/>
      <w:bookmarkEnd w:id="1064"/>
      <w:bookmarkEnd w:id="1065"/>
    </w:p>
    <w:p w14:paraId="4FB4625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发包人审批竣工付款申请单的期限：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6972FE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发包人完成竣工付款的期限：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E856FEC">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关于竣工付款证书异议部分复核的方式和程序：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C8A0E5E">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14.4 最终结清</w:t>
      </w:r>
    </w:p>
    <w:p w14:paraId="62D28EA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14.4.1 最终结清申请单</w:t>
      </w:r>
    </w:p>
    <w:p w14:paraId="0EB1E5A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承包人提交最终结清申请单的份数：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05FDA4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承包人提交最终结算申请单的期限：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3512D9A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14.4.2 最终结清证书和支付</w:t>
      </w:r>
    </w:p>
    <w:p w14:paraId="78F0E93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（1）发包人完成最终结清申请单的审批并颁发最终结清证书的期限：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2A7B43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（2）发包人完成支付的期限：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1044"/>
    <w:bookmarkEnd w:id="1045"/>
    <w:bookmarkEnd w:id="1046"/>
    <w:bookmarkEnd w:id="1047"/>
    <w:bookmarkEnd w:id="1048"/>
    <w:bookmarkEnd w:id="1049"/>
    <w:bookmarkEnd w:id="1050"/>
    <w:bookmarkEnd w:id="1056"/>
    <w:p w14:paraId="6F9623E6">
      <w:pPr>
        <w:pStyle w:val="7"/>
        <w:spacing w:before="120" w:after="120" w:line="400" w:lineRule="exact"/>
        <w:rPr>
          <w:rFonts w:hint="eastAsia" w:ascii="宋体" w:hAnsi="宋体" w:eastAsia="宋体" w:cs="宋体"/>
          <w:b w:val="0"/>
          <w:color w:val="auto"/>
          <w:sz w:val="21"/>
          <w:szCs w:val="21"/>
          <w:highlight w:val="none"/>
        </w:rPr>
      </w:pPr>
      <w:bookmarkStart w:id="1066" w:name="_Toc351203647"/>
      <w:bookmarkStart w:id="1067" w:name="_Toc267251483"/>
      <w:bookmarkStart w:id="1068" w:name="_Toc267251484"/>
      <w:bookmarkStart w:id="1069" w:name="_Toc267251482"/>
      <w:bookmarkStart w:id="1070" w:name="_Toc267251485"/>
      <w:bookmarkStart w:id="1071" w:name="_Toc267251489"/>
      <w:bookmarkStart w:id="1072" w:name="_Toc267251490"/>
      <w:bookmarkStart w:id="1073" w:name="_Toc267251488"/>
      <w:bookmarkStart w:id="1074" w:name="_Toc267251486"/>
      <w:bookmarkStart w:id="1075" w:name="_Toc267251501"/>
      <w:bookmarkStart w:id="1076" w:name="_Toc267251493"/>
      <w:bookmarkStart w:id="1077" w:name="_Toc267251491"/>
      <w:bookmarkStart w:id="1078" w:name="_Toc267251494"/>
      <w:bookmarkStart w:id="1079" w:name="_Toc267251492"/>
      <w:bookmarkStart w:id="1080" w:name="_Toc267251503"/>
      <w:bookmarkStart w:id="1081" w:name="_Toc267251495"/>
      <w:bookmarkStart w:id="1082" w:name="_Toc267251496"/>
      <w:bookmarkStart w:id="1083" w:name="_Toc267251499"/>
      <w:bookmarkStart w:id="1084" w:name="_Toc267251497"/>
      <w:bookmarkStart w:id="1085" w:name="_Toc267251498"/>
      <w:bookmarkStart w:id="1086" w:name="_Toc267251502"/>
      <w:bookmarkStart w:id="1087" w:name="_Toc267251504"/>
      <w:bookmarkStart w:id="1088" w:name="_Toc267251506"/>
      <w:bookmarkStart w:id="1089" w:name="_Toc267251507"/>
      <w:bookmarkStart w:id="1090" w:name="_Toc267251508"/>
      <w:bookmarkStart w:id="1091" w:name="_Toc267251513"/>
      <w:bookmarkStart w:id="1092" w:name="_Toc267251514"/>
      <w:bookmarkStart w:id="1093" w:name="_Toc267251510"/>
      <w:bookmarkStart w:id="1094" w:name="_Toc267251511"/>
      <w:bookmarkStart w:id="1095" w:name="_Toc267251509"/>
      <w:bookmarkStart w:id="1096" w:name="_Toc267251515"/>
      <w:r>
        <w:rPr>
          <w:rFonts w:hint="eastAsia" w:ascii="宋体" w:hAnsi="宋体" w:eastAsia="宋体" w:cs="宋体"/>
          <w:b w:val="0"/>
          <w:color w:val="auto"/>
          <w:sz w:val="21"/>
          <w:szCs w:val="21"/>
          <w:highlight w:val="none"/>
        </w:rPr>
        <w:t>15. 缺陷责任期与保修</w:t>
      </w:r>
      <w:bookmarkEnd w:id="1066"/>
    </w:p>
    <w:p w14:paraId="5750B306">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15.2缺陷责任期</w:t>
      </w:r>
      <w:bookmarkEnd w:id="1067"/>
    </w:p>
    <w:p w14:paraId="7818BD4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缺陷责任期的具体期限：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3451F2F">
      <w:pPr>
        <w:spacing w:after="120" w:line="400" w:lineRule="exact"/>
        <w:ind w:firstLine="420" w:firstLineChars="200"/>
        <w:outlineLvl w:val="0"/>
        <w:rPr>
          <w:rFonts w:hint="eastAsia" w:ascii="宋体" w:hAnsi="宋体" w:eastAsia="宋体" w:cs="宋体"/>
          <w:color w:val="auto"/>
          <w:sz w:val="21"/>
          <w:szCs w:val="21"/>
          <w:highlight w:val="none"/>
        </w:rPr>
      </w:pPr>
      <w:bookmarkStart w:id="1097" w:name="_Toc205"/>
      <w:bookmarkStart w:id="1098" w:name="_Toc2942"/>
      <w:bookmarkStart w:id="1099" w:name="_Toc7598"/>
      <w:bookmarkStart w:id="1100" w:name="_Toc3045"/>
      <w:r>
        <w:rPr>
          <w:rFonts w:hint="eastAsia" w:ascii="宋体" w:hAnsi="宋体" w:eastAsia="宋体" w:cs="宋体"/>
          <w:color w:val="auto"/>
          <w:sz w:val="21"/>
          <w:szCs w:val="21"/>
          <w:highlight w:val="none"/>
        </w:rPr>
        <w:t>15.3 质量保证金</w:t>
      </w:r>
      <w:bookmarkEnd w:id="1097"/>
      <w:bookmarkEnd w:id="1098"/>
      <w:bookmarkEnd w:id="1099"/>
      <w:bookmarkEnd w:id="1100"/>
    </w:p>
    <w:p w14:paraId="278C91E4">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关于是否扣留质量保证金的约定：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。在工程项目竣工前，承包人按专用合同条款第3.7条提供履约担保的，发包人不得同时预留工程质量保证金。</w:t>
      </w:r>
    </w:p>
    <w:p w14:paraId="3FF15D2C">
      <w:pPr>
        <w:spacing w:line="400" w:lineRule="exact"/>
        <w:ind w:firstLine="420" w:firstLineChars="200"/>
        <w:rPr>
          <w:rFonts w:hint="eastAsia" w:ascii="宋体" w:hAnsi="宋体" w:eastAsia="宋体" w:cs="宋体"/>
          <w:color w:val="auto"/>
          <w:sz w:val="21"/>
          <w:szCs w:val="21"/>
          <w:highlight w:val="none"/>
        </w:rPr>
      </w:pPr>
    </w:p>
    <w:p w14:paraId="389302D9">
      <w:pPr>
        <w:spacing w:line="400" w:lineRule="exact"/>
        <w:ind w:firstLine="420" w:firstLineChars="200"/>
        <w:outlineLvl w:val="0"/>
        <w:rPr>
          <w:rFonts w:hint="eastAsia" w:ascii="宋体" w:hAnsi="宋体" w:eastAsia="宋体" w:cs="宋体"/>
          <w:color w:val="auto"/>
          <w:sz w:val="21"/>
          <w:szCs w:val="21"/>
          <w:highlight w:val="none"/>
        </w:rPr>
      </w:pPr>
      <w:bookmarkStart w:id="1101" w:name="_Toc16896"/>
      <w:bookmarkStart w:id="1102" w:name="_Toc17156"/>
      <w:bookmarkStart w:id="1103" w:name="_Toc1944"/>
      <w:bookmarkStart w:id="1104" w:name="_Toc4250"/>
      <w:r>
        <w:rPr>
          <w:rFonts w:hint="eastAsia" w:ascii="宋体" w:hAnsi="宋体" w:eastAsia="宋体" w:cs="宋体"/>
          <w:color w:val="auto"/>
          <w:sz w:val="21"/>
          <w:szCs w:val="21"/>
          <w:highlight w:val="none"/>
        </w:rPr>
        <w:t>15.3.1 承包人提供质量保证金的方式</w:t>
      </w:r>
      <w:bookmarkEnd w:id="1101"/>
      <w:bookmarkEnd w:id="1102"/>
      <w:bookmarkEnd w:id="1103"/>
      <w:bookmarkEnd w:id="1104"/>
    </w:p>
    <w:p w14:paraId="7E29441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质量保证金采用以下第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w:t>
      </w:r>
    </w:p>
    <w:p w14:paraId="1B9F903A">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（1）质量保证金保函，保证金额为：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55A7F371">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%的工程款；</w:t>
      </w:r>
    </w:p>
    <w:p w14:paraId="7AFCF1E8">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C338E2E">
      <w:pPr>
        <w:spacing w:line="400" w:lineRule="exact"/>
        <w:ind w:firstLine="420" w:firstLineChars="200"/>
        <w:outlineLvl w:val="0"/>
        <w:rPr>
          <w:rFonts w:hint="eastAsia" w:ascii="宋体" w:hAnsi="宋体" w:eastAsia="宋体" w:cs="宋体"/>
          <w:color w:val="auto"/>
          <w:sz w:val="21"/>
          <w:szCs w:val="21"/>
          <w:highlight w:val="none"/>
        </w:rPr>
      </w:pPr>
      <w:bookmarkStart w:id="1105" w:name="_Toc9699"/>
      <w:bookmarkStart w:id="1106" w:name="_Toc13486"/>
      <w:bookmarkStart w:id="1107" w:name="_Toc21545"/>
      <w:bookmarkStart w:id="1108" w:name="_Toc30714"/>
      <w:r>
        <w:rPr>
          <w:rFonts w:hint="eastAsia" w:ascii="宋体" w:hAnsi="宋体" w:eastAsia="宋体" w:cs="宋体"/>
          <w:color w:val="auto"/>
          <w:sz w:val="21"/>
          <w:szCs w:val="21"/>
          <w:highlight w:val="none"/>
        </w:rPr>
        <w:t>15.3.2 质量保证金的扣留</w:t>
      </w:r>
      <w:bookmarkEnd w:id="1105"/>
      <w:bookmarkEnd w:id="1106"/>
      <w:bookmarkEnd w:id="1107"/>
      <w:bookmarkEnd w:id="1108"/>
      <w:r>
        <w:rPr>
          <w:rFonts w:hint="eastAsia" w:ascii="宋体" w:hAnsi="宋体" w:eastAsia="宋体" w:cs="宋体"/>
          <w:color w:val="auto"/>
          <w:sz w:val="21"/>
          <w:szCs w:val="21"/>
          <w:highlight w:val="none"/>
        </w:rPr>
        <w:t xml:space="preserve"> </w:t>
      </w:r>
    </w:p>
    <w:p w14:paraId="5819CF1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质量保证金的扣留采取以下第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w:t>
      </w:r>
    </w:p>
    <w:p w14:paraId="25D7D654">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（1）在支付工程进度款时逐次扣留，在此情形下，质量保证金的计算基数不包括预付款的支付、扣回以及价格调整的金额；</w:t>
      </w:r>
    </w:p>
    <w:p w14:paraId="5B48D914">
      <w:pPr>
        <w:autoSpaceDE w:val="0"/>
        <w:autoSpaceDN w:val="0"/>
        <w:adjustRightInd w:val="0"/>
        <w:spacing w:line="400" w:lineRule="exact"/>
        <w:ind w:firstLine="420" w:firstLineChars="200"/>
        <w:outlineLvl w:val="0"/>
        <w:rPr>
          <w:rFonts w:hint="eastAsia" w:ascii="宋体" w:hAnsi="宋体" w:eastAsia="宋体" w:cs="宋体"/>
          <w:color w:val="auto"/>
          <w:sz w:val="21"/>
          <w:szCs w:val="21"/>
          <w:highlight w:val="none"/>
        </w:rPr>
      </w:pPr>
      <w:bookmarkStart w:id="1109" w:name="_Toc22920"/>
      <w:bookmarkStart w:id="1110" w:name="_Toc1131"/>
      <w:bookmarkStart w:id="1111" w:name="_Toc11951"/>
      <w:bookmarkStart w:id="1112" w:name="_Toc11533"/>
      <w:r>
        <w:rPr>
          <w:rFonts w:hint="eastAsia" w:ascii="宋体" w:hAnsi="宋体" w:eastAsia="宋体" w:cs="宋体"/>
          <w:color w:val="auto"/>
          <w:sz w:val="21"/>
          <w:szCs w:val="21"/>
          <w:highlight w:val="none"/>
        </w:rPr>
        <w:t>（2）工程竣工结算时一次性扣留质量保证金；</w:t>
      </w:r>
      <w:bookmarkEnd w:id="1109"/>
      <w:bookmarkEnd w:id="1110"/>
      <w:bookmarkEnd w:id="1111"/>
      <w:bookmarkEnd w:id="1112"/>
    </w:p>
    <w:p w14:paraId="5E1A3E74">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（3）其他扣留方式: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1EA2BF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关于质量保证金的补充约定：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1068"/>
    <w:bookmarkEnd w:id="1069"/>
    <w:p w14:paraId="31B8B73C">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15.4保修</w:t>
      </w:r>
    </w:p>
    <w:bookmarkEnd w:id="1070"/>
    <w:p w14:paraId="0977CB0C">
      <w:pPr>
        <w:spacing w:line="400" w:lineRule="exact"/>
        <w:ind w:firstLine="409" w:firstLineChars="19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15.4.1 保修责任</w:t>
      </w:r>
    </w:p>
    <w:p w14:paraId="72FBF62B">
      <w:pPr>
        <w:spacing w:line="400" w:lineRule="exact"/>
        <w:ind w:firstLine="409" w:firstLineChars="19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工程保修期为：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C5A2496">
      <w:pPr>
        <w:spacing w:line="400" w:lineRule="exact"/>
        <w:ind w:firstLine="409" w:firstLineChars="19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15.4.3 修复通知</w:t>
      </w:r>
    </w:p>
    <w:p w14:paraId="7C806372">
      <w:pPr>
        <w:spacing w:line="400" w:lineRule="exact"/>
        <w:ind w:firstLine="409" w:firstLineChars="19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承包人收到保修通知并到达工程现场的合理时间：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1071"/>
    <w:bookmarkEnd w:id="1072"/>
    <w:bookmarkEnd w:id="1073"/>
    <w:bookmarkEnd w:id="1074"/>
    <w:p w14:paraId="2251B608">
      <w:pPr>
        <w:pStyle w:val="7"/>
        <w:spacing w:before="120" w:after="120" w:line="400" w:lineRule="exact"/>
        <w:rPr>
          <w:rFonts w:hint="eastAsia" w:ascii="宋体" w:hAnsi="宋体" w:eastAsia="宋体" w:cs="宋体"/>
          <w:b w:val="0"/>
          <w:color w:val="auto"/>
          <w:sz w:val="21"/>
          <w:szCs w:val="21"/>
          <w:highlight w:val="none"/>
        </w:rPr>
      </w:pPr>
      <w:bookmarkStart w:id="1113" w:name="_Toc351203648"/>
      <w:bookmarkStart w:id="1114" w:name="_Toc280868717"/>
      <w:bookmarkStart w:id="1115" w:name="_Toc280868718"/>
      <w:r>
        <w:rPr>
          <w:rFonts w:hint="eastAsia" w:ascii="宋体" w:hAnsi="宋体" w:eastAsia="宋体" w:cs="宋体"/>
          <w:b w:val="0"/>
          <w:color w:val="auto"/>
          <w:sz w:val="21"/>
          <w:szCs w:val="21"/>
          <w:highlight w:val="none"/>
        </w:rPr>
        <w:t>16. 违约</w:t>
      </w:r>
      <w:bookmarkEnd w:id="1113"/>
    </w:p>
    <w:p w14:paraId="69C3D0A4">
      <w:pPr>
        <w:spacing w:after="120" w:line="400" w:lineRule="exact"/>
        <w:ind w:firstLine="420" w:firstLineChars="200"/>
        <w:outlineLvl w:val="0"/>
        <w:rPr>
          <w:rFonts w:hint="eastAsia" w:ascii="宋体" w:hAnsi="宋体" w:eastAsia="宋体" w:cs="宋体"/>
          <w:color w:val="auto"/>
          <w:sz w:val="21"/>
          <w:szCs w:val="21"/>
          <w:highlight w:val="none"/>
        </w:rPr>
      </w:pPr>
      <w:bookmarkStart w:id="1116" w:name="_Toc13873"/>
      <w:bookmarkStart w:id="1117" w:name="_Toc7861"/>
      <w:bookmarkStart w:id="1118" w:name="_Toc10827"/>
      <w:bookmarkStart w:id="1119" w:name="_Toc10541"/>
      <w:r>
        <w:rPr>
          <w:rFonts w:hint="eastAsia" w:ascii="宋体" w:hAnsi="宋体" w:eastAsia="宋体" w:cs="宋体"/>
          <w:color w:val="auto"/>
          <w:sz w:val="21"/>
          <w:szCs w:val="21"/>
          <w:highlight w:val="none"/>
        </w:rPr>
        <w:t>16.1 发包人违约</w:t>
      </w:r>
      <w:bookmarkEnd w:id="1116"/>
      <w:bookmarkEnd w:id="1117"/>
      <w:bookmarkEnd w:id="1118"/>
      <w:bookmarkEnd w:id="1119"/>
    </w:p>
    <w:p w14:paraId="1EB1857E">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16.1.1发包人违约的情形</w:t>
      </w:r>
    </w:p>
    <w:p w14:paraId="42387D8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发包人违约的其他情形：</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E34338E">
      <w:pPr>
        <w:spacing w:line="400" w:lineRule="exact"/>
        <w:ind w:left="1050" w:hanging="1050" w:hangingChars="5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16.1.2 发包人违约的责任</w:t>
      </w:r>
    </w:p>
    <w:p w14:paraId="2AD0497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发包人违约责任的承担方式和计算方法：</w:t>
      </w:r>
    </w:p>
    <w:p w14:paraId="273E8A96">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（1）因发包人原因未能在计划开工日期前7天内下达开工通知的违约责任：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C9D2C6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（2）因发包人原因未能按合同约定支付合同价款的违约责任：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E4868C7">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（3）发包人违反第10.1款〔变更的范围〕第（2）项约定，自行实施被取消的工作或转由他人实施的违约责任：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ADCDFD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624D15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（5）因发包人违反合同约定造成暂停施工的违约责任：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00D4CB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（6）发包人无正当理由没有在约定期限内发出复工指示，导致承包人无法复工的违约责任：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018832B">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（7）其他：</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72BBC2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16.1.3 因发包人违约解除合同</w:t>
      </w:r>
    </w:p>
    <w:p w14:paraId="2EF29B41">
      <w:pPr>
        <w:autoSpaceDE w:val="0"/>
        <w:autoSpaceDN w:val="0"/>
        <w:adjustRightInd w:val="0"/>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承包人按16.1.1项〔发包人违约的情形〕约定暂停施工满</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天后发包人仍不纠正其违约行为并致使合同目的不能实现的，承包人有权解除合同。</w:t>
      </w:r>
    </w:p>
    <w:p w14:paraId="02619ABA">
      <w:pPr>
        <w:spacing w:after="120" w:line="400" w:lineRule="exact"/>
        <w:ind w:firstLine="420" w:firstLineChars="200"/>
        <w:outlineLvl w:val="0"/>
        <w:rPr>
          <w:rFonts w:hint="eastAsia" w:ascii="宋体" w:hAnsi="宋体" w:eastAsia="宋体" w:cs="宋体"/>
          <w:color w:val="auto"/>
          <w:sz w:val="21"/>
          <w:szCs w:val="21"/>
          <w:highlight w:val="none"/>
        </w:rPr>
      </w:pPr>
      <w:bookmarkStart w:id="1120" w:name="_Toc4907"/>
      <w:bookmarkStart w:id="1121" w:name="_Toc6157"/>
      <w:bookmarkStart w:id="1122" w:name="_Toc3138"/>
      <w:bookmarkStart w:id="1123" w:name="_Toc3061"/>
      <w:r>
        <w:rPr>
          <w:rFonts w:hint="eastAsia" w:ascii="宋体" w:hAnsi="宋体" w:eastAsia="宋体" w:cs="宋体"/>
          <w:color w:val="auto"/>
          <w:sz w:val="21"/>
          <w:szCs w:val="21"/>
          <w:highlight w:val="none"/>
        </w:rPr>
        <w:t>16.2 承包人违约</w:t>
      </w:r>
      <w:bookmarkEnd w:id="1120"/>
      <w:bookmarkEnd w:id="1121"/>
      <w:bookmarkEnd w:id="1122"/>
      <w:bookmarkEnd w:id="1123"/>
    </w:p>
    <w:p w14:paraId="78FCEE8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16.2.1 承包人违约的情形</w:t>
      </w:r>
    </w:p>
    <w:p w14:paraId="0A28D263">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承包人违约的其他情形：</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A4D635C">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16.2.2承包人违约的责任</w:t>
      </w:r>
    </w:p>
    <w:p w14:paraId="26288F70">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承包人违约责任的承担方式和计算方法：</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2DE41086">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16.2.3 因承包人违约解除合同</w:t>
      </w:r>
    </w:p>
    <w:p w14:paraId="0AFFC0CB">
      <w:pPr>
        <w:spacing w:before="120"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关于承包人违约解除合同的特别约定：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E3217B9">
      <w:pPr>
        <w:spacing w:before="120"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D5E312F">
      <w:pPr>
        <w:pStyle w:val="7"/>
        <w:spacing w:before="120" w:after="120" w:line="400" w:lineRule="exact"/>
        <w:rPr>
          <w:rFonts w:hint="eastAsia" w:ascii="宋体" w:hAnsi="宋体" w:eastAsia="宋体" w:cs="宋体"/>
          <w:b w:val="0"/>
          <w:color w:val="auto"/>
          <w:sz w:val="21"/>
          <w:szCs w:val="21"/>
          <w:highlight w:val="none"/>
        </w:rPr>
      </w:pPr>
      <w:bookmarkStart w:id="1124" w:name="_Toc351203649"/>
      <w:r>
        <w:rPr>
          <w:rFonts w:hint="eastAsia" w:ascii="宋体" w:hAnsi="宋体" w:eastAsia="宋体" w:cs="宋体"/>
          <w:b w:val="0"/>
          <w:color w:val="auto"/>
          <w:sz w:val="21"/>
          <w:szCs w:val="21"/>
          <w:highlight w:val="none"/>
        </w:rPr>
        <w:t>17. 不可抗力</w:t>
      </w:r>
      <w:bookmarkEnd w:id="1124"/>
      <w:r>
        <w:rPr>
          <w:rFonts w:hint="eastAsia" w:ascii="宋体" w:hAnsi="宋体" w:eastAsia="宋体" w:cs="宋体"/>
          <w:b w:val="0"/>
          <w:color w:val="auto"/>
          <w:sz w:val="21"/>
          <w:szCs w:val="21"/>
          <w:highlight w:val="none"/>
        </w:rPr>
        <w:t xml:space="preserve"> </w:t>
      </w:r>
      <w:bookmarkEnd w:id="1114"/>
    </w:p>
    <w:p w14:paraId="424FC5F3">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 不可抗力的确认</w:t>
      </w:r>
    </w:p>
    <w:p w14:paraId="750C38FE">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除通用合同条款约定的不可抗力事件之外，视为不可抗力的其他情形：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046C4ED">
      <w:pPr>
        <w:spacing w:after="120" w:line="400" w:lineRule="exact"/>
        <w:ind w:firstLine="420" w:firstLineChars="200"/>
        <w:outlineLvl w:val="0"/>
        <w:rPr>
          <w:rFonts w:hint="eastAsia" w:ascii="宋体" w:hAnsi="宋体" w:eastAsia="宋体" w:cs="宋体"/>
          <w:color w:val="auto"/>
          <w:sz w:val="21"/>
          <w:szCs w:val="21"/>
          <w:highlight w:val="none"/>
        </w:rPr>
      </w:pPr>
      <w:bookmarkStart w:id="1125" w:name="_Toc22055"/>
      <w:bookmarkStart w:id="1126" w:name="_Toc8858"/>
      <w:bookmarkStart w:id="1127" w:name="_Toc17289"/>
      <w:bookmarkStart w:id="1128" w:name="_Toc26256"/>
      <w:r>
        <w:rPr>
          <w:rFonts w:hint="eastAsia" w:ascii="宋体" w:hAnsi="宋体" w:eastAsia="宋体" w:cs="宋体"/>
          <w:color w:val="auto"/>
          <w:sz w:val="21"/>
          <w:szCs w:val="21"/>
          <w:highlight w:val="none"/>
        </w:rPr>
        <w:t>17.4 因不可抗力解除合同</w:t>
      </w:r>
      <w:bookmarkEnd w:id="1125"/>
      <w:bookmarkEnd w:id="1126"/>
      <w:bookmarkEnd w:id="1127"/>
      <w:bookmarkEnd w:id="1128"/>
    </w:p>
    <w:p w14:paraId="61A444DD">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合同解除后，发包人应在商定或确定发包人应支付款项后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天内完成款项的支付。</w:t>
      </w:r>
    </w:p>
    <w:p w14:paraId="4B29F1D7">
      <w:pPr>
        <w:pStyle w:val="7"/>
        <w:spacing w:before="120" w:after="120" w:line="400" w:lineRule="exact"/>
        <w:rPr>
          <w:rFonts w:hint="eastAsia" w:ascii="宋体" w:hAnsi="宋体" w:eastAsia="宋体" w:cs="宋体"/>
          <w:b w:val="0"/>
          <w:color w:val="auto"/>
          <w:sz w:val="21"/>
          <w:szCs w:val="21"/>
          <w:highlight w:val="none"/>
        </w:rPr>
      </w:pPr>
      <w:bookmarkStart w:id="1129" w:name="_Toc351203650"/>
      <w:r>
        <w:rPr>
          <w:rFonts w:hint="eastAsia" w:ascii="宋体" w:hAnsi="宋体" w:eastAsia="宋体" w:cs="宋体"/>
          <w:b w:val="0"/>
          <w:color w:val="auto"/>
          <w:sz w:val="21"/>
          <w:szCs w:val="21"/>
          <w:highlight w:val="none"/>
        </w:rPr>
        <w:t>18. 保险</w:t>
      </w:r>
      <w:bookmarkEnd w:id="1129"/>
    </w:p>
    <w:bookmarkEnd w:id="1115"/>
    <w:p w14:paraId="7BD449F7">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18.1 工程保险</w:t>
      </w:r>
    </w:p>
    <w:p w14:paraId="30FA058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关于工程保险的特别约定：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6E150385">
      <w:pPr>
        <w:spacing w:after="120" w:line="400" w:lineRule="exact"/>
        <w:ind w:firstLine="420" w:firstLineChars="200"/>
        <w:outlineLvl w:val="0"/>
        <w:rPr>
          <w:rFonts w:hint="eastAsia" w:ascii="宋体" w:hAnsi="宋体" w:eastAsia="宋体" w:cs="宋体"/>
          <w:color w:val="auto"/>
          <w:sz w:val="21"/>
          <w:szCs w:val="21"/>
          <w:highlight w:val="none"/>
        </w:rPr>
      </w:pPr>
      <w:bookmarkStart w:id="1130" w:name="_Toc19423"/>
      <w:bookmarkStart w:id="1131" w:name="_Toc5219"/>
      <w:bookmarkStart w:id="1132" w:name="_Toc15966"/>
      <w:bookmarkStart w:id="1133" w:name="_Toc8745"/>
      <w:r>
        <w:rPr>
          <w:rFonts w:hint="eastAsia" w:ascii="宋体" w:hAnsi="宋体" w:eastAsia="宋体" w:cs="宋体"/>
          <w:color w:val="auto"/>
          <w:sz w:val="21"/>
          <w:szCs w:val="21"/>
          <w:highlight w:val="none"/>
        </w:rPr>
        <w:t>18.3 其他保险</w:t>
      </w:r>
      <w:bookmarkEnd w:id="1130"/>
      <w:bookmarkEnd w:id="1131"/>
      <w:bookmarkEnd w:id="1132"/>
      <w:bookmarkEnd w:id="1133"/>
    </w:p>
    <w:p w14:paraId="5F278609">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关于其他保险的约定：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0943B28">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承包人是否应为其施工设备等办理财产保险：</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CBE1D87">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18.7 通知义务</w:t>
      </w:r>
    </w:p>
    <w:p w14:paraId="47DDD1AF">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关于变更保险合同时的通知义务的约定：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bookmarkEnd w:id="1075"/>
    <w:bookmarkEnd w:id="1076"/>
    <w:bookmarkEnd w:id="1077"/>
    <w:bookmarkEnd w:id="1078"/>
    <w:bookmarkEnd w:id="1079"/>
    <w:bookmarkEnd w:id="1080"/>
    <w:bookmarkEnd w:id="1081"/>
    <w:bookmarkEnd w:id="1082"/>
    <w:bookmarkEnd w:id="1083"/>
    <w:bookmarkEnd w:id="1084"/>
    <w:bookmarkEnd w:id="1085"/>
    <w:bookmarkEnd w:id="1086"/>
    <w:p w14:paraId="02A0D580">
      <w:pPr>
        <w:pStyle w:val="7"/>
        <w:spacing w:before="120" w:after="120" w:line="400" w:lineRule="exact"/>
        <w:rPr>
          <w:rFonts w:hint="eastAsia" w:ascii="宋体" w:hAnsi="宋体" w:eastAsia="宋体" w:cs="宋体"/>
          <w:b w:val="0"/>
          <w:color w:val="auto"/>
          <w:sz w:val="21"/>
          <w:szCs w:val="21"/>
          <w:highlight w:val="none"/>
        </w:rPr>
      </w:pPr>
      <w:bookmarkStart w:id="1134" w:name="_Toc351203651"/>
      <w:r>
        <w:rPr>
          <w:rFonts w:hint="eastAsia" w:ascii="宋体" w:hAnsi="宋体" w:eastAsia="宋体" w:cs="宋体"/>
          <w:b w:val="0"/>
          <w:color w:val="auto"/>
          <w:sz w:val="21"/>
          <w:szCs w:val="21"/>
          <w:highlight w:val="none"/>
        </w:rPr>
        <w:t>20. 争议解决</w:t>
      </w:r>
      <w:bookmarkEnd w:id="1134"/>
    </w:p>
    <w:bookmarkEnd w:id="1087"/>
    <w:bookmarkEnd w:id="1088"/>
    <w:p w14:paraId="56725173">
      <w:pPr>
        <w:spacing w:after="120" w:line="400" w:lineRule="exact"/>
        <w:ind w:firstLine="420" w:firstLineChars="200"/>
        <w:outlineLvl w:val="0"/>
        <w:rPr>
          <w:rFonts w:hint="eastAsia" w:ascii="宋体" w:hAnsi="宋体" w:eastAsia="宋体" w:cs="宋体"/>
          <w:color w:val="auto"/>
          <w:sz w:val="21"/>
          <w:szCs w:val="21"/>
          <w:highlight w:val="none"/>
        </w:rPr>
      </w:pPr>
      <w:bookmarkStart w:id="1135" w:name="_Toc1483"/>
      <w:bookmarkStart w:id="1136" w:name="_Toc8413"/>
      <w:bookmarkStart w:id="1137" w:name="_Toc22324"/>
      <w:bookmarkStart w:id="1138" w:name="_Toc19095"/>
      <w:r>
        <w:rPr>
          <w:rFonts w:hint="eastAsia" w:ascii="宋体" w:hAnsi="宋体" w:eastAsia="宋体" w:cs="宋体"/>
          <w:color w:val="auto"/>
          <w:sz w:val="21"/>
          <w:szCs w:val="21"/>
          <w:highlight w:val="none"/>
        </w:rPr>
        <w:t>20.3 争</w:t>
      </w:r>
      <w:bookmarkEnd w:id="1089"/>
      <w:r>
        <w:rPr>
          <w:rFonts w:hint="eastAsia" w:ascii="宋体" w:hAnsi="宋体" w:eastAsia="宋体" w:cs="宋体"/>
          <w:color w:val="auto"/>
          <w:sz w:val="21"/>
          <w:szCs w:val="21"/>
          <w:highlight w:val="none"/>
        </w:rPr>
        <w:t>议评审</w:t>
      </w:r>
      <w:bookmarkEnd w:id="1135"/>
      <w:bookmarkEnd w:id="1136"/>
      <w:bookmarkEnd w:id="1137"/>
      <w:bookmarkEnd w:id="1138"/>
    </w:p>
    <w:p w14:paraId="242FDA46">
      <w:pPr>
        <w:spacing w:line="400" w:lineRule="exact"/>
        <w:ind w:left="149" w:leftChars="71"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合同当事人是否同意将工程争议提交争议评审小组决定：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279199A5">
      <w:pPr>
        <w:spacing w:line="400" w:lineRule="exact"/>
        <w:ind w:firstLine="420" w:firstLineChars="200"/>
        <w:outlineLvl w:val="0"/>
        <w:rPr>
          <w:rFonts w:hint="eastAsia" w:ascii="宋体" w:hAnsi="宋体" w:eastAsia="宋体" w:cs="宋体"/>
          <w:color w:val="auto"/>
          <w:sz w:val="21"/>
          <w:szCs w:val="21"/>
          <w:highlight w:val="none"/>
        </w:rPr>
      </w:pPr>
      <w:bookmarkStart w:id="1139" w:name="_Toc27860"/>
      <w:bookmarkStart w:id="1140" w:name="_Toc9488"/>
      <w:bookmarkStart w:id="1141" w:name="_Toc25974"/>
      <w:bookmarkStart w:id="1142" w:name="_Toc21426"/>
      <w:r>
        <w:rPr>
          <w:rFonts w:hint="eastAsia" w:ascii="宋体" w:hAnsi="宋体" w:eastAsia="宋体" w:cs="宋体"/>
          <w:color w:val="auto"/>
          <w:sz w:val="21"/>
          <w:szCs w:val="21"/>
          <w:highlight w:val="none"/>
        </w:rPr>
        <w:t>20.3.1 争议评审小组的确定</w:t>
      </w:r>
      <w:bookmarkEnd w:id="1139"/>
      <w:bookmarkEnd w:id="1140"/>
      <w:bookmarkEnd w:id="1141"/>
      <w:bookmarkEnd w:id="1142"/>
    </w:p>
    <w:p w14:paraId="2ACF7D6C">
      <w:pPr>
        <w:spacing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争议评审小组成员的确定：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11FC06BA">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选定争议评审员的期限：</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F3EBA7C">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争议评审小组成员的报酬承担方式：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003976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其他事项的约定：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75089070">
      <w:pPr>
        <w:autoSpaceDE w:val="0"/>
        <w:autoSpaceDN w:val="0"/>
        <w:adjustRightInd w:val="0"/>
        <w:spacing w:line="400" w:lineRule="exact"/>
        <w:ind w:firstLine="420" w:firstLineChars="200"/>
        <w:outlineLvl w:val="0"/>
        <w:rPr>
          <w:rFonts w:hint="eastAsia" w:ascii="宋体" w:hAnsi="宋体" w:eastAsia="宋体" w:cs="宋体"/>
          <w:color w:val="auto"/>
          <w:sz w:val="21"/>
          <w:szCs w:val="21"/>
          <w:highlight w:val="none"/>
        </w:rPr>
      </w:pPr>
      <w:bookmarkStart w:id="1143" w:name="_Toc21052"/>
      <w:bookmarkStart w:id="1144" w:name="_Toc826"/>
      <w:bookmarkStart w:id="1145" w:name="_Toc3054"/>
      <w:bookmarkStart w:id="1146" w:name="_Toc23311"/>
      <w:r>
        <w:rPr>
          <w:rFonts w:hint="eastAsia" w:ascii="宋体" w:hAnsi="宋体" w:eastAsia="宋体" w:cs="宋体"/>
          <w:color w:val="auto"/>
          <w:sz w:val="21"/>
          <w:szCs w:val="21"/>
          <w:highlight w:val="none"/>
        </w:rPr>
        <w:t>20.3.2 争议评审小组的决定</w:t>
      </w:r>
      <w:bookmarkEnd w:id="1143"/>
      <w:bookmarkEnd w:id="1144"/>
      <w:bookmarkEnd w:id="1145"/>
      <w:bookmarkEnd w:id="1146"/>
    </w:p>
    <w:p w14:paraId="3BFD2F95">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合同当事人关于本项的约定：</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41D49462">
      <w:pPr>
        <w:spacing w:after="120" w:line="400" w:lineRule="exact"/>
        <w:ind w:firstLine="420" w:firstLineChars="200"/>
        <w:outlineLvl w:val="0"/>
        <w:rPr>
          <w:rFonts w:hint="eastAsia" w:ascii="宋体" w:hAnsi="宋体" w:eastAsia="宋体" w:cs="宋体"/>
          <w:color w:val="auto"/>
          <w:sz w:val="21"/>
          <w:szCs w:val="21"/>
          <w:highlight w:val="none"/>
        </w:rPr>
      </w:pPr>
      <w:bookmarkStart w:id="1147" w:name="_Toc16686"/>
      <w:bookmarkStart w:id="1148" w:name="_Toc12871"/>
      <w:bookmarkStart w:id="1149" w:name="_Toc24493"/>
      <w:bookmarkStart w:id="1150" w:name="_Toc22404"/>
      <w:r>
        <w:rPr>
          <w:rFonts w:hint="eastAsia" w:ascii="宋体" w:hAnsi="宋体" w:eastAsia="宋体" w:cs="宋体"/>
          <w:color w:val="auto"/>
          <w:sz w:val="21"/>
          <w:szCs w:val="21"/>
          <w:highlight w:val="none"/>
        </w:rPr>
        <w:t>20.4仲裁或诉讼</w:t>
      </w:r>
      <w:bookmarkEnd w:id="1090"/>
      <w:bookmarkEnd w:id="1147"/>
      <w:bookmarkEnd w:id="1148"/>
      <w:bookmarkEnd w:id="1149"/>
      <w:bookmarkEnd w:id="1150"/>
    </w:p>
    <w:p w14:paraId="0C9775A5">
      <w:pPr>
        <w:spacing w:after="12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因合同及合同有关事项发生的争议，按下列第</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种方式解决：</w:t>
      </w:r>
    </w:p>
    <w:p w14:paraId="19465DE2">
      <w:pPr>
        <w:spacing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（1）向</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仲裁委员会申请仲裁；</w:t>
      </w:r>
    </w:p>
    <w:p w14:paraId="0EDF6C93">
      <w:pPr>
        <w:spacing w:line="400" w:lineRule="exact"/>
        <w:ind w:firstLine="42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1"/>
          <w:szCs w:val="21"/>
          <w:highlight w:val="none"/>
        </w:rPr>
        <w:t>（2）向</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人民法院起诉。</w:t>
      </w:r>
      <w:bookmarkEnd w:id="1091"/>
      <w:bookmarkEnd w:id="1092"/>
      <w:bookmarkEnd w:id="1093"/>
      <w:bookmarkEnd w:id="1094"/>
      <w:bookmarkEnd w:id="1095"/>
      <w:bookmarkEnd w:id="1096"/>
      <w:r>
        <w:rPr>
          <w:rFonts w:hint="eastAsia" w:ascii="宋体" w:hAnsi="宋体" w:eastAsia="宋体" w:cs="宋体"/>
          <w:color w:val="auto"/>
          <w:sz w:val="24"/>
          <w:szCs w:val="24"/>
          <w:highlight w:val="none"/>
        </w:rPr>
        <w:br w:type="page"/>
      </w:r>
      <w:bookmarkStart w:id="1151" w:name="_Toc351203652"/>
      <w:r>
        <w:rPr>
          <w:rFonts w:hint="eastAsia" w:ascii="宋体" w:hAnsi="宋体" w:eastAsia="宋体" w:cs="宋体"/>
          <w:b/>
          <w:color w:val="auto"/>
          <w:sz w:val="24"/>
          <w:szCs w:val="24"/>
          <w:highlight w:val="none"/>
        </w:rPr>
        <w:t>附件</w:t>
      </w:r>
      <w:bookmarkEnd w:id="1151"/>
    </w:p>
    <w:p w14:paraId="0B29020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协议书附件：</w:t>
      </w:r>
    </w:p>
    <w:p w14:paraId="413B37F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附件1：承包人承揽工程项目一览表</w:t>
      </w:r>
    </w:p>
    <w:p w14:paraId="6D208A3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专用合同条款附件：</w:t>
      </w:r>
    </w:p>
    <w:p w14:paraId="43C10A0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附件2：发包人供应材料设备一览表</w:t>
      </w:r>
    </w:p>
    <w:p w14:paraId="4DF5C25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附件3：工程质量保修书</w:t>
      </w:r>
    </w:p>
    <w:p w14:paraId="20031387">
      <w:pPr>
        <w:rPr>
          <w:rFonts w:hint="eastAsia" w:ascii="宋体" w:hAnsi="宋体" w:eastAsia="宋体" w:cs="宋体"/>
          <w:color w:val="auto"/>
          <w:sz w:val="24"/>
          <w:szCs w:val="24"/>
          <w:highlight w:val="none"/>
        </w:rPr>
      </w:pPr>
    </w:p>
    <w:p w14:paraId="6016BA22">
      <w:pPr>
        <w:pStyle w:val="4"/>
        <w:outlineLvl w:val="9"/>
        <w:rPr>
          <w:rFonts w:hint="eastAsia" w:ascii="宋体" w:hAnsi="宋体" w:eastAsia="宋体" w:cs="宋体"/>
          <w:color w:val="auto"/>
          <w:sz w:val="24"/>
          <w:szCs w:val="24"/>
          <w:highlight w:val="none"/>
        </w:rPr>
      </w:pPr>
    </w:p>
    <w:p w14:paraId="2F2FA7F0">
      <w:pPr>
        <w:rPr>
          <w:rFonts w:hint="eastAsia" w:ascii="宋体" w:hAnsi="宋体" w:eastAsia="宋体" w:cs="宋体"/>
          <w:color w:val="auto"/>
          <w:sz w:val="24"/>
          <w:szCs w:val="24"/>
          <w:highlight w:val="none"/>
        </w:rPr>
      </w:pPr>
    </w:p>
    <w:p w14:paraId="60BA305E">
      <w:pPr>
        <w:pStyle w:val="4"/>
        <w:outlineLvl w:val="9"/>
        <w:rPr>
          <w:rFonts w:hint="eastAsia" w:ascii="宋体" w:hAnsi="宋体" w:eastAsia="宋体" w:cs="宋体"/>
          <w:color w:val="auto"/>
          <w:sz w:val="24"/>
          <w:szCs w:val="24"/>
          <w:highlight w:val="none"/>
        </w:rPr>
      </w:pPr>
    </w:p>
    <w:p w14:paraId="3BE64FB9">
      <w:pPr>
        <w:rPr>
          <w:rFonts w:hint="eastAsia" w:ascii="宋体" w:hAnsi="宋体" w:eastAsia="宋体" w:cs="宋体"/>
          <w:color w:val="auto"/>
          <w:sz w:val="24"/>
          <w:szCs w:val="24"/>
          <w:highlight w:val="none"/>
        </w:rPr>
      </w:pPr>
    </w:p>
    <w:p w14:paraId="2E1AB28F">
      <w:pPr>
        <w:pStyle w:val="4"/>
        <w:outlineLvl w:val="9"/>
        <w:rPr>
          <w:rFonts w:hint="eastAsia" w:ascii="宋体" w:hAnsi="宋体" w:eastAsia="宋体" w:cs="宋体"/>
          <w:color w:val="auto"/>
          <w:sz w:val="24"/>
          <w:szCs w:val="24"/>
          <w:highlight w:val="none"/>
        </w:rPr>
      </w:pPr>
    </w:p>
    <w:p w14:paraId="19A27FD6">
      <w:pPr>
        <w:rPr>
          <w:rFonts w:hint="eastAsia" w:ascii="宋体" w:hAnsi="宋体" w:eastAsia="宋体" w:cs="宋体"/>
          <w:color w:val="auto"/>
          <w:sz w:val="24"/>
          <w:szCs w:val="24"/>
          <w:highlight w:val="none"/>
        </w:rPr>
      </w:pPr>
    </w:p>
    <w:p w14:paraId="0CCEA70C">
      <w:pPr>
        <w:rPr>
          <w:rFonts w:hint="eastAsia" w:ascii="宋体" w:hAnsi="宋体" w:eastAsia="宋体" w:cs="宋体"/>
          <w:color w:val="auto"/>
          <w:sz w:val="24"/>
          <w:szCs w:val="24"/>
          <w:highlight w:val="none"/>
        </w:rPr>
      </w:pPr>
    </w:p>
    <w:p w14:paraId="590E2483">
      <w:pPr>
        <w:spacing w:before="156" w:beforeLines="50" w:after="156" w:afterLines="50" w:line="440" w:lineRule="exact"/>
        <w:rPr>
          <w:rFonts w:hint="eastAsia" w:ascii="宋体" w:hAnsi="宋体" w:eastAsia="宋体" w:cs="宋体"/>
          <w:color w:val="auto"/>
          <w:sz w:val="24"/>
          <w:szCs w:val="24"/>
          <w:highlight w:val="none"/>
        </w:rPr>
      </w:pPr>
    </w:p>
    <w:p w14:paraId="5AC459B0">
      <w:pPr>
        <w:spacing w:before="156" w:beforeLines="50" w:after="156" w:afterLines="50" w:line="440" w:lineRule="exact"/>
        <w:rPr>
          <w:rFonts w:hint="eastAsia" w:ascii="宋体" w:hAnsi="宋体" w:eastAsia="宋体" w:cs="宋体"/>
          <w:color w:val="auto"/>
          <w:sz w:val="24"/>
          <w:szCs w:val="24"/>
          <w:highlight w:val="none"/>
        </w:rPr>
      </w:pPr>
    </w:p>
    <w:p w14:paraId="125A6EBE">
      <w:pPr>
        <w:spacing w:before="156" w:beforeLines="50" w:after="156" w:afterLines="50" w:line="440" w:lineRule="exact"/>
        <w:rPr>
          <w:rFonts w:hint="eastAsia" w:ascii="宋体" w:hAnsi="宋体" w:eastAsia="宋体" w:cs="宋体"/>
          <w:color w:val="auto"/>
          <w:sz w:val="24"/>
          <w:szCs w:val="24"/>
          <w:highlight w:val="none"/>
        </w:rPr>
      </w:pPr>
    </w:p>
    <w:p w14:paraId="61BFDF76">
      <w:pPr>
        <w:spacing w:before="156" w:beforeLines="50" w:after="156" w:afterLines="50" w:line="440" w:lineRule="exact"/>
        <w:rPr>
          <w:rFonts w:hint="eastAsia" w:ascii="宋体" w:hAnsi="宋体" w:eastAsia="宋体" w:cs="宋体"/>
          <w:color w:val="auto"/>
          <w:sz w:val="24"/>
          <w:szCs w:val="24"/>
          <w:highlight w:val="none"/>
        </w:rPr>
      </w:pPr>
    </w:p>
    <w:p w14:paraId="1B66B7F1">
      <w:pPr>
        <w:spacing w:before="156" w:beforeLines="50" w:after="156" w:afterLines="50" w:line="440" w:lineRule="exact"/>
        <w:rPr>
          <w:rFonts w:hint="eastAsia" w:ascii="宋体" w:hAnsi="宋体" w:eastAsia="宋体" w:cs="宋体"/>
          <w:color w:val="auto"/>
          <w:sz w:val="24"/>
          <w:szCs w:val="24"/>
          <w:highlight w:val="none"/>
        </w:rPr>
      </w:pPr>
    </w:p>
    <w:p w14:paraId="32C3D247">
      <w:pPr>
        <w:spacing w:before="156" w:beforeLines="50" w:after="156" w:afterLines="50" w:line="440" w:lineRule="exact"/>
        <w:rPr>
          <w:rFonts w:hint="eastAsia" w:ascii="宋体" w:hAnsi="宋体" w:eastAsia="宋体" w:cs="宋体"/>
          <w:color w:val="auto"/>
          <w:sz w:val="24"/>
          <w:szCs w:val="24"/>
          <w:highlight w:val="none"/>
        </w:rPr>
      </w:pPr>
    </w:p>
    <w:p w14:paraId="4E7549CE">
      <w:pPr>
        <w:spacing w:before="156" w:beforeLines="50" w:after="156" w:afterLines="50" w:line="440" w:lineRule="exact"/>
        <w:rPr>
          <w:rFonts w:hint="eastAsia" w:ascii="宋体" w:hAnsi="宋体" w:eastAsia="宋体" w:cs="宋体"/>
          <w:color w:val="auto"/>
          <w:sz w:val="24"/>
          <w:szCs w:val="24"/>
          <w:highlight w:val="none"/>
        </w:rPr>
      </w:pPr>
    </w:p>
    <w:p w14:paraId="05B4FD14">
      <w:pPr>
        <w:spacing w:before="156" w:beforeLines="50" w:after="156" w:afterLines="50" w:line="440" w:lineRule="exact"/>
        <w:rPr>
          <w:rFonts w:hint="eastAsia" w:ascii="宋体" w:hAnsi="宋体" w:eastAsia="宋体" w:cs="宋体"/>
          <w:color w:val="auto"/>
          <w:sz w:val="24"/>
          <w:szCs w:val="24"/>
          <w:highlight w:val="none"/>
        </w:rPr>
      </w:pPr>
    </w:p>
    <w:p w14:paraId="1D09890B">
      <w:pPr>
        <w:spacing w:before="156" w:beforeLines="50" w:after="156" w:afterLines="50" w:line="440" w:lineRule="exact"/>
        <w:rPr>
          <w:rFonts w:hint="eastAsia" w:ascii="宋体" w:hAnsi="宋体" w:eastAsia="宋体" w:cs="宋体"/>
          <w:color w:val="auto"/>
          <w:sz w:val="24"/>
          <w:szCs w:val="24"/>
          <w:highlight w:val="none"/>
        </w:rPr>
      </w:pPr>
    </w:p>
    <w:p w14:paraId="782E184E">
      <w:pPr>
        <w:spacing w:before="156" w:beforeLines="50" w:after="156" w:afterLines="50"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w:t>
      </w:r>
    </w:p>
    <w:p w14:paraId="09E97788">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承包人承揽工程项目一览表</w:t>
      </w:r>
    </w:p>
    <w:tbl>
      <w:tblPr>
        <w:tblStyle w:val="12"/>
        <w:tblW w:w="9534"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45"/>
        <w:gridCol w:w="725"/>
        <w:gridCol w:w="1050"/>
        <w:gridCol w:w="722"/>
        <w:gridCol w:w="600"/>
        <w:gridCol w:w="713"/>
        <w:gridCol w:w="1012"/>
        <w:gridCol w:w="1163"/>
        <w:gridCol w:w="1331"/>
        <w:gridCol w:w="1173"/>
      </w:tblGrid>
      <w:tr w14:paraId="425BBA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64" w:hRule="atLeast"/>
        </w:trPr>
        <w:tc>
          <w:tcPr>
            <w:tcW w:w="1045" w:type="dxa"/>
            <w:tcBorders>
              <w:top w:val="single" w:color="auto" w:sz="12" w:space="0"/>
              <w:bottom w:val="double" w:color="auto" w:sz="6" w:space="0"/>
            </w:tcBorders>
            <w:noWrap w:val="0"/>
            <w:vAlign w:val="center"/>
          </w:tcPr>
          <w:p w14:paraId="2DF46A37">
            <w:pPr>
              <w:pStyle w:val="8"/>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单位工程名称</w:t>
            </w:r>
          </w:p>
        </w:tc>
        <w:tc>
          <w:tcPr>
            <w:tcW w:w="725" w:type="dxa"/>
            <w:tcBorders>
              <w:top w:val="single" w:color="auto" w:sz="12" w:space="0"/>
              <w:bottom w:val="double" w:color="auto" w:sz="6" w:space="0"/>
            </w:tcBorders>
            <w:noWrap w:val="0"/>
            <w:vAlign w:val="center"/>
          </w:tcPr>
          <w:p w14:paraId="2AC5BB8C">
            <w:pPr>
              <w:pStyle w:val="8"/>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建设规模</w:t>
            </w:r>
          </w:p>
        </w:tc>
        <w:tc>
          <w:tcPr>
            <w:tcW w:w="1050" w:type="dxa"/>
            <w:tcBorders>
              <w:top w:val="single" w:color="auto" w:sz="12" w:space="0"/>
              <w:bottom w:val="double" w:color="auto" w:sz="6" w:space="0"/>
            </w:tcBorders>
            <w:noWrap w:val="0"/>
            <w:vAlign w:val="center"/>
          </w:tcPr>
          <w:p w14:paraId="037809F6">
            <w:pPr>
              <w:pStyle w:val="8"/>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建筑面积(平方米)</w:t>
            </w:r>
          </w:p>
        </w:tc>
        <w:tc>
          <w:tcPr>
            <w:tcW w:w="722" w:type="dxa"/>
            <w:tcBorders>
              <w:top w:val="single" w:color="auto" w:sz="12" w:space="0"/>
              <w:bottom w:val="double" w:color="auto" w:sz="6" w:space="0"/>
            </w:tcBorders>
            <w:noWrap w:val="0"/>
            <w:vAlign w:val="center"/>
          </w:tcPr>
          <w:p w14:paraId="2C0988F0">
            <w:pPr>
              <w:pStyle w:val="8"/>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结构形式</w:t>
            </w:r>
          </w:p>
        </w:tc>
        <w:tc>
          <w:tcPr>
            <w:tcW w:w="600" w:type="dxa"/>
            <w:tcBorders>
              <w:top w:val="single" w:color="auto" w:sz="12" w:space="0"/>
              <w:bottom w:val="double" w:color="auto" w:sz="6" w:space="0"/>
            </w:tcBorders>
            <w:noWrap w:val="0"/>
            <w:vAlign w:val="center"/>
          </w:tcPr>
          <w:p w14:paraId="2AF2B23B">
            <w:pPr>
              <w:pStyle w:val="8"/>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层数</w:t>
            </w:r>
          </w:p>
        </w:tc>
        <w:tc>
          <w:tcPr>
            <w:tcW w:w="713" w:type="dxa"/>
            <w:tcBorders>
              <w:top w:val="single" w:color="auto" w:sz="12" w:space="0"/>
              <w:bottom w:val="double" w:color="auto" w:sz="6" w:space="0"/>
            </w:tcBorders>
            <w:noWrap w:val="0"/>
            <w:vAlign w:val="center"/>
          </w:tcPr>
          <w:p w14:paraId="52D4AA00">
            <w:pPr>
              <w:pStyle w:val="8"/>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生产能力</w:t>
            </w:r>
          </w:p>
        </w:tc>
        <w:tc>
          <w:tcPr>
            <w:tcW w:w="1012" w:type="dxa"/>
            <w:tcBorders>
              <w:top w:val="single" w:color="auto" w:sz="12" w:space="0"/>
              <w:bottom w:val="double" w:color="auto" w:sz="6" w:space="0"/>
            </w:tcBorders>
            <w:noWrap w:val="0"/>
            <w:vAlign w:val="center"/>
          </w:tcPr>
          <w:p w14:paraId="6631299C">
            <w:pPr>
              <w:pStyle w:val="8"/>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设备安装内容</w:t>
            </w:r>
          </w:p>
        </w:tc>
        <w:tc>
          <w:tcPr>
            <w:tcW w:w="1163" w:type="dxa"/>
            <w:tcBorders>
              <w:top w:val="single" w:color="auto" w:sz="12" w:space="0"/>
              <w:bottom w:val="double" w:color="auto" w:sz="6" w:space="0"/>
            </w:tcBorders>
            <w:noWrap w:val="0"/>
            <w:vAlign w:val="center"/>
          </w:tcPr>
          <w:p w14:paraId="458B0266">
            <w:pPr>
              <w:pStyle w:val="8"/>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合同价格（元）</w:t>
            </w:r>
          </w:p>
        </w:tc>
        <w:tc>
          <w:tcPr>
            <w:tcW w:w="1331" w:type="dxa"/>
            <w:tcBorders>
              <w:top w:val="single" w:color="auto" w:sz="12" w:space="0"/>
              <w:bottom w:val="double" w:color="auto" w:sz="6" w:space="0"/>
            </w:tcBorders>
            <w:noWrap w:val="0"/>
            <w:vAlign w:val="center"/>
          </w:tcPr>
          <w:p w14:paraId="12E5A2DD">
            <w:pPr>
              <w:pStyle w:val="8"/>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开工日期</w:t>
            </w:r>
          </w:p>
        </w:tc>
        <w:tc>
          <w:tcPr>
            <w:tcW w:w="1173" w:type="dxa"/>
            <w:tcBorders>
              <w:top w:val="single" w:color="auto" w:sz="12" w:space="0"/>
              <w:bottom w:val="double" w:color="auto" w:sz="6" w:space="0"/>
            </w:tcBorders>
            <w:noWrap w:val="0"/>
            <w:vAlign w:val="center"/>
          </w:tcPr>
          <w:p w14:paraId="350A0F32">
            <w:pPr>
              <w:pStyle w:val="8"/>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竣工日期</w:t>
            </w:r>
          </w:p>
        </w:tc>
      </w:tr>
      <w:tr w14:paraId="51EE61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42" w:hRule="atLeast"/>
        </w:trPr>
        <w:tc>
          <w:tcPr>
            <w:tcW w:w="1045" w:type="dxa"/>
            <w:tcBorders>
              <w:top w:val="double" w:color="auto" w:sz="6" w:space="0"/>
              <w:bottom w:val="single" w:color="auto" w:sz="6" w:space="0"/>
            </w:tcBorders>
            <w:noWrap w:val="0"/>
            <w:vAlign w:val="center"/>
          </w:tcPr>
          <w:p w14:paraId="71D8325D">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25" w:type="dxa"/>
            <w:tcBorders>
              <w:top w:val="double" w:color="auto" w:sz="6" w:space="0"/>
              <w:bottom w:val="single" w:color="auto" w:sz="6" w:space="0"/>
            </w:tcBorders>
            <w:noWrap w:val="0"/>
            <w:vAlign w:val="center"/>
          </w:tcPr>
          <w:p w14:paraId="6E70D58E">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050" w:type="dxa"/>
            <w:tcBorders>
              <w:top w:val="double" w:color="auto" w:sz="6" w:space="0"/>
              <w:bottom w:val="single" w:color="auto" w:sz="6" w:space="0"/>
            </w:tcBorders>
            <w:noWrap w:val="0"/>
            <w:vAlign w:val="center"/>
          </w:tcPr>
          <w:p w14:paraId="02EE1EE8">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22" w:type="dxa"/>
            <w:tcBorders>
              <w:top w:val="double" w:color="auto" w:sz="6" w:space="0"/>
              <w:bottom w:val="single" w:color="auto" w:sz="6" w:space="0"/>
            </w:tcBorders>
            <w:noWrap w:val="0"/>
            <w:vAlign w:val="center"/>
          </w:tcPr>
          <w:p w14:paraId="3EC16C04">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600" w:type="dxa"/>
            <w:tcBorders>
              <w:top w:val="double" w:color="auto" w:sz="6" w:space="0"/>
              <w:bottom w:val="single" w:color="auto" w:sz="6" w:space="0"/>
            </w:tcBorders>
            <w:noWrap w:val="0"/>
            <w:vAlign w:val="center"/>
          </w:tcPr>
          <w:p w14:paraId="7740799A">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13" w:type="dxa"/>
            <w:tcBorders>
              <w:top w:val="double" w:color="auto" w:sz="6" w:space="0"/>
              <w:bottom w:val="single" w:color="auto" w:sz="6" w:space="0"/>
            </w:tcBorders>
            <w:noWrap w:val="0"/>
            <w:vAlign w:val="center"/>
          </w:tcPr>
          <w:p w14:paraId="187054D5">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012" w:type="dxa"/>
            <w:tcBorders>
              <w:top w:val="double" w:color="auto" w:sz="6" w:space="0"/>
              <w:bottom w:val="single" w:color="auto" w:sz="6" w:space="0"/>
            </w:tcBorders>
            <w:noWrap w:val="0"/>
            <w:vAlign w:val="center"/>
          </w:tcPr>
          <w:p w14:paraId="251F0E8A">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163" w:type="dxa"/>
            <w:tcBorders>
              <w:top w:val="double" w:color="auto" w:sz="6" w:space="0"/>
              <w:bottom w:val="single" w:color="auto" w:sz="6" w:space="0"/>
            </w:tcBorders>
            <w:noWrap w:val="0"/>
            <w:vAlign w:val="center"/>
          </w:tcPr>
          <w:p w14:paraId="4B6CA3E3">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331" w:type="dxa"/>
            <w:tcBorders>
              <w:top w:val="double" w:color="auto" w:sz="6" w:space="0"/>
              <w:bottom w:val="single" w:color="auto" w:sz="6" w:space="0"/>
            </w:tcBorders>
            <w:noWrap w:val="0"/>
            <w:vAlign w:val="center"/>
          </w:tcPr>
          <w:p w14:paraId="7A4223D2">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173" w:type="dxa"/>
            <w:tcBorders>
              <w:top w:val="double" w:color="auto" w:sz="6" w:space="0"/>
              <w:bottom w:val="single" w:color="auto" w:sz="6" w:space="0"/>
            </w:tcBorders>
            <w:noWrap w:val="0"/>
            <w:vAlign w:val="center"/>
          </w:tcPr>
          <w:p w14:paraId="6AE8555A">
            <w:pPr>
              <w:pStyle w:val="8"/>
              <w:keepNext/>
              <w:spacing w:line="440" w:lineRule="exact"/>
              <w:ind w:left="63" w:right="63"/>
              <w:jc w:val="center"/>
              <w:rPr>
                <w:rFonts w:hint="eastAsia" w:ascii="宋体" w:hAnsi="宋体" w:eastAsia="宋体" w:cs="宋体"/>
                <w:color w:val="auto"/>
                <w:kern w:val="2"/>
                <w:sz w:val="24"/>
                <w:szCs w:val="24"/>
                <w:highlight w:val="none"/>
              </w:rPr>
            </w:pPr>
          </w:p>
        </w:tc>
      </w:tr>
      <w:tr w14:paraId="607278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trPr>
        <w:tc>
          <w:tcPr>
            <w:tcW w:w="1045" w:type="dxa"/>
            <w:tcBorders>
              <w:top w:val="nil"/>
            </w:tcBorders>
            <w:noWrap w:val="0"/>
            <w:vAlign w:val="center"/>
          </w:tcPr>
          <w:p w14:paraId="2575A719">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25" w:type="dxa"/>
            <w:tcBorders>
              <w:top w:val="nil"/>
            </w:tcBorders>
            <w:noWrap w:val="0"/>
            <w:vAlign w:val="center"/>
          </w:tcPr>
          <w:p w14:paraId="4919C088">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050" w:type="dxa"/>
            <w:tcBorders>
              <w:top w:val="nil"/>
            </w:tcBorders>
            <w:noWrap w:val="0"/>
            <w:vAlign w:val="center"/>
          </w:tcPr>
          <w:p w14:paraId="621AB211">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22" w:type="dxa"/>
            <w:tcBorders>
              <w:top w:val="nil"/>
            </w:tcBorders>
            <w:noWrap w:val="0"/>
            <w:vAlign w:val="center"/>
          </w:tcPr>
          <w:p w14:paraId="19C864C9">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600" w:type="dxa"/>
            <w:tcBorders>
              <w:top w:val="nil"/>
            </w:tcBorders>
            <w:noWrap w:val="0"/>
            <w:vAlign w:val="center"/>
          </w:tcPr>
          <w:p w14:paraId="70D9CB6B">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13" w:type="dxa"/>
            <w:tcBorders>
              <w:top w:val="nil"/>
            </w:tcBorders>
            <w:noWrap w:val="0"/>
            <w:vAlign w:val="center"/>
          </w:tcPr>
          <w:p w14:paraId="63987175">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012" w:type="dxa"/>
            <w:tcBorders>
              <w:top w:val="nil"/>
            </w:tcBorders>
            <w:noWrap w:val="0"/>
            <w:vAlign w:val="center"/>
          </w:tcPr>
          <w:p w14:paraId="294C8067">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163" w:type="dxa"/>
            <w:tcBorders>
              <w:top w:val="nil"/>
            </w:tcBorders>
            <w:noWrap w:val="0"/>
            <w:vAlign w:val="center"/>
          </w:tcPr>
          <w:p w14:paraId="73F4B7F6">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331" w:type="dxa"/>
            <w:tcBorders>
              <w:top w:val="nil"/>
            </w:tcBorders>
            <w:noWrap w:val="0"/>
            <w:vAlign w:val="center"/>
          </w:tcPr>
          <w:p w14:paraId="13A569BA">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173" w:type="dxa"/>
            <w:tcBorders>
              <w:top w:val="nil"/>
            </w:tcBorders>
            <w:noWrap w:val="0"/>
            <w:vAlign w:val="center"/>
          </w:tcPr>
          <w:p w14:paraId="525AF483">
            <w:pPr>
              <w:pStyle w:val="8"/>
              <w:keepNext/>
              <w:spacing w:line="440" w:lineRule="exact"/>
              <w:ind w:left="63" w:right="63"/>
              <w:jc w:val="center"/>
              <w:rPr>
                <w:rFonts w:hint="eastAsia" w:ascii="宋体" w:hAnsi="宋体" w:eastAsia="宋体" w:cs="宋体"/>
                <w:color w:val="auto"/>
                <w:kern w:val="2"/>
                <w:sz w:val="24"/>
                <w:szCs w:val="24"/>
                <w:highlight w:val="none"/>
              </w:rPr>
            </w:pPr>
          </w:p>
        </w:tc>
      </w:tr>
      <w:tr w14:paraId="0229E4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trPr>
        <w:tc>
          <w:tcPr>
            <w:tcW w:w="1045" w:type="dxa"/>
            <w:tcBorders>
              <w:top w:val="nil"/>
            </w:tcBorders>
            <w:noWrap w:val="0"/>
            <w:vAlign w:val="center"/>
          </w:tcPr>
          <w:p w14:paraId="75019CD5">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25" w:type="dxa"/>
            <w:tcBorders>
              <w:top w:val="nil"/>
            </w:tcBorders>
            <w:noWrap w:val="0"/>
            <w:vAlign w:val="center"/>
          </w:tcPr>
          <w:p w14:paraId="0B690729">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050" w:type="dxa"/>
            <w:tcBorders>
              <w:top w:val="nil"/>
            </w:tcBorders>
            <w:noWrap w:val="0"/>
            <w:vAlign w:val="center"/>
          </w:tcPr>
          <w:p w14:paraId="6287E293">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22" w:type="dxa"/>
            <w:tcBorders>
              <w:top w:val="nil"/>
            </w:tcBorders>
            <w:noWrap w:val="0"/>
            <w:vAlign w:val="center"/>
          </w:tcPr>
          <w:p w14:paraId="776EE1EB">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600" w:type="dxa"/>
            <w:tcBorders>
              <w:top w:val="nil"/>
            </w:tcBorders>
            <w:noWrap w:val="0"/>
            <w:vAlign w:val="center"/>
          </w:tcPr>
          <w:p w14:paraId="7A3D7AA0">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13" w:type="dxa"/>
            <w:tcBorders>
              <w:top w:val="nil"/>
            </w:tcBorders>
            <w:noWrap w:val="0"/>
            <w:vAlign w:val="center"/>
          </w:tcPr>
          <w:p w14:paraId="6A23BAA4">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012" w:type="dxa"/>
            <w:tcBorders>
              <w:top w:val="nil"/>
            </w:tcBorders>
            <w:noWrap w:val="0"/>
            <w:vAlign w:val="center"/>
          </w:tcPr>
          <w:p w14:paraId="68B6E472">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163" w:type="dxa"/>
            <w:tcBorders>
              <w:top w:val="nil"/>
            </w:tcBorders>
            <w:noWrap w:val="0"/>
            <w:vAlign w:val="center"/>
          </w:tcPr>
          <w:p w14:paraId="46924B4E">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331" w:type="dxa"/>
            <w:tcBorders>
              <w:top w:val="nil"/>
            </w:tcBorders>
            <w:noWrap w:val="0"/>
            <w:vAlign w:val="center"/>
          </w:tcPr>
          <w:p w14:paraId="38BE156B">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173" w:type="dxa"/>
            <w:tcBorders>
              <w:top w:val="nil"/>
            </w:tcBorders>
            <w:noWrap w:val="0"/>
            <w:vAlign w:val="center"/>
          </w:tcPr>
          <w:p w14:paraId="134817C4">
            <w:pPr>
              <w:pStyle w:val="8"/>
              <w:keepNext/>
              <w:spacing w:line="440" w:lineRule="exact"/>
              <w:ind w:left="63" w:right="63"/>
              <w:jc w:val="center"/>
              <w:rPr>
                <w:rFonts w:hint="eastAsia" w:ascii="宋体" w:hAnsi="宋体" w:eastAsia="宋体" w:cs="宋体"/>
                <w:color w:val="auto"/>
                <w:kern w:val="2"/>
                <w:sz w:val="24"/>
                <w:szCs w:val="24"/>
                <w:highlight w:val="none"/>
              </w:rPr>
            </w:pPr>
          </w:p>
        </w:tc>
      </w:tr>
      <w:tr w14:paraId="7B52BA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trPr>
        <w:tc>
          <w:tcPr>
            <w:tcW w:w="1045" w:type="dxa"/>
            <w:noWrap w:val="0"/>
            <w:vAlign w:val="center"/>
          </w:tcPr>
          <w:p w14:paraId="33CD1CFC">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25" w:type="dxa"/>
            <w:noWrap w:val="0"/>
            <w:vAlign w:val="center"/>
          </w:tcPr>
          <w:p w14:paraId="70636C0A">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050" w:type="dxa"/>
            <w:noWrap w:val="0"/>
            <w:vAlign w:val="center"/>
          </w:tcPr>
          <w:p w14:paraId="01FF13CA">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22" w:type="dxa"/>
            <w:noWrap w:val="0"/>
            <w:vAlign w:val="center"/>
          </w:tcPr>
          <w:p w14:paraId="46FB08C0">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600" w:type="dxa"/>
            <w:noWrap w:val="0"/>
            <w:vAlign w:val="center"/>
          </w:tcPr>
          <w:p w14:paraId="3F7B7CC2">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13" w:type="dxa"/>
            <w:noWrap w:val="0"/>
            <w:vAlign w:val="center"/>
          </w:tcPr>
          <w:p w14:paraId="3ABC8CE5">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012" w:type="dxa"/>
            <w:noWrap w:val="0"/>
            <w:vAlign w:val="center"/>
          </w:tcPr>
          <w:p w14:paraId="27D829E3">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163" w:type="dxa"/>
            <w:noWrap w:val="0"/>
            <w:vAlign w:val="center"/>
          </w:tcPr>
          <w:p w14:paraId="76494F81">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331" w:type="dxa"/>
            <w:noWrap w:val="0"/>
            <w:vAlign w:val="center"/>
          </w:tcPr>
          <w:p w14:paraId="77E9EEEA">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173" w:type="dxa"/>
            <w:noWrap w:val="0"/>
            <w:vAlign w:val="center"/>
          </w:tcPr>
          <w:p w14:paraId="275387C7">
            <w:pPr>
              <w:pStyle w:val="8"/>
              <w:keepNext/>
              <w:spacing w:line="440" w:lineRule="exact"/>
              <w:ind w:left="63" w:right="63"/>
              <w:jc w:val="center"/>
              <w:rPr>
                <w:rFonts w:hint="eastAsia" w:ascii="宋体" w:hAnsi="宋体" w:eastAsia="宋体" w:cs="宋体"/>
                <w:color w:val="auto"/>
                <w:kern w:val="2"/>
                <w:sz w:val="24"/>
                <w:szCs w:val="24"/>
                <w:highlight w:val="none"/>
              </w:rPr>
            </w:pPr>
          </w:p>
        </w:tc>
      </w:tr>
      <w:tr w14:paraId="6F165B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trPr>
        <w:tc>
          <w:tcPr>
            <w:tcW w:w="1045" w:type="dxa"/>
            <w:tcBorders>
              <w:top w:val="nil"/>
            </w:tcBorders>
            <w:noWrap w:val="0"/>
            <w:vAlign w:val="center"/>
          </w:tcPr>
          <w:p w14:paraId="623E8EB7">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25" w:type="dxa"/>
            <w:tcBorders>
              <w:top w:val="nil"/>
            </w:tcBorders>
            <w:noWrap w:val="0"/>
            <w:vAlign w:val="center"/>
          </w:tcPr>
          <w:p w14:paraId="13184CFE">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050" w:type="dxa"/>
            <w:tcBorders>
              <w:top w:val="nil"/>
            </w:tcBorders>
            <w:noWrap w:val="0"/>
            <w:vAlign w:val="center"/>
          </w:tcPr>
          <w:p w14:paraId="002833B8">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22" w:type="dxa"/>
            <w:tcBorders>
              <w:top w:val="nil"/>
            </w:tcBorders>
            <w:noWrap w:val="0"/>
            <w:vAlign w:val="center"/>
          </w:tcPr>
          <w:p w14:paraId="2BCC8ACF">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600" w:type="dxa"/>
            <w:tcBorders>
              <w:top w:val="nil"/>
            </w:tcBorders>
            <w:noWrap w:val="0"/>
            <w:vAlign w:val="center"/>
          </w:tcPr>
          <w:p w14:paraId="288C018C">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13" w:type="dxa"/>
            <w:tcBorders>
              <w:top w:val="nil"/>
            </w:tcBorders>
            <w:noWrap w:val="0"/>
            <w:vAlign w:val="center"/>
          </w:tcPr>
          <w:p w14:paraId="441D2DAB">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012" w:type="dxa"/>
            <w:tcBorders>
              <w:top w:val="nil"/>
            </w:tcBorders>
            <w:noWrap w:val="0"/>
            <w:vAlign w:val="center"/>
          </w:tcPr>
          <w:p w14:paraId="2AA81411">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163" w:type="dxa"/>
            <w:tcBorders>
              <w:top w:val="nil"/>
            </w:tcBorders>
            <w:noWrap w:val="0"/>
            <w:vAlign w:val="center"/>
          </w:tcPr>
          <w:p w14:paraId="3CE9FCAE">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331" w:type="dxa"/>
            <w:tcBorders>
              <w:top w:val="nil"/>
            </w:tcBorders>
            <w:noWrap w:val="0"/>
            <w:vAlign w:val="center"/>
          </w:tcPr>
          <w:p w14:paraId="6B4CBEDF">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173" w:type="dxa"/>
            <w:tcBorders>
              <w:top w:val="nil"/>
            </w:tcBorders>
            <w:noWrap w:val="0"/>
            <w:vAlign w:val="center"/>
          </w:tcPr>
          <w:p w14:paraId="1CD84D8B">
            <w:pPr>
              <w:pStyle w:val="8"/>
              <w:keepNext/>
              <w:spacing w:line="440" w:lineRule="exact"/>
              <w:ind w:left="63" w:right="63"/>
              <w:jc w:val="center"/>
              <w:rPr>
                <w:rFonts w:hint="eastAsia" w:ascii="宋体" w:hAnsi="宋体" w:eastAsia="宋体" w:cs="宋体"/>
                <w:color w:val="auto"/>
                <w:kern w:val="2"/>
                <w:sz w:val="24"/>
                <w:szCs w:val="24"/>
                <w:highlight w:val="none"/>
              </w:rPr>
            </w:pPr>
          </w:p>
        </w:tc>
      </w:tr>
      <w:tr w14:paraId="5FBD95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trPr>
        <w:tc>
          <w:tcPr>
            <w:tcW w:w="1045" w:type="dxa"/>
            <w:noWrap w:val="0"/>
            <w:vAlign w:val="center"/>
          </w:tcPr>
          <w:p w14:paraId="7F4C23A5">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25" w:type="dxa"/>
            <w:noWrap w:val="0"/>
            <w:vAlign w:val="center"/>
          </w:tcPr>
          <w:p w14:paraId="58DA8BF6">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050" w:type="dxa"/>
            <w:noWrap w:val="0"/>
            <w:vAlign w:val="center"/>
          </w:tcPr>
          <w:p w14:paraId="2E2193FA">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22" w:type="dxa"/>
            <w:noWrap w:val="0"/>
            <w:vAlign w:val="center"/>
          </w:tcPr>
          <w:p w14:paraId="6259AB65">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600" w:type="dxa"/>
            <w:noWrap w:val="0"/>
            <w:vAlign w:val="center"/>
          </w:tcPr>
          <w:p w14:paraId="6A442E40">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13" w:type="dxa"/>
            <w:noWrap w:val="0"/>
            <w:vAlign w:val="center"/>
          </w:tcPr>
          <w:p w14:paraId="49F50D05">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012" w:type="dxa"/>
            <w:noWrap w:val="0"/>
            <w:vAlign w:val="center"/>
          </w:tcPr>
          <w:p w14:paraId="60C6B95B">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163" w:type="dxa"/>
            <w:noWrap w:val="0"/>
            <w:vAlign w:val="center"/>
          </w:tcPr>
          <w:p w14:paraId="7E273E93">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331" w:type="dxa"/>
            <w:noWrap w:val="0"/>
            <w:vAlign w:val="center"/>
          </w:tcPr>
          <w:p w14:paraId="6BD1D33E">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173" w:type="dxa"/>
            <w:noWrap w:val="0"/>
            <w:vAlign w:val="center"/>
          </w:tcPr>
          <w:p w14:paraId="4BFD547D">
            <w:pPr>
              <w:pStyle w:val="8"/>
              <w:keepNext/>
              <w:spacing w:line="440" w:lineRule="exact"/>
              <w:ind w:left="63" w:right="63"/>
              <w:jc w:val="center"/>
              <w:rPr>
                <w:rFonts w:hint="eastAsia" w:ascii="宋体" w:hAnsi="宋体" w:eastAsia="宋体" w:cs="宋体"/>
                <w:color w:val="auto"/>
                <w:kern w:val="2"/>
                <w:sz w:val="24"/>
                <w:szCs w:val="24"/>
                <w:highlight w:val="none"/>
              </w:rPr>
            </w:pPr>
          </w:p>
        </w:tc>
      </w:tr>
      <w:tr w14:paraId="25E1E0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trPr>
        <w:tc>
          <w:tcPr>
            <w:tcW w:w="1045" w:type="dxa"/>
            <w:tcBorders>
              <w:top w:val="nil"/>
            </w:tcBorders>
            <w:noWrap w:val="0"/>
            <w:vAlign w:val="center"/>
          </w:tcPr>
          <w:p w14:paraId="307136D5">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25" w:type="dxa"/>
            <w:tcBorders>
              <w:top w:val="nil"/>
            </w:tcBorders>
            <w:noWrap w:val="0"/>
            <w:vAlign w:val="center"/>
          </w:tcPr>
          <w:p w14:paraId="139E993F">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050" w:type="dxa"/>
            <w:tcBorders>
              <w:top w:val="nil"/>
            </w:tcBorders>
            <w:noWrap w:val="0"/>
            <w:vAlign w:val="center"/>
          </w:tcPr>
          <w:p w14:paraId="54216DC9">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22" w:type="dxa"/>
            <w:tcBorders>
              <w:top w:val="nil"/>
            </w:tcBorders>
            <w:noWrap w:val="0"/>
            <w:vAlign w:val="center"/>
          </w:tcPr>
          <w:p w14:paraId="156FAAC3">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600" w:type="dxa"/>
            <w:tcBorders>
              <w:top w:val="nil"/>
            </w:tcBorders>
            <w:noWrap w:val="0"/>
            <w:vAlign w:val="center"/>
          </w:tcPr>
          <w:p w14:paraId="440450FF">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13" w:type="dxa"/>
            <w:tcBorders>
              <w:top w:val="nil"/>
            </w:tcBorders>
            <w:noWrap w:val="0"/>
            <w:vAlign w:val="center"/>
          </w:tcPr>
          <w:p w14:paraId="325E758D">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012" w:type="dxa"/>
            <w:tcBorders>
              <w:top w:val="nil"/>
            </w:tcBorders>
            <w:noWrap w:val="0"/>
            <w:vAlign w:val="center"/>
          </w:tcPr>
          <w:p w14:paraId="03AF85A7">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163" w:type="dxa"/>
            <w:tcBorders>
              <w:top w:val="nil"/>
            </w:tcBorders>
            <w:noWrap w:val="0"/>
            <w:vAlign w:val="center"/>
          </w:tcPr>
          <w:p w14:paraId="2ED78DEB">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331" w:type="dxa"/>
            <w:tcBorders>
              <w:top w:val="nil"/>
            </w:tcBorders>
            <w:noWrap w:val="0"/>
            <w:vAlign w:val="center"/>
          </w:tcPr>
          <w:p w14:paraId="59DC8426">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173" w:type="dxa"/>
            <w:tcBorders>
              <w:top w:val="nil"/>
            </w:tcBorders>
            <w:noWrap w:val="0"/>
            <w:vAlign w:val="center"/>
          </w:tcPr>
          <w:p w14:paraId="238E5008">
            <w:pPr>
              <w:pStyle w:val="8"/>
              <w:keepNext/>
              <w:spacing w:line="440" w:lineRule="exact"/>
              <w:ind w:left="63" w:right="63"/>
              <w:jc w:val="center"/>
              <w:rPr>
                <w:rFonts w:hint="eastAsia" w:ascii="宋体" w:hAnsi="宋体" w:eastAsia="宋体" w:cs="宋体"/>
                <w:color w:val="auto"/>
                <w:kern w:val="2"/>
                <w:sz w:val="24"/>
                <w:szCs w:val="24"/>
                <w:highlight w:val="none"/>
              </w:rPr>
            </w:pPr>
          </w:p>
        </w:tc>
      </w:tr>
      <w:tr w14:paraId="5298CD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trPr>
        <w:tc>
          <w:tcPr>
            <w:tcW w:w="1045" w:type="dxa"/>
            <w:tcBorders>
              <w:top w:val="nil"/>
            </w:tcBorders>
            <w:noWrap w:val="0"/>
            <w:vAlign w:val="center"/>
          </w:tcPr>
          <w:p w14:paraId="3F25B573">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25" w:type="dxa"/>
            <w:tcBorders>
              <w:top w:val="nil"/>
            </w:tcBorders>
            <w:noWrap w:val="0"/>
            <w:vAlign w:val="center"/>
          </w:tcPr>
          <w:p w14:paraId="07EEB2FF">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050" w:type="dxa"/>
            <w:tcBorders>
              <w:top w:val="nil"/>
            </w:tcBorders>
            <w:noWrap w:val="0"/>
            <w:vAlign w:val="center"/>
          </w:tcPr>
          <w:p w14:paraId="520965AE">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22" w:type="dxa"/>
            <w:tcBorders>
              <w:top w:val="nil"/>
            </w:tcBorders>
            <w:noWrap w:val="0"/>
            <w:vAlign w:val="center"/>
          </w:tcPr>
          <w:p w14:paraId="1DA14C6C">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600" w:type="dxa"/>
            <w:tcBorders>
              <w:top w:val="nil"/>
            </w:tcBorders>
            <w:noWrap w:val="0"/>
            <w:vAlign w:val="center"/>
          </w:tcPr>
          <w:p w14:paraId="442BCD50">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13" w:type="dxa"/>
            <w:tcBorders>
              <w:top w:val="nil"/>
            </w:tcBorders>
            <w:noWrap w:val="0"/>
            <w:vAlign w:val="center"/>
          </w:tcPr>
          <w:p w14:paraId="051C7CC2">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012" w:type="dxa"/>
            <w:tcBorders>
              <w:top w:val="nil"/>
            </w:tcBorders>
            <w:noWrap w:val="0"/>
            <w:vAlign w:val="center"/>
          </w:tcPr>
          <w:p w14:paraId="3A3975D3">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163" w:type="dxa"/>
            <w:tcBorders>
              <w:top w:val="nil"/>
            </w:tcBorders>
            <w:noWrap w:val="0"/>
            <w:vAlign w:val="center"/>
          </w:tcPr>
          <w:p w14:paraId="6FF7D788">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331" w:type="dxa"/>
            <w:tcBorders>
              <w:top w:val="nil"/>
            </w:tcBorders>
            <w:noWrap w:val="0"/>
            <w:vAlign w:val="center"/>
          </w:tcPr>
          <w:p w14:paraId="211D1A12">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173" w:type="dxa"/>
            <w:tcBorders>
              <w:top w:val="nil"/>
            </w:tcBorders>
            <w:noWrap w:val="0"/>
            <w:vAlign w:val="center"/>
          </w:tcPr>
          <w:p w14:paraId="582D08DA">
            <w:pPr>
              <w:pStyle w:val="8"/>
              <w:keepNext/>
              <w:spacing w:line="440" w:lineRule="exact"/>
              <w:ind w:left="63" w:right="63"/>
              <w:jc w:val="center"/>
              <w:rPr>
                <w:rFonts w:hint="eastAsia" w:ascii="宋体" w:hAnsi="宋体" w:eastAsia="宋体" w:cs="宋体"/>
                <w:color w:val="auto"/>
                <w:kern w:val="2"/>
                <w:sz w:val="24"/>
                <w:szCs w:val="24"/>
                <w:highlight w:val="none"/>
              </w:rPr>
            </w:pPr>
          </w:p>
        </w:tc>
      </w:tr>
      <w:tr w14:paraId="0EBB72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trPr>
        <w:tc>
          <w:tcPr>
            <w:tcW w:w="1045" w:type="dxa"/>
            <w:noWrap w:val="0"/>
            <w:vAlign w:val="center"/>
          </w:tcPr>
          <w:p w14:paraId="542AD983">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25" w:type="dxa"/>
            <w:noWrap w:val="0"/>
            <w:vAlign w:val="center"/>
          </w:tcPr>
          <w:p w14:paraId="4019E93E">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050" w:type="dxa"/>
            <w:noWrap w:val="0"/>
            <w:vAlign w:val="center"/>
          </w:tcPr>
          <w:p w14:paraId="512A4A0F">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22" w:type="dxa"/>
            <w:noWrap w:val="0"/>
            <w:vAlign w:val="center"/>
          </w:tcPr>
          <w:p w14:paraId="57C03B28">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600" w:type="dxa"/>
            <w:noWrap w:val="0"/>
            <w:vAlign w:val="center"/>
          </w:tcPr>
          <w:p w14:paraId="03660C8C">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13" w:type="dxa"/>
            <w:noWrap w:val="0"/>
            <w:vAlign w:val="center"/>
          </w:tcPr>
          <w:p w14:paraId="01E24D3A">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012" w:type="dxa"/>
            <w:noWrap w:val="0"/>
            <w:vAlign w:val="center"/>
          </w:tcPr>
          <w:p w14:paraId="799AC5C8">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163" w:type="dxa"/>
            <w:noWrap w:val="0"/>
            <w:vAlign w:val="center"/>
          </w:tcPr>
          <w:p w14:paraId="1A3B6532">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331" w:type="dxa"/>
            <w:noWrap w:val="0"/>
            <w:vAlign w:val="center"/>
          </w:tcPr>
          <w:p w14:paraId="2D15E6A7">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173" w:type="dxa"/>
            <w:noWrap w:val="0"/>
            <w:vAlign w:val="center"/>
          </w:tcPr>
          <w:p w14:paraId="7233904D">
            <w:pPr>
              <w:pStyle w:val="8"/>
              <w:keepNext/>
              <w:spacing w:line="440" w:lineRule="exact"/>
              <w:ind w:left="63" w:right="63"/>
              <w:jc w:val="center"/>
              <w:rPr>
                <w:rFonts w:hint="eastAsia" w:ascii="宋体" w:hAnsi="宋体" w:eastAsia="宋体" w:cs="宋体"/>
                <w:color w:val="auto"/>
                <w:kern w:val="2"/>
                <w:sz w:val="24"/>
                <w:szCs w:val="24"/>
                <w:highlight w:val="none"/>
              </w:rPr>
            </w:pPr>
          </w:p>
        </w:tc>
      </w:tr>
      <w:tr w14:paraId="5EB9B1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trPr>
        <w:tc>
          <w:tcPr>
            <w:tcW w:w="1045" w:type="dxa"/>
            <w:tcBorders>
              <w:top w:val="nil"/>
            </w:tcBorders>
            <w:noWrap w:val="0"/>
            <w:vAlign w:val="center"/>
          </w:tcPr>
          <w:p w14:paraId="21C931F9">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25" w:type="dxa"/>
            <w:tcBorders>
              <w:top w:val="nil"/>
            </w:tcBorders>
            <w:noWrap w:val="0"/>
            <w:vAlign w:val="center"/>
          </w:tcPr>
          <w:p w14:paraId="150D1FD5">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050" w:type="dxa"/>
            <w:tcBorders>
              <w:top w:val="nil"/>
            </w:tcBorders>
            <w:noWrap w:val="0"/>
            <w:vAlign w:val="center"/>
          </w:tcPr>
          <w:p w14:paraId="0C7F1CC1">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22" w:type="dxa"/>
            <w:tcBorders>
              <w:top w:val="nil"/>
            </w:tcBorders>
            <w:noWrap w:val="0"/>
            <w:vAlign w:val="center"/>
          </w:tcPr>
          <w:p w14:paraId="5EF5CA3D">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600" w:type="dxa"/>
            <w:tcBorders>
              <w:top w:val="nil"/>
            </w:tcBorders>
            <w:noWrap w:val="0"/>
            <w:vAlign w:val="center"/>
          </w:tcPr>
          <w:p w14:paraId="6F010498">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13" w:type="dxa"/>
            <w:tcBorders>
              <w:top w:val="nil"/>
            </w:tcBorders>
            <w:noWrap w:val="0"/>
            <w:vAlign w:val="center"/>
          </w:tcPr>
          <w:p w14:paraId="0DE000BF">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012" w:type="dxa"/>
            <w:tcBorders>
              <w:top w:val="nil"/>
            </w:tcBorders>
            <w:noWrap w:val="0"/>
            <w:vAlign w:val="center"/>
          </w:tcPr>
          <w:p w14:paraId="70503985">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163" w:type="dxa"/>
            <w:tcBorders>
              <w:top w:val="nil"/>
            </w:tcBorders>
            <w:noWrap w:val="0"/>
            <w:vAlign w:val="center"/>
          </w:tcPr>
          <w:p w14:paraId="44A02B47">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331" w:type="dxa"/>
            <w:tcBorders>
              <w:top w:val="nil"/>
            </w:tcBorders>
            <w:noWrap w:val="0"/>
            <w:vAlign w:val="center"/>
          </w:tcPr>
          <w:p w14:paraId="2BA61978">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173" w:type="dxa"/>
            <w:tcBorders>
              <w:top w:val="nil"/>
            </w:tcBorders>
            <w:noWrap w:val="0"/>
            <w:vAlign w:val="center"/>
          </w:tcPr>
          <w:p w14:paraId="1EBC498D">
            <w:pPr>
              <w:pStyle w:val="8"/>
              <w:keepNext/>
              <w:spacing w:line="440" w:lineRule="exact"/>
              <w:ind w:left="63" w:right="63"/>
              <w:jc w:val="center"/>
              <w:rPr>
                <w:rFonts w:hint="eastAsia" w:ascii="宋体" w:hAnsi="宋体" w:eastAsia="宋体" w:cs="宋体"/>
                <w:color w:val="auto"/>
                <w:kern w:val="2"/>
                <w:sz w:val="24"/>
                <w:szCs w:val="24"/>
                <w:highlight w:val="none"/>
              </w:rPr>
            </w:pPr>
          </w:p>
        </w:tc>
      </w:tr>
      <w:tr w14:paraId="32A352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42" w:hRule="atLeast"/>
        </w:trPr>
        <w:tc>
          <w:tcPr>
            <w:tcW w:w="1045" w:type="dxa"/>
            <w:noWrap w:val="0"/>
            <w:vAlign w:val="center"/>
          </w:tcPr>
          <w:p w14:paraId="3DBBF396">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25" w:type="dxa"/>
            <w:noWrap w:val="0"/>
            <w:vAlign w:val="center"/>
          </w:tcPr>
          <w:p w14:paraId="726EFB4C">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050" w:type="dxa"/>
            <w:noWrap w:val="0"/>
            <w:vAlign w:val="center"/>
          </w:tcPr>
          <w:p w14:paraId="712392F5">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22" w:type="dxa"/>
            <w:noWrap w:val="0"/>
            <w:vAlign w:val="center"/>
          </w:tcPr>
          <w:p w14:paraId="0747AEB6">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600" w:type="dxa"/>
            <w:noWrap w:val="0"/>
            <w:vAlign w:val="center"/>
          </w:tcPr>
          <w:p w14:paraId="51AFC6AF">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713" w:type="dxa"/>
            <w:noWrap w:val="0"/>
            <w:vAlign w:val="center"/>
          </w:tcPr>
          <w:p w14:paraId="211FFB08">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012" w:type="dxa"/>
            <w:noWrap w:val="0"/>
            <w:vAlign w:val="center"/>
          </w:tcPr>
          <w:p w14:paraId="0920EAE2">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163" w:type="dxa"/>
            <w:noWrap w:val="0"/>
            <w:vAlign w:val="center"/>
          </w:tcPr>
          <w:p w14:paraId="4155A119">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331" w:type="dxa"/>
            <w:noWrap w:val="0"/>
            <w:vAlign w:val="center"/>
          </w:tcPr>
          <w:p w14:paraId="0576A031">
            <w:pPr>
              <w:pStyle w:val="8"/>
              <w:keepNext/>
              <w:spacing w:line="440" w:lineRule="exact"/>
              <w:ind w:left="63" w:right="63"/>
              <w:jc w:val="center"/>
              <w:rPr>
                <w:rFonts w:hint="eastAsia" w:ascii="宋体" w:hAnsi="宋体" w:eastAsia="宋体" w:cs="宋体"/>
                <w:color w:val="auto"/>
                <w:kern w:val="2"/>
                <w:sz w:val="24"/>
                <w:szCs w:val="24"/>
                <w:highlight w:val="none"/>
              </w:rPr>
            </w:pPr>
          </w:p>
        </w:tc>
        <w:tc>
          <w:tcPr>
            <w:tcW w:w="1173" w:type="dxa"/>
            <w:noWrap w:val="0"/>
            <w:vAlign w:val="center"/>
          </w:tcPr>
          <w:p w14:paraId="499BD15A">
            <w:pPr>
              <w:pStyle w:val="8"/>
              <w:keepNext/>
              <w:spacing w:line="440" w:lineRule="exact"/>
              <w:ind w:left="63" w:right="63"/>
              <w:jc w:val="center"/>
              <w:rPr>
                <w:rFonts w:hint="eastAsia" w:ascii="宋体" w:hAnsi="宋体" w:eastAsia="宋体" w:cs="宋体"/>
                <w:color w:val="auto"/>
                <w:kern w:val="2"/>
                <w:sz w:val="24"/>
                <w:szCs w:val="24"/>
                <w:highlight w:val="none"/>
              </w:rPr>
            </w:pPr>
          </w:p>
        </w:tc>
      </w:tr>
    </w:tbl>
    <w:p w14:paraId="270AD3FA">
      <w:pPr>
        <w:spacing w:line="440" w:lineRule="exact"/>
        <w:rPr>
          <w:rFonts w:hint="eastAsia" w:ascii="宋体" w:hAnsi="宋体" w:eastAsia="宋体" w:cs="宋体"/>
          <w:b/>
          <w:color w:val="auto"/>
          <w:sz w:val="24"/>
          <w:szCs w:val="24"/>
          <w:highlight w:val="none"/>
        </w:rPr>
        <w:sectPr>
          <w:headerReference r:id="rId8" w:type="first"/>
          <w:footerReference r:id="rId10" w:type="first"/>
          <w:headerReference r:id="rId7" w:type="default"/>
          <w:footerReference r:id="rId9" w:type="default"/>
          <w:pgSz w:w="11906" w:h="16838"/>
          <w:pgMar w:top="1418" w:right="1531" w:bottom="1418" w:left="1554" w:header="851" w:footer="992" w:gutter="0"/>
          <w:pgBorders>
            <w:top w:val="none" w:sz="0" w:space="0"/>
            <w:left w:val="none" w:sz="0" w:space="0"/>
            <w:bottom w:val="none" w:sz="0" w:space="0"/>
            <w:right w:val="none" w:sz="0" w:space="0"/>
          </w:pgBorders>
          <w:pgNumType w:fmt="decimal"/>
          <w:cols w:space="720" w:num="1"/>
          <w:titlePg/>
          <w:docGrid w:type="linesAndChars" w:linePitch="312" w:charSpace="0"/>
        </w:sectPr>
      </w:pPr>
    </w:p>
    <w:p w14:paraId="460ABF36">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1152" w:name="_Toc296503225"/>
      <w:bookmarkStart w:id="1153" w:name="_Toc267261692"/>
      <w:bookmarkStart w:id="1154" w:name="_Toc296891265"/>
      <w:bookmarkStart w:id="1155" w:name="_Toc296347224"/>
      <w:bookmarkStart w:id="1156" w:name="_Toc296891053"/>
      <w:bookmarkStart w:id="1157" w:name="_Toc296944564"/>
      <w:bookmarkStart w:id="1158" w:name="_Toc296346726"/>
      <w:r>
        <w:rPr>
          <w:rFonts w:hint="eastAsia" w:ascii="宋体" w:hAnsi="宋体" w:eastAsia="宋体" w:cs="宋体"/>
          <w:color w:val="auto"/>
          <w:sz w:val="24"/>
          <w:szCs w:val="24"/>
          <w:highlight w:val="none"/>
        </w:rPr>
        <w:t>件2：</w:t>
      </w:r>
    </w:p>
    <w:bookmarkEnd w:id="1152"/>
    <w:bookmarkEnd w:id="1153"/>
    <w:bookmarkEnd w:id="1154"/>
    <w:bookmarkEnd w:id="1155"/>
    <w:bookmarkEnd w:id="1156"/>
    <w:bookmarkEnd w:id="1157"/>
    <w:bookmarkEnd w:id="1158"/>
    <w:p w14:paraId="6A6C5397">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发包人供应材料设备一览表</w:t>
      </w:r>
    </w:p>
    <w:tbl>
      <w:tblPr>
        <w:tblStyle w:val="12"/>
        <w:tblW w:w="999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62"/>
        <w:gridCol w:w="1256"/>
        <w:gridCol w:w="1149"/>
        <w:gridCol w:w="940"/>
        <w:gridCol w:w="851"/>
        <w:gridCol w:w="1044"/>
        <w:gridCol w:w="1108"/>
        <w:gridCol w:w="825"/>
        <w:gridCol w:w="1139"/>
        <w:gridCol w:w="825"/>
      </w:tblGrid>
      <w:tr w14:paraId="39675E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04" w:hRule="atLeast"/>
          <w:jc w:val="center"/>
        </w:trPr>
        <w:tc>
          <w:tcPr>
            <w:tcW w:w="862" w:type="dxa"/>
            <w:tcBorders>
              <w:top w:val="single" w:color="auto" w:sz="12" w:space="0"/>
              <w:bottom w:val="double" w:color="auto" w:sz="6" w:space="0"/>
            </w:tcBorders>
            <w:noWrap w:val="0"/>
            <w:vAlign w:val="center"/>
          </w:tcPr>
          <w:p w14:paraId="1941C7A4">
            <w:pPr>
              <w:pStyle w:val="8"/>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序号</w:t>
            </w:r>
          </w:p>
        </w:tc>
        <w:tc>
          <w:tcPr>
            <w:tcW w:w="1256" w:type="dxa"/>
            <w:tcBorders>
              <w:top w:val="single" w:color="auto" w:sz="12" w:space="0"/>
              <w:bottom w:val="double" w:color="auto" w:sz="6" w:space="0"/>
            </w:tcBorders>
            <w:noWrap w:val="0"/>
            <w:vAlign w:val="center"/>
          </w:tcPr>
          <w:p w14:paraId="50EEC9D8">
            <w:pPr>
              <w:pStyle w:val="8"/>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材料、</w:t>
            </w:r>
          </w:p>
          <w:p w14:paraId="02BD1FC6">
            <w:pPr>
              <w:pStyle w:val="8"/>
              <w:keepNext/>
              <w:spacing w:line="440" w:lineRule="exact"/>
              <w:ind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设备品种</w:t>
            </w:r>
          </w:p>
        </w:tc>
        <w:tc>
          <w:tcPr>
            <w:tcW w:w="1149" w:type="dxa"/>
            <w:tcBorders>
              <w:top w:val="single" w:color="auto" w:sz="12" w:space="0"/>
              <w:bottom w:val="double" w:color="auto" w:sz="6" w:space="0"/>
            </w:tcBorders>
            <w:noWrap w:val="0"/>
            <w:vAlign w:val="center"/>
          </w:tcPr>
          <w:p w14:paraId="5E1AA020">
            <w:pPr>
              <w:pStyle w:val="8"/>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规格型号</w:t>
            </w:r>
          </w:p>
        </w:tc>
        <w:tc>
          <w:tcPr>
            <w:tcW w:w="940" w:type="dxa"/>
            <w:tcBorders>
              <w:top w:val="single" w:color="auto" w:sz="12" w:space="0"/>
              <w:bottom w:val="double" w:color="auto" w:sz="6" w:space="0"/>
            </w:tcBorders>
            <w:noWrap w:val="0"/>
            <w:vAlign w:val="center"/>
          </w:tcPr>
          <w:p w14:paraId="6999E99E">
            <w:pPr>
              <w:pStyle w:val="8"/>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单位</w:t>
            </w:r>
          </w:p>
        </w:tc>
        <w:tc>
          <w:tcPr>
            <w:tcW w:w="851" w:type="dxa"/>
            <w:tcBorders>
              <w:top w:val="single" w:color="auto" w:sz="12" w:space="0"/>
              <w:bottom w:val="double" w:color="auto" w:sz="6" w:space="0"/>
            </w:tcBorders>
            <w:noWrap w:val="0"/>
            <w:vAlign w:val="center"/>
          </w:tcPr>
          <w:p w14:paraId="369BE0C6">
            <w:pPr>
              <w:pStyle w:val="8"/>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数量</w:t>
            </w:r>
          </w:p>
        </w:tc>
        <w:tc>
          <w:tcPr>
            <w:tcW w:w="1044" w:type="dxa"/>
            <w:tcBorders>
              <w:top w:val="single" w:color="auto" w:sz="12" w:space="0"/>
              <w:bottom w:val="double" w:color="auto" w:sz="6" w:space="0"/>
            </w:tcBorders>
            <w:noWrap w:val="0"/>
            <w:vAlign w:val="center"/>
          </w:tcPr>
          <w:p w14:paraId="27174A5B">
            <w:pPr>
              <w:pStyle w:val="8"/>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单价（元）</w:t>
            </w:r>
          </w:p>
        </w:tc>
        <w:tc>
          <w:tcPr>
            <w:tcW w:w="1108" w:type="dxa"/>
            <w:tcBorders>
              <w:top w:val="single" w:color="auto" w:sz="12" w:space="0"/>
              <w:bottom w:val="double" w:color="auto" w:sz="6" w:space="0"/>
            </w:tcBorders>
            <w:noWrap w:val="0"/>
            <w:vAlign w:val="center"/>
          </w:tcPr>
          <w:p w14:paraId="4F163596">
            <w:pPr>
              <w:pStyle w:val="8"/>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质量等级</w:t>
            </w:r>
          </w:p>
        </w:tc>
        <w:tc>
          <w:tcPr>
            <w:tcW w:w="825" w:type="dxa"/>
            <w:tcBorders>
              <w:top w:val="single" w:color="auto" w:sz="12" w:space="0"/>
              <w:bottom w:val="double" w:color="auto" w:sz="6" w:space="0"/>
            </w:tcBorders>
            <w:noWrap w:val="0"/>
            <w:vAlign w:val="center"/>
          </w:tcPr>
          <w:p w14:paraId="3DE608A3">
            <w:pPr>
              <w:pStyle w:val="8"/>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供应时间</w:t>
            </w:r>
          </w:p>
        </w:tc>
        <w:tc>
          <w:tcPr>
            <w:tcW w:w="1139" w:type="dxa"/>
            <w:tcBorders>
              <w:top w:val="single" w:color="auto" w:sz="12" w:space="0"/>
              <w:bottom w:val="double" w:color="auto" w:sz="6" w:space="0"/>
            </w:tcBorders>
            <w:noWrap w:val="0"/>
            <w:vAlign w:val="center"/>
          </w:tcPr>
          <w:p w14:paraId="5FED7C97">
            <w:pPr>
              <w:pStyle w:val="8"/>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送达地点</w:t>
            </w:r>
          </w:p>
        </w:tc>
        <w:tc>
          <w:tcPr>
            <w:tcW w:w="825" w:type="dxa"/>
            <w:tcBorders>
              <w:top w:val="single" w:color="auto" w:sz="12" w:space="0"/>
              <w:bottom w:val="double" w:color="auto" w:sz="6" w:space="0"/>
            </w:tcBorders>
            <w:noWrap w:val="0"/>
            <w:vAlign w:val="center"/>
          </w:tcPr>
          <w:p w14:paraId="7E3F24DA">
            <w:pPr>
              <w:pStyle w:val="8"/>
              <w:keepNext/>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备注</w:t>
            </w:r>
          </w:p>
        </w:tc>
      </w:tr>
      <w:tr w14:paraId="512519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tcBorders>
              <w:top w:val="double" w:color="auto" w:sz="6" w:space="0"/>
              <w:bottom w:val="single" w:color="auto" w:sz="6" w:space="0"/>
            </w:tcBorders>
            <w:noWrap w:val="0"/>
            <w:vAlign w:val="center"/>
          </w:tcPr>
          <w:p w14:paraId="1C8C5DED">
            <w:pPr>
              <w:pStyle w:val="8"/>
              <w:keepNext/>
              <w:spacing w:line="440" w:lineRule="exact"/>
              <w:ind w:left="63" w:right="63"/>
              <w:rPr>
                <w:rFonts w:hint="eastAsia" w:ascii="宋体" w:hAnsi="宋体" w:eastAsia="宋体" w:cs="宋体"/>
                <w:color w:val="auto"/>
                <w:kern w:val="2"/>
                <w:sz w:val="24"/>
                <w:szCs w:val="24"/>
                <w:highlight w:val="none"/>
              </w:rPr>
            </w:pPr>
          </w:p>
        </w:tc>
        <w:tc>
          <w:tcPr>
            <w:tcW w:w="1256" w:type="dxa"/>
            <w:tcBorders>
              <w:top w:val="double" w:color="auto" w:sz="6" w:space="0"/>
              <w:bottom w:val="single" w:color="auto" w:sz="6" w:space="0"/>
            </w:tcBorders>
            <w:noWrap w:val="0"/>
            <w:vAlign w:val="center"/>
          </w:tcPr>
          <w:p w14:paraId="78642CB2">
            <w:pPr>
              <w:pStyle w:val="8"/>
              <w:keepNext/>
              <w:spacing w:line="440" w:lineRule="exact"/>
              <w:ind w:left="63" w:right="63"/>
              <w:rPr>
                <w:rFonts w:hint="eastAsia" w:ascii="宋体" w:hAnsi="宋体" w:eastAsia="宋体" w:cs="宋体"/>
                <w:color w:val="auto"/>
                <w:kern w:val="2"/>
                <w:sz w:val="24"/>
                <w:szCs w:val="24"/>
                <w:highlight w:val="none"/>
              </w:rPr>
            </w:pPr>
          </w:p>
        </w:tc>
        <w:tc>
          <w:tcPr>
            <w:tcW w:w="1149" w:type="dxa"/>
            <w:tcBorders>
              <w:top w:val="double" w:color="auto" w:sz="6" w:space="0"/>
              <w:bottom w:val="single" w:color="auto" w:sz="6" w:space="0"/>
            </w:tcBorders>
            <w:noWrap w:val="0"/>
            <w:vAlign w:val="center"/>
          </w:tcPr>
          <w:p w14:paraId="07FF05EA">
            <w:pPr>
              <w:pStyle w:val="8"/>
              <w:keepNext/>
              <w:spacing w:line="440" w:lineRule="exact"/>
              <w:ind w:left="63" w:right="63"/>
              <w:rPr>
                <w:rFonts w:hint="eastAsia" w:ascii="宋体" w:hAnsi="宋体" w:eastAsia="宋体" w:cs="宋体"/>
                <w:color w:val="auto"/>
                <w:kern w:val="2"/>
                <w:sz w:val="24"/>
                <w:szCs w:val="24"/>
                <w:highlight w:val="none"/>
              </w:rPr>
            </w:pPr>
          </w:p>
        </w:tc>
        <w:tc>
          <w:tcPr>
            <w:tcW w:w="940" w:type="dxa"/>
            <w:tcBorders>
              <w:top w:val="double" w:color="auto" w:sz="6" w:space="0"/>
              <w:bottom w:val="single" w:color="auto" w:sz="6" w:space="0"/>
            </w:tcBorders>
            <w:noWrap w:val="0"/>
            <w:vAlign w:val="center"/>
          </w:tcPr>
          <w:p w14:paraId="27FF0DE6">
            <w:pPr>
              <w:pStyle w:val="8"/>
              <w:keepNext/>
              <w:spacing w:line="440" w:lineRule="exact"/>
              <w:ind w:left="63" w:right="63"/>
              <w:rPr>
                <w:rFonts w:hint="eastAsia" w:ascii="宋体" w:hAnsi="宋体" w:eastAsia="宋体" w:cs="宋体"/>
                <w:color w:val="auto"/>
                <w:kern w:val="2"/>
                <w:sz w:val="24"/>
                <w:szCs w:val="24"/>
                <w:highlight w:val="none"/>
              </w:rPr>
            </w:pPr>
          </w:p>
        </w:tc>
        <w:tc>
          <w:tcPr>
            <w:tcW w:w="851" w:type="dxa"/>
            <w:tcBorders>
              <w:top w:val="double" w:color="auto" w:sz="6" w:space="0"/>
              <w:bottom w:val="single" w:color="auto" w:sz="6" w:space="0"/>
            </w:tcBorders>
            <w:noWrap w:val="0"/>
            <w:vAlign w:val="center"/>
          </w:tcPr>
          <w:p w14:paraId="1B71C9BE">
            <w:pPr>
              <w:pStyle w:val="8"/>
              <w:keepNext/>
              <w:spacing w:line="440" w:lineRule="exact"/>
              <w:ind w:left="63" w:right="63"/>
              <w:rPr>
                <w:rFonts w:hint="eastAsia" w:ascii="宋体" w:hAnsi="宋体" w:eastAsia="宋体" w:cs="宋体"/>
                <w:color w:val="auto"/>
                <w:kern w:val="2"/>
                <w:sz w:val="24"/>
                <w:szCs w:val="24"/>
                <w:highlight w:val="none"/>
              </w:rPr>
            </w:pPr>
          </w:p>
        </w:tc>
        <w:tc>
          <w:tcPr>
            <w:tcW w:w="1044" w:type="dxa"/>
            <w:tcBorders>
              <w:top w:val="double" w:color="auto" w:sz="6" w:space="0"/>
              <w:bottom w:val="single" w:color="auto" w:sz="6" w:space="0"/>
            </w:tcBorders>
            <w:noWrap w:val="0"/>
            <w:vAlign w:val="center"/>
          </w:tcPr>
          <w:p w14:paraId="3B451273">
            <w:pPr>
              <w:pStyle w:val="8"/>
              <w:keepNext/>
              <w:spacing w:line="440" w:lineRule="exact"/>
              <w:ind w:left="63" w:right="63"/>
              <w:rPr>
                <w:rFonts w:hint="eastAsia" w:ascii="宋体" w:hAnsi="宋体" w:eastAsia="宋体" w:cs="宋体"/>
                <w:color w:val="auto"/>
                <w:kern w:val="2"/>
                <w:sz w:val="24"/>
                <w:szCs w:val="24"/>
                <w:highlight w:val="none"/>
              </w:rPr>
            </w:pPr>
          </w:p>
        </w:tc>
        <w:tc>
          <w:tcPr>
            <w:tcW w:w="1108" w:type="dxa"/>
            <w:tcBorders>
              <w:top w:val="double" w:color="auto" w:sz="6" w:space="0"/>
              <w:bottom w:val="single" w:color="auto" w:sz="6" w:space="0"/>
            </w:tcBorders>
            <w:noWrap w:val="0"/>
            <w:vAlign w:val="center"/>
          </w:tcPr>
          <w:p w14:paraId="5E7D65ED">
            <w:pPr>
              <w:pStyle w:val="8"/>
              <w:keepNext/>
              <w:spacing w:line="440" w:lineRule="exact"/>
              <w:ind w:left="63" w:right="63"/>
              <w:rPr>
                <w:rFonts w:hint="eastAsia" w:ascii="宋体" w:hAnsi="宋体" w:eastAsia="宋体" w:cs="宋体"/>
                <w:color w:val="auto"/>
                <w:kern w:val="2"/>
                <w:sz w:val="24"/>
                <w:szCs w:val="24"/>
                <w:highlight w:val="none"/>
              </w:rPr>
            </w:pPr>
          </w:p>
        </w:tc>
        <w:tc>
          <w:tcPr>
            <w:tcW w:w="825" w:type="dxa"/>
            <w:tcBorders>
              <w:top w:val="double" w:color="auto" w:sz="6" w:space="0"/>
              <w:bottom w:val="single" w:color="auto" w:sz="6" w:space="0"/>
            </w:tcBorders>
            <w:noWrap w:val="0"/>
            <w:vAlign w:val="center"/>
          </w:tcPr>
          <w:p w14:paraId="29110960">
            <w:pPr>
              <w:pStyle w:val="8"/>
              <w:keepNext/>
              <w:spacing w:line="440" w:lineRule="exact"/>
              <w:ind w:left="63" w:right="63"/>
              <w:rPr>
                <w:rFonts w:hint="eastAsia" w:ascii="宋体" w:hAnsi="宋体" w:eastAsia="宋体" w:cs="宋体"/>
                <w:color w:val="auto"/>
                <w:kern w:val="2"/>
                <w:sz w:val="24"/>
                <w:szCs w:val="24"/>
                <w:highlight w:val="none"/>
              </w:rPr>
            </w:pPr>
          </w:p>
        </w:tc>
        <w:tc>
          <w:tcPr>
            <w:tcW w:w="1139" w:type="dxa"/>
            <w:tcBorders>
              <w:top w:val="double" w:color="auto" w:sz="6" w:space="0"/>
              <w:bottom w:val="single" w:color="auto" w:sz="6" w:space="0"/>
            </w:tcBorders>
            <w:noWrap w:val="0"/>
            <w:vAlign w:val="center"/>
          </w:tcPr>
          <w:p w14:paraId="242EF2BE">
            <w:pPr>
              <w:pStyle w:val="8"/>
              <w:keepNext/>
              <w:spacing w:line="440" w:lineRule="exact"/>
              <w:ind w:left="63" w:right="63"/>
              <w:rPr>
                <w:rFonts w:hint="eastAsia" w:ascii="宋体" w:hAnsi="宋体" w:eastAsia="宋体" w:cs="宋体"/>
                <w:color w:val="auto"/>
                <w:kern w:val="2"/>
                <w:sz w:val="24"/>
                <w:szCs w:val="24"/>
                <w:highlight w:val="none"/>
              </w:rPr>
            </w:pPr>
          </w:p>
        </w:tc>
        <w:tc>
          <w:tcPr>
            <w:tcW w:w="825" w:type="dxa"/>
            <w:tcBorders>
              <w:top w:val="double" w:color="auto" w:sz="6" w:space="0"/>
              <w:bottom w:val="single" w:color="auto" w:sz="6" w:space="0"/>
            </w:tcBorders>
            <w:noWrap w:val="0"/>
            <w:vAlign w:val="center"/>
          </w:tcPr>
          <w:p w14:paraId="2070BB8D">
            <w:pPr>
              <w:pStyle w:val="8"/>
              <w:keepNext/>
              <w:spacing w:line="440" w:lineRule="exact"/>
              <w:ind w:left="63" w:right="63"/>
              <w:rPr>
                <w:rFonts w:hint="eastAsia" w:ascii="宋体" w:hAnsi="宋体" w:eastAsia="宋体" w:cs="宋体"/>
                <w:color w:val="auto"/>
                <w:kern w:val="2"/>
                <w:sz w:val="24"/>
                <w:szCs w:val="24"/>
                <w:highlight w:val="none"/>
              </w:rPr>
            </w:pPr>
          </w:p>
        </w:tc>
      </w:tr>
      <w:tr w14:paraId="04AA10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tcBorders>
              <w:top w:val="nil"/>
            </w:tcBorders>
            <w:noWrap w:val="0"/>
            <w:vAlign w:val="center"/>
          </w:tcPr>
          <w:p w14:paraId="6793B739">
            <w:pPr>
              <w:pStyle w:val="8"/>
              <w:keepNext/>
              <w:spacing w:line="440" w:lineRule="exact"/>
              <w:ind w:left="63" w:right="63"/>
              <w:rPr>
                <w:rFonts w:hint="eastAsia" w:ascii="宋体" w:hAnsi="宋体" w:eastAsia="宋体" w:cs="宋体"/>
                <w:color w:val="auto"/>
                <w:kern w:val="2"/>
                <w:sz w:val="24"/>
                <w:szCs w:val="24"/>
                <w:highlight w:val="none"/>
              </w:rPr>
            </w:pPr>
          </w:p>
        </w:tc>
        <w:tc>
          <w:tcPr>
            <w:tcW w:w="1256" w:type="dxa"/>
            <w:tcBorders>
              <w:top w:val="nil"/>
            </w:tcBorders>
            <w:noWrap w:val="0"/>
            <w:vAlign w:val="center"/>
          </w:tcPr>
          <w:p w14:paraId="0A62BBA7">
            <w:pPr>
              <w:pStyle w:val="8"/>
              <w:keepNext/>
              <w:spacing w:line="440" w:lineRule="exact"/>
              <w:ind w:left="63" w:right="63"/>
              <w:rPr>
                <w:rFonts w:hint="eastAsia" w:ascii="宋体" w:hAnsi="宋体" w:eastAsia="宋体" w:cs="宋体"/>
                <w:color w:val="auto"/>
                <w:kern w:val="2"/>
                <w:sz w:val="24"/>
                <w:szCs w:val="24"/>
                <w:highlight w:val="none"/>
              </w:rPr>
            </w:pPr>
          </w:p>
        </w:tc>
        <w:tc>
          <w:tcPr>
            <w:tcW w:w="1149" w:type="dxa"/>
            <w:tcBorders>
              <w:top w:val="nil"/>
            </w:tcBorders>
            <w:noWrap w:val="0"/>
            <w:vAlign w:val="center"/>
          </w:tcPr>
          <w:p w14:paraId="76A92A6D">
            <w:pPr>
              <w:pStyle w:val="8"/>
              <w:keepNext/>
              <w:spacing w:line="440" w:lineRule="exact"/>
              <w:ind w:left="63" w:right="63"/>
              <w:rPr>
                <w:rFonts w:hint="eastAsia" w:ascii="宋体" w:hAnsi="宋体" w:eastAsia="宋体" w:cs="宋体"/>
                <w:color w:val="auto"/>
                <w:kern w:val="2"/>
                <w:sz w:val="24"/>
                <w:szCs w:val="24"/>
                <w:highlight w:val="none"/>
              </w:rPr>
            </w:pPr>
          </w:p>
        </w:tc>
        <w:tc>
          <w:tcPr>
            <w:tcW w:w="940" w:type="dxa"/>
            <w:tcBorders>
              <w:top w:val="nil"/>
            </w:tcBorders>
            <w:noWrap w:val="0"/>
            <w:vAlign w:val="center"/>
          </w:tcPr>
          <w:p w14:paraId="0F5AFCC1">
            <w:pPr>
              <w:pStyle w:val="8"/>
              <w:keepNext/>
              <w:spacing w:line="440" w:lineRule="exact"/>
              <w:ind w:left="63" w:right="63"/>
              <w:rPr>
                <w:rFonts w:hint="eastAsia" w:ascii="宋体" w:hAnsi="宋体" w:eastAsia="宋体" w:cs="宋体"/>
                <w:color w:val="auto"/>
                <w:kern w:val="2"/>
                <w:sz w:val="24"/>
                <w:szCs w:val="24"/>
                <w:highlight w:val="none"/>
              </w:rPr>
            </w:pPr>
          </w:p>
        </w:tc>
        <w:tc>
          <w:tcPr>
            <w:tcW w:w="851" w:type="dxa"/>
            <w:tcBorders>
              <w:top w:val="nil"/>
            </w:tcBorders>
            <w:noWrap w:val="0"/>
            <w:vAlign w:val="center"/>
          </w:tcPr>
          <w:p w14:paraId="5A726FA0">
            <w:pPr>
              <w:pStyle w:val="8"/>
              <w:keepNext/>
              <w:spacing w:line="440" w:lineRule="exact"/>
              <w:ind w:left="63" w:right="63"/>
              <w:rPr>
                <w:rFonts w:hint="eastAsia" w:ascii="宋体" w:hAnsi="宋体" w:eastAsia="宋体" w:cs="宋体"/>
                <w:color w:val="auto"/>
                <w:kern w:val="2"/>
                <w:sz w:val="24"/>
                <w:szCs w:val="24"/>
                <w:highlight w:val="none"/>
              </w:rPr>
            </w:pPr>
          </w:p>
        </w:tc>
        <w:tc>
          <w:tcPr>
            <w:tcW w:w="1044" w:type="dxa"/>
            <w:tcBorders>
              <w:top w:val="nil"/>
            </w:tcBorders>
            <w:noWrap w:val="0"/>
            <w:vAlign w:val="center"/>
          </w:tcPr>
          <w:p w14:paraId="392E2E03">
            <w:pPr>
              <w:pStyle w:val="8"/>
              <w:keepNext/>
              <w:spacing w:line="440" w:lineRule="exact"/>
              <w:ind w:left="63" w:right="63"/>
              <w:rPr>
                <w:rFonts w:hint="eastAsia" w:ascii="宋体" w:hAnsi="宋体" w:eastAsia="宋体" w:cs="宋体"/>
                <w:color w:val="auto"/>
                <w:kern w:val="2"/>
                <w:sz w:val="24"/>
                <w:szCs w:val="24"/>
                <w:highlight w:val="none"/>
              </w:rPr>
            </w:pPr>
          </w:p>
        </w:tc>
        <w:tc>
          <w:tcPr>
            <w:tcW w:w="1108" w:type="dxa"/>
            <w:tcBorders>
              <w:top w:val="nil"/>
            </w:tcBorders>
            <w:noWrap w:val="0"/>
            <w:vAlign w:val="center"/>
          </w:tcPr>
          <w:p w14:paraId="1FCF523A">
            <w:pPr>
              <w:pStyle w:val="8"/>
              <w:keepNext/>
              <w:spacing w:line="440" w:lineRule="exact"/>
              <w:ind w:left="63" w:right="63"/>
              <w:rPr>
                <w:rFonts w:hint="eastAsia" w:ascii="宋体" w:hAnsi="宋体" w:eastAsia="宋体" w:cs="宋体"/>
                <w:color w:val="auto"/>
                <w:kern w:val="2"/>
                <w:sz w:val="24"/>
                <w:szCs w:val="24"/>
                <w:highlight w:val="none"/>
              </w:rPr>
            </w:pPr>
          </w:p>
        </w:tc>
        <w:tc>
          <w:tcPr>
            <w:tcW w:w="825" w:type="dxa"/>
            <w:tcBorders>
              <w:top w:val="nil"/>
            </w:tcBorders>
            <w:noWrap w:val="0"/>
            <w:vAlign w:val="center"/>
          </w:tcPr>
          <w:p w14:paraId="356D125D">
            <w:pPr>
              <w:pStyle w:val="8"/>
              <w:keepNext/>
              <w:spacing w:line="440" w:lineRule="exact"/>
              <w:ind w:left="63" w:right="63"/>
              <w:rPr>
                <w:rFonts w:hint="eastAsia" w:ascii="宋体" w:hAnsi="宋体" w:eastAsia="宋体" w:cs="宋体"/>
                <w:color w:val="auto"/>
                <w:kern w:val="2"/>
                <w:sz w:val="24"/>
                <w:szCs w:val="24"/>
                <w:highlight w:val="none"/>
              </w:rPr>
            </w:pPr>
          </w:p>
        </w:tc>
        <w:tc>
          <w:tcPr>
            <w:tcW w:w="1139" w:type="dxa"/>
            <w:tcBorders>
              <w:top w:val="nil"/>
            </w:tcBorders>
            <w:noWrap w:val="0"/>
            <w:vAlign w:val="center"/>
          </w:tcPr>
          <w:p w14:paraId="6A0138D6">
            <w:pPr>
              <w:pStyle w:val="8"/>
              <w:keepNext/>
              <w:spacing w:line="440" w:lineRule="exact"/>
              <w:ind w:left="63" w:right="63"/>
              <w:rPr>
                <w:rFonts w:hint="eastAsia" w:ascii="宋体" w:hAnsi="宋体" w:eastAsia="宋体" w:cs="宋体"/>
                <w:color w:val="auto"/>
                <w:kern w:val="2"/>
                <w:sz w:val="24"/>
                <w:szCs w:val="24"/>
                <w:highlight w:val="none"/>
              </w:rPr>
            </w:pPr>
          </w:p>
        </w:tc>
        <w:tc>
          <w:tcPr>
            <w:tcW w:w="825" w:type="dxa"/>
            <w:tcBorders>
              <w:top w:val="nil"/>
            </w:tcBorders>
            <w:noWrap w:val="0"/>
            <w:vAlign w:val="center"/>
          </w:tcPr>
          <w:p w14:paraId="0555E1F9">
            <w:pPr>
              <w:pStyle w:val="8"/>
              <w:keepNext/>
              <w:spacing w:line="440" w:lineRule="exact"/>
              <w:ind w:left="63" w:right="63"/>
              <w:rPr>
                <w:rFonts w:hint="eastAsia" w:ascii="宋体" w:hAnsi="宋体" w:eastAsia="宋体" w:cs="宋体"/>
                <w:color w:val="auto"/>
                <w:kern w:val="2"/>
                <w:sz w:val="24"/>
                <w:szCs w:val="24"/>
                <w:highlight w:val="none"/>
              </w:rPr>
            </w:pPr>
          </w:p>
        </w:tc>
      </w:tr>
      <w:tr w14:paraId="6C3E99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49746B42">
            <w:pPr>
              <w:pStyle w:val="8"/>
              <w:keepNext/>
              <w:spacing w:line="440" w:lineRule="exact"/>
              <w:ind w:left="63" w:right="63"/>
              <w:rPr>
                <w:rFonts w:hint="eastAsia" w:ascii="宋体" w:hAnsi="宋体" w:eastAsia="宋体" w:cs="宋体"/>
                <w:color w:val="auto"/>
                <w:kern w:val="2"/>
                <w:sz w:val="24"/>
                <w:szCs w:val="24"/>
                <w:highlight w:val="none"/>
              </w:rPr>
            </w:pPr>
          </w:p>
        </w:tc>
        <w:tc>
          <w:tcPr>
            <w:tcW w:w="1256" w:type="dxa"/>
            <w:noWrap w:val="0"/>
            <w:vAlign w:val="center"/>
          </w:tcPr>
          <w:p w14:paraId="2482F256">
            <w:pPr>
              <w:pStyle w:val="8"/>
              <w:keepNext/>
              <w:spacing w:line="440" w:lineRule="exact"/>
              <w:ind w:left="63" w:right="63"/>
              <w:rPr>
                <w:rFonts w:hint="eastAsia" w:ascii="宋体" w:hAnsi="宋体" w:eastAsia="宋体" w:cs="宋体"/>
                <w:color w:val="auto"/>
                <w:kern w:val="2"/>
                <w:sz w:val="24"/>
                <w:szCs w:val="24"/>
                <w:highlight w:val="none"/>
              </w:rPr>
            </w:pPr>
          </w:p>
        </w:tc>
        <w:tc>
          <w:tcPr>
            <w:tcW w:w="1149" w:type="dxa"/>
            <w:noWrap w:val="0"/>
            <w:vAlign w:val="center"/>
          </w:tcPr>
          <w:p w14:paraId="4360FCEC">
            <w:pPr>
              <w:pStyle w:val="8"/>
              <w:keepNext/>
              <w:spacing w:line="440" w:lineRule="exact"/>
              <w:ind w:left="63" w:right="63"/>
              <w:rPr>
                <w:rFonts w:hint="eastAsia" w:ascii="宋体" w:hAnsi="宋体" w:eastAsia="宋体" w:cs="宋体"/>
                <w:color w:val="auto"/>
                <w:kern w:val="2"/>
                <w:sz w:val="24"/>
                <w:szCs w:val="24"/>
                <w:highlight w:val="none"/>
              </w:rPr>
            </w:pPr>
          </w:p>
        </w:tc>
        <w:tc>
          <w:tcPr>
            <w:tcW w:w="940" w:type="dxa"/>
            <w:noWrap w:val="0"/>
            <w:vAlign w:val="center"/>
          </w:tcPr>
          <w:p w14:paraId="66E8F156">
            <w:pPr>
              <w:pStyle w:val="8"/>
              <w:keepNext/>
              <w:spacing w:line="440" w:lineRule="exact"/>
              <w:ind w:left="63" w:right="63"/>
              <w:rPr>
                <w:rFonts w:hint="eastAsia" w:ascii="宋体" w:hAnsi="宋体" w:eastAsia="宋体" w:cs="宋体"/>
                <w:color w:val="auto"/>
                <w:kern w:val="2"/>
                <w:sz w:val="24"/>
                <w:szCs w:val="24"/>
                <w:highlight w:val="none"/>
              </w:rPr>
            </w:pPr>
          </w:p>
        </w:tc>
        <w:tc>
          <w:tcPr>
            <w:tcW w:w="851" w:type="dxa"/>
            <w:noWrap w:val="0"/>
            <w:vAlign w:val="center"/>
          </w:tcPr>
          <w:p w14:paraId="2677579D">
            <w:pPr>
              <w:pStyle w:val="8"/>
              <w:keepNext/>
              <w:spacing w:line="440" w:lineRule="exact"/>
              <w:ind w:left="63" w:right="63"/>
              <w:rPr>
                <w:rFonts w:hint="eastAsia" w:ascii="宋体" w:hAnsi="宋体" w:eastAsia="宋体" w:cs="宋体"/>
                <w:color w:val="auto"/>
                <w:kern w:val="2"/>
                <w:sz w:val="24"/>
                <w:szCs w:val="24"/>
                <w:highlight w:val="none"/>
              </w:rPr>
            </w:pPr>
          </w:p>
        </w:tc>
        <w:tc>
          <w:tcPr>
            <w:tcW w:w="1044" w:type="dxa"/>
            <w:noWrap w:val="0"/>
            <w:vAlign w:val="center"/>
          </w:tcPr>
          <w:p w14:paraId="6EED86FE">
            <w:pPr>
              <w:pStyle w:val="8"/>
              <w:keepNext/>
              <w:spacing w:line="440" w:lineRule="exact"/>
              <w:ind w:left="63" w:right="63"/>
              <w:rPr>
                <w:rFonts w:hint="eastAsia" w:ascii="宋体" w:hAnsi="宋体" w:eastAsia="宋体" w:cs="宋体"/>
                <w:color w:val="auto"/>
                <w:kern w:val="2"/>
                <w:sz w:val="24"/>
                <w:szCs w:val="24"/>
                <w:highlight w:val="none"/>
              </w:rPr>
            </w:pPr>
          </w:p>
        </w:tc>
        <w:tc>
          <w:tcPr>
            <w:tcW w:w="1108" w:type="dxa"/>
            <w:noWrap w:val="0"/>
            <w:vAlign w:val="center"/>
          </w:tcPr>
          <w:p w14:paraId="035BA394">
            <w:pPr>
              <w:pStyle w:val="8"/>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048C9569">
            <w:pPr>
              <w:pStyle w:val="8"/>
              <w:keepNext/>
              <w:spacing w:line="440" w:lineRule="exact"/>
              <w:ind w:left="63" w:right="63"/>
              <w:rPr>
                <w:rFonts w:hint="eastAsia" w:ascii="宋体" w:hAnsi="宋体" w:eastAsia="宋体" w:cs="宋体"/>
                <w:color w:val="auto"/>
                <w:kern w:val="2"/>
                <w:sz w:val="24"/>
                <w:szCs w:val="24"/>
                <w:highlight w:val="none"/>
              </w:rPr>
            </w:pPr>
          </w:p>
        </w:tc>
        <w:tc>
          <w:tcPr>
            <w:tcW w:w="1139" w:type="dxa"/>
            <w:noWrap w:val="0"/>
            <w:vAlign w:val="center"/>
          </w:tcPr>
          <w:p w14:paraId="291E3B55">
            <w:pPr>
              <w:pStyle w:val="8"/>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1BB1DA97">
            <w:pPr>
              <w:pStyle w:val="8"/>
              <w:keepNext/>
              <w:spacing w:line="440" w:lineRule="exact"/>
              <w:ind w:left="63" w:right="63"/>
              <w:rPr>
                <w:rFonts w:hint="eastAsia" w:ascii="宋体" w:hAnsi="宋体" w:eastAsia="宋体" w:cs="宋体"/>
                <w:color w:val="auto"/>
                <w:kern w:val="2"/>
                <w:sz w:val="24"/>
                <w:szCs w:val="24"/>
                <w:highlight w:val="none"/>
              </w:rPr>
            </w:pPr>
          </w:p>
        </w:tc>
      </w:tr>
      <w:tr w14:paraId="5AF406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76B25BF0">
            <w:pPr>
              <w:pStyle w:val="8"/>
              <w:keepNext/>
              <w:spacing w:line="440" w:lineRule="exact"/>
              <w:ind w:left="63" w:right="63"/>
              <w:rPr>
                <w:rFonts w:hint="eastAsia" w:ascii="宋体" w:hAnsi="宋体" w:eastAsia="宋体" w:cs="宋体"/>
                <w:color w:val="auto"/>
                <w:kern w:val="2"/>
                <w:sz w:val="24"/>
                <w:szCs w:val="24"/>
                <w:highlight w:val="none"/>
              </w:rPr>
            </w:pPr>
          </w:p>
        </w:tc>
        <w:tc>
          <w:tcPr>
            <w:tcW w:w="1256" w:type="dxa"/>
            <w:noWrap w:val="0"/>
            <w:vAlign w:val="center"/>
          </w:tcPr>
          <w:p w14:paraId="78DB9CFD">
            <w:pPr>
              <w:pStyle w:val="8"/>
              <w:keepNext/>
              <w:spacing w:line="440" w:lineRule="exact"/>
              <w:ind w:left="63" w:right="63"/>
              <w:rPr>
                <w:rFonts w:hint="eastAsia" w:ascii="宋体" w:hAnsi="宋体" w:eastAsia="宋体" w:cs="宋体"/>
                <w:color w:val="auto"/>
                <w:kern w:val="2"/>
                <w:sz w:val="24"/>
                <w:szCs w:val="24"/>
                <w:highlight w:val="none"/>
              </w:rPr>
            </w:pPr>
          </w:p>
        </w:tc>
        <w:tc>
          <w:tcPr>
            <w:tcW w:w="1149" w:type="dxa"/>
            <w:noWrap w:val="0"/>
            <w:vAlign w:val="center"/>
          </w:tcPr>
          <w:p w14:paraId="7F63152F">
            <w:pPr>
              <w:pStyle w:val="8"/>
              <w:keepNext/>
              <w:spacing w:line="440" w:lineRule="exact"/>
              <w:ind w:left="63" w:right="63"/>
              <w:rPr>
                <w:rFonts w:hint="eastAsia" w:ascii="宋体" w:hAnsi="宋体" w:eastAsia="宋体" w:cs="宋体"/>
                <w:color w:val="auto"/>
                <w:kern w:val="2"/>
                <w:sz w:val="24"/>
                <w:szCs w:val="24"/>
                <w:highlight w:val="none"/>
              </w:rPr>
            </w:pPr>
          </w:p>
        </w:tc>
        <w:tc>
          <w:tcPr>
            <w:tcW w:w="940" w:type="dxa"/>
            <w:noWrap w:val="0"/>
            <w:vAlign w:val="center"/>
          </w:tcPr>
          <w:p w14:paraId="597976F1">
            <w:pPr>
              <w:pStyle w:val="8"/>
              <w:keepNext/>
              <w:spacing w:line="440" w:lineRule="exact"/>
              <w:ind w:left="63" w:right="63"/>
              <w:rPr>
                <w:rFonts w:hint="eastAsia" w:ascii="宋体" w:hAnsi="宋体" w:eastAsia="宋体" w:cs="宋体"/>
                <w:color w:val="auto"/>
                <w:kern w:val="2"/>
                <w:sz w:val="24"/>
                <w:szCs w:val="24"/>
                <w:highlight w:val="none"/>
              </w:rPr>
            </w:pPr>
          </w:p>
        </w:tc>
        <w:tc>
          <w:tcPr>
            <w:tcW w:w="851" w:type="dxa"/>
            <w:noWrap w:val="0"/>
            <w:vAlign w:val="center"/>
          </w:tcPr>
          <w:p w14:paraId="73488A17">
            <w:pPr>
              <w:pStyle w:val="8"/>
              <w:keepNext/>
              <w:spacing w:line="440" w:lineRule="exact"/>
              <w:ind w:left="63" w:right="63"/>
              <w:rPr>
                <w:rFonts w:hint="eastAsia" w:ascii="宋体" w:hAnsi="宋体" w:eastAsia="宋体" w:cs="宋体"/>
                <w:color w:val="auto"/>
                <w:kern w:val="2"/>
                <w:sz w:val="24"/>
                <w:szCs w:val="24"/>
                <w:highlight w:val="none"/>
              </w:rPr>
            </w:pPr>
          </w:p>
        </w:tc>
        <w:tc>
          <w:tcPr>
            <w:tcW w:w="1044" w:type="dxa"/>
            <w:noWrap w:val="0"/>
            <w:vAlign w:val="center"/>
          </w:tcPr>
          <w:p w14:paraId="74CBE677">
            <w:pPr>
              <w:pStyle w:val="8"/>
              <w:keepNext/>
              <w:spacing w:line="440" w:lineRule="exact"/>
              <w:ind w:left="63" w:right="63"/>
              <w:rPr>
                <w:rFonts w:hint="eastAsia" w:ascii="宋体" w:hAnsi="宋体" w:eastAsia="宋体" w:cs="宋体"/>
                <w:color w:val="auto"/>
                <w:kern w:val="2"/>
                <w:sz w:val="24"/>
                <w:szCs w:val="24"/>
                <w:highlight w:val="none"/>
              </w:rPr>
            </w:pPr>
          </w:p>
        </w:tc>
        <w:tc>
          <w:tcPr>
            <w:tcW w:w="1108" w:type="dxa"/>
            <w:noWrap w:val="0"/>
            <w:vAlign w:val="center"/>
          </w:tcPr>
          <w:p w14:paraId="3490E5BE">
            <w:pPr>
              <w:pStyle w:val="8"/>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7323680D">
            <w:pPr>
              <w:pStyle w:val="8"/>
              <w:keepNext/>
              <w:spacing w:line="440" w:lineRule="exact"/>
              <w:ind w:left="63" w:right="63"/>
              <w:rPr>
                <w:rFonts w:hint="eastAsia" w:ascii="宋体" w:hAnsi="宋体" w:eastAsia="宋体" w:cs="宋体"/>
                <w:color w:val="auto"/>
                <w:kern w:val="2"/>
                <w:sz w:val="24"/>
                <w:szCs w:val="24"/>
                <w:highlight w:val="none"/>
              </w:rPr>
            </w:pPr>
          </w:p>
        </w:tc>
        <w:tc>
          <w:tcPr>
            <w:tcW w:w="1139" w:type="dxa"/>
            <w:noWrap w:val="0"/>
            <w:vAlign w:val="center"/>
          </w:tcPr>
          <w:p w14:paraId="0B72D9DA">
            <w:pPr>
              <w:pStyle w:val="8"/>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049316A3">
            <w:pPr>
              <w:pStyle w:val="8"/>
              <w:keepNext/>
              <w:spacing w:line="440" w:lineRule="exact"/>
              <w:ind w:left="63" w:right="63"/>
              <w:rPr>
                <w:rFonts w:hint="eastAsia" w:ascii="宋体" w:hAnsi="宋体" w:eastAsia="宋体" w:cs="宋体"/>
                <w:color w:val="auto"/>
                <w:kern w:val="2"/>
                <w:sz w:val="24"/>
                <w:szCs w:val="24"/>
                <w:highlight w:val="none"/>
              </w:rPr>
            </w:pPr>
          </w:p>
        </w:tc>
      </w:tr>
      <w:tr w14:paraId="027B8A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194E9198">
            <w:pPr>
              <w:pStyle w:val="8"/>
              <w:keepNext/>
              <w:spacing w:line="440" w:lineRule="exact"/>
              <w:ind w:left="63" w:right="63"/>
              <w:rPr>
                <w:rFonts w:hint="eastAsia" w:ascii="宋体" w:hAnsi="宋体" w:eastAsia="宋体" w:cs="宋体"/>
                <w:color w:val="auto"/>
                <w:kern w:val="2"/>
                <w:sz w:val="24"/>
                <w:szCs w:val="24"/>
                <w:highlight w:val="none"/>
              </w:rPr>
            </w:pPr>
          </w:p>
        </w:tc>
        <w:tc>
          <w:tcPr>
            <w:tcW w:w="1256" w:type="dxa"/>
            <w:noWrap w:val="0"/>
            <w:vAlign w:val="center"/>
          </w:tcPr>
          <w:p w14:paraId="4C07B3D1">
            <w:pPr>
              <w:pStyle w:val="8"/>
              <w:keepNext/>
              <w:spacing w:line="440" w:lineRule="exact"/>
              <w:ind w:left="63" w:right="63"/>
              <w:rPr>
                <w:rFonts w:hint="eastAsia" w:ascii="宋体" w:hAnsi="宋体" w:eastAsia="宋体" w:cs="宋体"/>
                <w:color w:val="auto"/>
                <w:kern w:val="2"/>
                <w:sz w:val="24"/>
                <w:szCs w:val="24"/>
                <w:highlight w:val="none"/>
              </w:rPr>
            </w:pPr>
          </w:p>
        </w:tc>
        <w:tc>
          <w:tcPr>
            <w:tcW w:w="1149" w:type="dxa"/>
            <w:noWrap w:val="0"/>
            <w:vAlign w:val="center"/>
          </w:tcPr>
          <w:p w14:paraId="05CC32FE">
            <w:pPr>
              <w:pStyle w:val="8"/>
              <w:keepNext/>
              <w:spacing w:line="440" w:lineRule="exact"/>
              <w:ind w:left="63" w:right="63"/>
              <w:rPr>
                <w:rFonts w:hint="eastAsia" w:ascii="宋体" w:hAnsi="宋体" w:eastAsia="宋体" w:cs="宋体"/>
                <w:color w:val="auto"/>
                <w:kern w:val="2"/>
                <w:sz w:val="24"/>
                <w:szCs w:val="24"/>
                <w:highlight w:val="none"/>
              </w:rPr>
            </w:pPr>
          </w:p>
        </w:tc>
        <w:tc>
          <w:tcPr>
            <w:tcW w:w="940" w:type="dxa"/>
            <w:noWrap w:val="0"/>
            <w:vAlign w:val="center"/>
          </w:tcPr>
          <w:p w14:paraId="61DA46DA">
            <w:pPr>
              <w:pStyle w:val="8"/>
              <w:keepNext/>
              <w:spacing w:line="440" w:lineRule="exact"/>
              <w:ind w:left="63" w:right="63"/>
              <w:rPr>
                <w:rFonts w:hint="eastAsia" w:ascii="宋体" w:hAnsi="宋体" w:eastAsia="宋体" w:cs="宋体"/>
                <w:color w:val="auto"/>
                <w:kern w:val="2"/>
                <w:sz w:val="24"/>
                <w:szCs w:val="24"/>
                <w:highlight w:val="none"/>
              </w:rPr>
            </w:pPr>
          </w:p>
        </w:tc>
        <w:tc>
          <w:tcPr>
            <w:tcW w:w="851" w:type="dxa"/>
            <w:noWrap w:val="0"/>
            <w:vAlign w:val="center"/>
          </w:tcPr>
          <w:p w14:paraId="734E342D">
            <w:pPr>
              <w:pStyle w:val="8"/>
              <w:keepNext/>
              <w:spacing w:line="440" w:lineRule="exact"/>
              <w:ind w:left="63" w:right="63"/>
              <w:rPr>
                <w:rFonts w:hint="eastAsia" w:ascii="宋体" w:hAnsi="宋体" w:eastAsia="宋体" w:cs="宋体"/>
                <w:color w:val="auto"/>
                <w:kern w:val="2"/>
                <w:sz w:val="24"/>
                <w:szCs w:val="24"/>
                <w:highlight w:val="none"/>
              </w:rPr>
            </w:pPr>
          </w:p>
        </w:tc>
        <w:tc>
          <w:tcPr>
            <w:tcW w:w="1044" w:type="dxa"/>
            <w:noWrap w:val="0"/>
            <w:vAlign w:val="center"/>
          </w:tcPr>
          <w:p w14:paraId="091051A9">
            <w:pPr>
              <w:pStyle w:val="8"/>
              <w:keepNext/>
              <w:spacing w:line="440" w:lineRule="exact"/>
              <w:ind w:left="63" w:right="63"/>
              <w:rPr>
                <w:rFonts w:hint="eastAsia" w:ascii="宋体" w:hAnsi="宋体" w:eastAsia="宋体" w:cs="宋体"/>
                <w:color w:val="auto"/>
                <w:kern w:val="2"/>
                <w:sz w:val="24"/>
                <w:szCs w:val="24"/>
                <w:highlight w:val="none"/>
              </w:rPr>
            </w:pPr>
          </w:p>
        </w:tc>
        <w:tc>
          <w:tcPr>
            <w:tcW w:w="1108" w:type="dxa"/>
            <w:noWrap w:val="0"/>
            <w:vAlign w:val="center"/>
          </w:tcPr>
          <w:p w14:paraId="23859673">
            <w:pPr>
              <w:pStyle w:val="8"/>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49F1809F">
            <w:pPr>
              <w:pStyle w:val="8"/>
              <w:keepNext/>
              <w:spacing w:line="440" w:lineRule="exact"/>
              <w:ind w:left="63" w:right="63"/>
              <w:rPr>
                <w:rFonts w:hint="eastAsia" w:ascii="宋体" w:hAnsi="宋体" w:eastAsia="宋体" w:cs="宋体"/>
                <w:color w:val="auto"/>
                <w:kern w:val="2"/>
                <w:sz w:val="24"/>
                <w:szCs w:val="24"/>
                <w:highlight w:val="none"/>
              </w:rPr>
            </w:pPr>
          </w:p>
        </w:tc>
        <w:tc>
          <w:tcPr>
            <w:tcW w:w="1139" w:type="dxa"/>
            <w:noWrap w:val="0"/>
            <w:vAlign w:val="center"/>
          </w:tcPr>
          <w:p w14:paraId="12521798">
            <w:pPr>
              <w:pStyle w:val="8"/>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33A47B63">
            <w:pPr>
              <w:pStyle w:val="8"/>
              <w:keepNext/>
              <w:spacing w:line="440" w:lineRule="exact"/>
              <w:ind w:left="63" w:right="63"/>
              <w:rPr>
                <w:rFonts w:hint="eastAsia" w:ascii="宋体" w:hAnsi="宋体" w:eastAsia="宋体" w:cs="宋体"/>
                <w:color w:val="auto"/>
                <w:kern w:val="2"/>
                <w:sz w:val="24"/>
                <w:szCs w:val="24"/>
                <w:highlight w:val="none"/>
              </w:rPr>
            </w:pPr>
          </w:p>
        </w:tc>
      </w:tr>
      <w:tr w14:paraId="4F46E0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626535C1">
            <w:pPr>
              <w:pStyle w:val="8"/>
              <w:keepNext/>
              <w:spacing w:line="440" w:lineRule="exact"/>
              <w:ind w:left="63" w:right="63"/>
              <w:rPr>
                <w:rFonts w:hint="eastAsia" w:ascii="宋体" w:hAnsi="宋体" w:eastAsia="宋体" w:cs="宋体"/>
                <w:color w:val="auto"/>
                <w:kern w:val="2"/>
                <w:sz w:val="24"/>
                <w:szCs w:val="24"/>
                <w:highlight w:val="none"/>
              </w:rPr>
            </w:pPr>
          </w:p>
        </w:tc>
        <w:tc>
          <w:tcPr>
            <w:tcW w:w="1256" w:type="dxa"/>
            <w:noWrap w:val="0"/>
            <w:vAlign w:val="center"/>
          </w:tcPr>
          <w:p w14:paraId="2034B474">
            <w:pPr>
              <w:pStyle w:val="8"/>
              <w:keepNext/>
              <w:spacing w:line="440" w:lineRule="exact"/>
              <w:ind w:left="63" w:right="63"/>
              <w:rPr>
                <w:rFonts w:hint="eastAsia" w:ascii="宋体" w:hAnsi="宋体" w:eastAsia="宋体" w:cs="宋体"/>
                <w:color w:val="auto"/>
                <w:kern w:val="2"/>
                <w:sz w:val="24"/>
                <w:szCs w:val="24"/>
                <w:highlight w:val="none"/>
              </w:rPr>
            </w:pPr>
          </w:p>
        </w:tc>
        <w:tc>
          <w:tcPr>
            <w:tcW w:w="1149" w:type="dxa"/>
            <w:noWrap w:val="0"/>
            <w:vAlign w:val="center"/>
          </w:tcPr>
          <w:p w14:paraId="7A0BE309">
            <w:pPr>
              <w:pStyle w:val="8"/>
              <w:keepNext/>
              <w:spacing w:line="440" w:lineRule="exact"/>
              <w:ind w:left="63" w:right="63"/>
              <w:rPr>
                <w:rFonts w:hint="eastAsia" w:ascii="宋体" w:hAnsi="宋体" w:eastAsia="宋体" w:cs="宋体"/>
                <w:color w:val="auto"/>
                <w:kern w:val="2"/>
                <w:sz w:val="24"/>
                <w:szCs w:val="24"/>
                <w:highlight w:val="none"/>
              </w:rPr>
            </w:pPr>
          </w:p>
        </w:tc>
        <w:tc>
          <w:tcPr>
            <w:tcW w:w="940" w:type="dxa"/>
            <w:noWrap w:val="0"/>
            <w:vAlign w:val="center"/>
          </w:tcPr>
          <w:p w14:paraId="51426AAE">
            <w:pPr>
              <w:pStyle w:val="8"/>
              <w:keepNext/>
              <w:spacing w:line="440" w:lineRule="exact"/>
              <w:ind w:left="63" w:right="63"/>
              <w:rPr>
                <w:rFonts w:hint="eastAsia" w:ascii="宋体" w:hAnsi="宋体" w:eastAsia="宋体" w:cs="宋体"/>
                <w:color w:val="auto"/>
                <w:kern w:val="2"/>
                <w:sz w:val="24"/>
                <w:szCs w:val="24"/>
                <w:highlight w:val="none"/>
              </w:rPr>
            </w:pPr>
          </w:p>
        </w:tc>
        <w:tc>
          <w:tcPr>
            <w:tcW w:w="851" w:type="dxa"/>
            <w:noWrap w:val="0"/>
            <w:vAlign w:val="center"/>
          </w:tcPr>
          <w:p w14:paraId="1A2E1E2C">
            <w:pPr>
              <w:pStyle w:val="8"/>
              <w:keepNext/>
              <w:spacing w:line="440" w:lineRule="exact"/>
              <w:ind w:left="63" w:right="63"/>
              <w:rPr>
                <w:rFonts w:hint="eastAsia" w:ascii="宋体" w:hAnsi="宋体" w:eastAsia="宋体" w:cs="宋体"/>
                <w:color w:val="auto"/>
                <w:kern w:val="2"/>
                <w:sz w:val="24"/>
                <w:szCs w:val="24"/>
                <w:highlight w:val="none"/>
              </w:rPr>
            </w:pPr>
          </w:p>
        </w:tc>
        <w:tc>
          <w:tcPr>
            <w:tcW w:w="1044" w:type="dxa"/>
            <w:noWrap w:val="0"/>
            <w:vAlign w:val="center"/>
          </w:tcPr>
          <w:p w14:paraId="2F0EE0FF">
            <w:pPr>
              <w:pStyle w:val="8"/>
              <w:keepNext/>
              <w:spacing w:line="440" w:lineRule="exact"/>
              <w:ind w:left="63" w:right="63"/>
              <w:rPr>
                <w:rFonts w:hint="eastAsia" w:ascii="宋体" w:hAnsi="宋体" w:eastAsia="宋体" w:cs="宋体"/>
                <w:color w:val="auto"/>
                <w:kern w:val="2"/>
                <w:sz w:val="24"/>
                <w:szCs w:val="24"/>
                <w:highlight w:val="none"/>
              </w:rPr>
            </w:pPr>
          </w:p>
        </w:tc>
        <w:tc>
          <w:tcPr>
            <w:tcW w:w="1108" w:type="dxa"/>
            <w:noWrap w:val="0"/>
            <w:vAlign w:val="center"/>
          </w:tcPr>
          <w:p w14:paraId="6DA0B069">
            <w:pPr>
              <w:pStyle w:val="8"/>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17763B46">
            <w:pPr>
              <w:pStyle w:val="8"/>
              <w:keepNext/>
              <w:spacing w:line="440" w:lineRule="exact"/>
              <w:ind w:left="63" w:right="63"/>
              <w:rPr>
                <w:rFonts w:hint="eastAsia" w:ascii="宋体" w:hAnsi="宋体" w:eastAsia="宋体" w:cs="宋体"/>
                <w:color w:val="auto"/>
                <w:kern w:val="2"/>
                <w:sz w:val="24"/>
                <w:szCs w:val="24"/>
                <w:highlight w:val="none"/>
              </w:rPr>
            </w:pPr>
          </w:p>
        </w:tc>
        <w:tc>
          <w:tcPr>
            <w:tcW w:w="1139" w:type="dxa"/>
            <w:noWrap w:val="0"/>
            <w:vAlign w:val="center"/>
          </w:tcPr>
          <w:p w14:paraId="0055A99A">
            <w:pPr>
              <w:pStyle w:val="8"/>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4620CBEA">
            <w:pPr>
              <w:pStyle w:val="8"/>
              <w:keepNext/>
              <w:spacing w:line="440" w:lineRule="exact"/>
              <w:ind w:left="63" w:right="63"/>
              <w:rPr>
                <w:rFonts w:hint="eastAsia" w:ascii="宋体" w:hAnsi="宋体" w:eastAsia="宋体" w:cs="宋体"/>
                <w:color w:val="auto"/>
                <w:kern w:val="2"/>
                <w:sz w:val="24"/>
                <w:szCs w:val="24"/>
                <w:highlight w:val="none"/>
              </w:rPr>
            </w:pPr>
          </w:p>
        </w:tc>
      </w:tr>
      <w:tr w14:paraId="6B0550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2C007584">
            <w:pPr>
              <w:pStyle w:val="8"/>
              <w:keepNext/>
              <w:spacing w:line="440" w:lineRule="exact"/>
              <w:ind w:left="63" w:right="63"/>
              <w:rPr>
                <w:rFonts w:hint="eastAsia" w:ascii="宋体" w:hAnsi="宋体" w:eastAsia="宋体" w:cs="宋体"/>
                <w:color w:val="auto"/>
                <w:kern w:val="2"/>
                <w:sz w:val="24"/>
                <w:szCs w:val="24"/>
                <w:highlight w:val="none"/>
              </w:rPr>
            </w:pPr>
          </w:p>
        </w:tc>
        <w:tc>
          <w:tcPr>
            <w:tcW w:w="1256" w:type="dxa"/>
            <w:noWrap w:val="0"/>
            <w:vAlign w:val="center"/>
          </w:tcPr>
          <w:p w14:paraId="105BB9B2">
            <w:pPr>
              <w:pStyle w:val="8"/>
              <w:keepNext/>
              <w:spacing w:line="440" w:lineRule="exact"/>
              <w:ind w:left="63" w:right="63"/>
              <w:rPr>
                <w:rFonts w:hint="eastAsia" w:ascii="宋体" w:hAnsi="宋体" w:eastAsia="宋体" w:cs="宋体"/>
                <w:color w:val="auto"/>
                <w:kern w:val="2"/>
                <w:sz w:val="24"/>
                <w:szCs w:val="24"/>
                <w:highlight w:val="none"/>
              </w:rPr>
            </w:pPr>
          </w:p>
        </w:tc>
        <w:tc>
          <w:tcPr>
            <w:tcW w:w="1149" w:type="dxa"/>
            <w:noWrap w:val="0"/>
            <w:vAlign w:val="center"/>
          </w:tcPr>
          <w:p w14:paraId="0449090D">
            <w:pPr>
              <w:pStyle w:val="8"/>
              <w:keepNext/>
              <w:spacing w:line="440" w:lineRule="exact"/>
              <w:ind w:left="63" w:right="63"/>
              <w:rPr>
                <w:rFonts w:hint="eastAsia" w:ascii="宋体" w:hAnsi="宋体" w:eastAsia="宋体" w:cs="宋体"/>
                <w:color w:val="auto"/>
                <w:kern w:val="2"/>
                <w:sz w:val="24"/>
                <w:szCs w:val="24"/>
                <w:highlight w:val="none"/>
              </w:rPr>
            </w:pPr>
          </w:p>
        </w:tc>
        <w:tc>
          <w:tcPr>
            <w:tcW w:w="940" w:type="dxa"/>
            <w:noWrap w:val="0"/>
            <w:vAlign w:val="center"/>
          </w:tcPr>
          <w:p w14:paraId="22F8A965">
            <w:pPr>
              <w:pStyle w:val="8"/>
              <w:keepNext/>
              <w:spacing w:line="440" w:lineRule="exact"/>
              <w:ind w:left="63" w:right="63"/>
              <w:rPr>
                <w:rFonts w:hint="eastAsia" w:ascii="宋体" w:hAnsi="宋体" w:eastAsia="宋体" w:cs="宋体"/>
                <w:color w:val="auto"/>
                <w:kern w:val="2"/>
                <w:sz w:val="24"/>
                <w:szCs w:val="24"/>
                <w:highlight w:val="none"/>
              </w:rPr>
            </w:pPr>
          </w:p>
        </w:tc>
        <w:tc>
          <w:tcPr>
            <w:tcW w:w="851" w:type="dxa"/>
            <w:noWrap w:val="0"/>
            <w:vAlign w:val="center"/>
          </w:tcPr>
          <w:p w14:paraId="006417BF">
            <w:pPr>
              <w:pStyle w:val="8"/>
              <w:keepNext/>
              <w:spacing w:line="440" w:lineRule="exact"/>
              <w:ind w:left="63" w:right="63"/>
              <w:rPr>
                <w:rFonts w:hint="eastAsia" w:ascii="宋体" w:hAnsi="宋体" w:eastAsia="宋体" w:cs="宋体"/>
                <w:color w:val="auto"/>
                <w:kern w:val="2"/>
                <w:sz w:val="24"/>
                <w:szCs w:val="24"/>
                <w:highlight w:val="none"/>
              </w:rPr>
            </w:pPr>
          </w:p>
        </w:tc>
        <w:tc>
          <w:tcPr>
            <w:tcW w:w="1044" w:type="dxa"/>
            <w:noWrap w:val="0"/>
            <w:vAlign w:val="center"/>
          </w:tcPr>
          <w:p w14:paraId="0CB5D50B">
            <w:pPr>
              <w:pStyle w:val="8"/>
              <w:keepNext/>
              <w:spacing w:line="440" w:lineRule="exact"/>
              <w:ind w:left="63" w:right="63"/>
              <w:rPr>
                <w:rFonts w:hint="eastAsia" w:ascii="宋体" w:hAnsi="宋体" w:eastAsia="宋体" w:cs="宋体"/>
                <w:color w:val="auto"/>
                <w:kern w:val="2"/>
                <w:sz w:val="24"/>
                <w:szCs w:val="24"/>
                <w:highlight w:val="none"/>
              </w:rPr>
            </w:pPr>
          </w:p>
        </w:tc>
        <w:tc>
          <w:tcPr>
            <w:tcW w:w="1108" w:type="dxa"/>
            <w:noWrap w:val="0"/>
            <w:vAlign w:val="center"/>
          </w:tcPr>
          <w:p w14:paraId="45B4C81C">
            <w:pPr>
              <w:pStyle w:val="8"/>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1B25CF1A">
            <w:pPr>
              <w:pStyle w:val="8"/>
              <w:keepNext/>
              <w:spacing w:line="440" w:lineRule="exact"/>
              <w:ind w:left="63" w:right="63"/>
              <w:rPr>
                <w:rFonts w:hint="eastAsia" w:ascii="宋体" w:hAnsi="宋体" w:eastAsia="宋体" w:cs="宋体"/>
                <w:color w:val="auto"/>
                <w:kern w:val="2"/>
                <w:sz w:val="24"/>
                <w:szCs w:val="24"/>
                <w:highlight w:val="none"/>
              </w:rPr>
            </w:pPr>
          </w:p>
        </w:tc>
        <w:tc>
          <w:tcPr>
            <w:tcW w:w="1139" w:type="dxa"/>
            <w:noWrap w:val="0"/>
            <w:vAlign w:val="center"/>
          </w:tcPr>
          <w:p w14:paraId="206A2C6F">
            <w:pPr>
              <w:pStyle w:val="8"/>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128D3E77">
            <w:pPr>
              <w:pStyle w:val="8"/>
              <w:keepNext/>
              <w:spacing w:line="440" w:lineRule="exact"/>
              <w:ind w:left="63" w:right="63"/>
              <w:rPr>
                <w:rFonts w:hint="eastAsia" w:ascii="宋体" w:hAnsi="宋体" w:eastAsia="宋体" w:cs="宋体"/>
                <w:color w:val="auto"/>
                <w:kern w:val="2"/>
                <w:sz w:val="24"/>
                <w:szCs w:val="24"/>
                <w:highlight w:val="none"/>
              </w:rPr>
            </w:pPr>
          </w:p>
        </w:tc>
      </w:tr>
      <w:tr w14:paraId="643387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45CE74DD">
            <w:pPr>
              <w:pStyle w:val="8"/>
              <w:keepNext/>
              <w:spacing w:line="440" w:lineRule="exact"/>
              <w:ind w:left="63" w:right="63"/>
              <w:rPr>
                <w:rFonts w:hint="eastAsia" w:ascii="宋体" w:hAnsi="宋体" w:eastAsia="宋体" w:cs="宋体"/>
                <w:color w:val="auto"/>
                <w:kern w:val="2"/>
                <w:sz w:val="24"/>
                <w:szCs w:val="24"/>
                <w:highlight w:val="none"/>
              </w:rPr>
            </w:pPr>
          </w:p>
        </w:tc>
        <w:tc>
          <w:tcPr>
            <w:tcW w:w="1256" w:type="dxa"/>
            <w:noWrap w:val="0"/>
            <w:vAlign w:val="center"/>
          </w:tcPr>
          <w:p w14:paraId="07504ED6">
            <w:pPr>
              <w:pStyle w:val="8"/>
              <w:keepNext/>
              <w:spacing w:line="440" w:lineRule="exact"/>
              <w:ind w:left="63" w:right="63"/>
              <w:rPr>
                <w:rFonts w:hint="eastAsia" w:ascii="宋体" w:hAnsi="宋体" w:eastAsia="宋体" w:cs="宋体"/>
                <w:color w:val="auto"/>
                <w:kern w:val="2"/>
                <w:sz w:val="24"/>
                <w:szCs w:val="24"/>
                <w:highlight w:val="none"/>
              </w:rPr>
            </w:pPr>
          </w:p>
        </w:tc>
        <w:tc>
          <w:tcPr>
            <w:tcW w:w="1149" w:type="dxa"/>
            <w:noWrap w:val="0"/>
            <w:vAlign w:val="center"/>
          </w:tcPr>
          <w:p w14:paraId="364D41F3">
            <w:pPr>
              <w:pStyle w:val="8"/>
              <w:keepNext/>
              <w:spacing w:line="440" w:lineRule="exact"/>
              <w:ind w:left="63" w:right="63"/>
              <w:rPr>
                <w:rFonts w:hint="eastAsia" w:ascii="宋体" w:hAnsi="宋体" w:eastAsia="宋体" w:cs="宋体"/>
                <w:color w:val="auto"/>
                <w:kern w:val="2"/>
                <w:sz w:val="24"/>
                <w:szCs w:val="24"/>
                <w:highlight w:val="none"/>
              </w:rPr>
            </w:pPr>
          </w:p>
        </w:tc>
        <w:tc>
          <w:tcPr>
            <w:tcW w:w="940" w:type="dxa"/>
            <w:noWrap w:val="0"/>
            <w:vAlign w:val="center"/>
          </w:tcPr>
          <w:p w14:paraId="25868156">
            <w:pPr>
              <w:pStyle w:val="8"/>
              <w:keepNext/>
              <w:spacing w:line="440" w:lineRule="exact"/>
              <w:ind w:left="63" w:right="63"/>
              <w:rPr>
                <w:rFonts w:hint="eastAsia" w:ascii="宋体" w:hAnsi="宋体" w:eastAsia="宋体" w:cs="宋体"/>
                <w:color w:val="auto"/>
                <w:kern w:val="2"/>
                <w:sz w:val="24"/>
                <w:szCs w:val="24"/>
                <w:highlight w:val="none"/>
              </w:rPr>
            </w:pPr>
          </w:p>
        </w:tc>
        <w:tc>
          <w:tcPr>
            <w:tcW w:w="851" w:type="dxa"/>
            <w:noWrap w:val="0"/>
            <w:vAlign w:val="center"/>
          </w:tcPr>
          <w:p w14:paraId="7D7A09D1">
            <w:pPr>
              <w:pStyle w:val="8"/>
              <w:keepNext/>
              <w:spacing w:line="440" w:lineRule="exact"/>
              <w:ind w:left="63" w:right="63"/>
              <w:rPr>
                <w:rFonts w:hint="eastAsia" w:ascii="宋体" w:hAnsi="宋体" w:eastAsia="宋体" w:cs="宋体"/>
                <w:color w:val="auto"/>
                <w:kern w:val="2"/>
                <w:sz w:val="24"/>
                <w:szCs w:val="24"/>
                <w:highlight w:val="none"/>
              </w:rPr>
            </w:pPr>
          </w:p>
        </w:tc>
        <w:tc>
          <w:tcPr>
            <w:tcW w:w="1044" w:type="dxa"/>
            <w:noWrap w:val="0"/>
            <w:vAlign w:val="center"/>
          </w:tcPr>
          <w:p w14:paraId="0BF67625">
            <w:pPr>
              <w:pStyle w:val="8"/>
              <w:keepNext/>
              <w:spacing w:line="440" w:lineRule="exact"/>
              <w:ind w:left="63" w:right="63"/>
              <w:rPr>
                <w:rFonts w:hint="eastAsia" w:ascii="宋体" w:hAnsi="宋体" w:eastAsia="宋体" w:cs="宋体"/>
                <w:color w:val="auto"/>
                <w:kern w:val="2"/>
                <w:sz w:val="24"/>
                <w:szCs w:val="24"/>
                <w:highlight w:val="none"/>
              </w:rPr>
            </w:pPr>
          </w:p>
        </w:tc>
        <w:tc>
          <w:tcPr>
            <w:tcW w:w="1108" w:type="dxa"/>
            <w:noWrap w:val="0"/>
            <w:vAlign w:val="center"/>
          </w:tcPr>
          <w:p w14:paraId="29E39A08">
            <w:pPr>
              <w:pStyle w:val="8"/>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7A49C144">
            <w:pPr>
              <w:pStyle w:val="8"/>
              <w:keepNext/>
              <w:spacing w:line="440" w:lineRule="exact"/>
              <w:ind w:left="63" w:right="63"/>
              <w:rPr>
                <w:rFonts w:hint="eastAsia" w:ascii="宋体" w:hAnsi="宋体" w:eastAsia="宋体" w:cs="宋体"/>
                <w:color w:val="auto"/>
                <w:kern w:val="2"/>
                <w:sz w:val="24"/>
                <w:szCs w:val="24"/>
                <w:highlight w:val="none"/>
              </w:rPr>
            </w:pPr>
          </w:p>
        </w:tc>
        <w:tc>
          <w:tcPr>
            <w:tcW w:w="1139" w:type="dxa"/>
            <w:noWrap w:val="0"/>
            <w:vAlign w:val="center"/>
          </w:tcPr>
          <w:p w14:paraId="6250C8E3">
            <w:pPr>
              <w:pStyle w:val="8"/>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6BC611ED">
            <w:pPr>
              <w:pStyle w:val="8"/>
              <w:keepNext/>
              <w:spacing w:line="440" w:lineRule="exact"/>
              <w:ind w:left="63" w:right="63"/>
              <w:rPr>
                <w:rFonts w:hint="eastAsia" w:ascii="宋体" w:hAnsi="宋体" w:eastAsia="宋体" w:cs="宋体"/>
                <w:color w:val="auto"/>
                <w:kern w:val="2"/>
                <w:sz w:val="24"/>
                <w:szCs w:val="24"/>
                <w:highlight w:val="none"/>
              </w:rPr>
            </w:pPr>
          </w:p>
        </w:tc>
      </w:tr>
      <w:tr w14:paraId="2B9BB1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41945B2D">
            <w:pPr>
              <w:jc w:val="center"/>
              <w:rPr>
                <w:rFonts w:hint="eastAsia" w:ascii="宋体" w:hAnsi="宋体" w:eastAsia="宋体" w:cs="宋体"/>
                <w:color w:val="auto"/>
                <w:sz w:val="24"/>
                <w:szCs w:val="24"/>
                <w:highlight w:val="none"/>
              </w:rPr>
            </w:pPr>
          </w:p>
        </w:tc>
        <w:tc>
          <w:tcPr>
            <w:tcW w:w="1256" w:type="dxa"/>
            <w:noWrap w:val="0"/>
            <w:vAlign w:val="center"/>
          </w:tcPr>
          <w:p w14:paraId="0F19E235">
            <w:pPr>
              <w:jc w:val="center"/>
              <w:rPr>
                <w:rFonts w:hint="eastAsia" w:ascii="宋体" w:hAnsi="宋体" w:eastAsia="宋体" w:cs="宋体"/>
                <w:color w:val="auto"/>
                <w:sz w:val="24"/>
                <w:szCs w:val="24"/>
                <w:highlight w:val="none"/>
              </w:rPr>
            </w:pPr>
          </w:p>
        </w:tc>
        <w:tc>
          <w:tcPr>
            <w:tcW w:w="1149" w:type="dxa"/>
            <w:noWrap w:val="0"/>
            <w:vAlign w:val="center"/>
          </w:tcPr>
          <w:p w14:paraId="54D9309F">
            <w:pPr>
              <w:jc w:val="center"/>
              <w:rPr>
                <w:rFonts w:hint="eastAsia" w:ascii="宋体" w:hAnsi="宋体" w:eastAsia="宋体" w:cs="宋体"/>
                <w:color w:val="auto"/>
                <w:sz w:val="24"/>
                <w:szCs w:val="24"/>
                <w:highlight w:val="none"/>
              </w:rPr>
            </w:pPr>
          </w:p>
        </w:tc>
        <w:tc>
          <w:tcPr>
            <w:tcW w:w="940" w:type="dxa"/>
            <w:noWrap w:val="0"/>
            <w:vAlign w:val="center"/>
          </w:tcPr>
          <w:p w14:paraId="41163947">
            <w:pPr>
              <w:jc w:val="center"/>
              <w:rPr>
                <w:rFonts w:hint="eastAsia" w:ascii="宋体" w:hAnsi="宋体" w:eastAsia="宋体" w:cs="宋体"/>
                <w:color w:val="auto"/>
                <w:sz w:val="24"/>
                <w:szCs w:val="24"/>
                <w:highlight w:val="none"/>
              </w:rPr>
            </w:pPr>
          </w:p>
        </w:tc>
        <w:tc>
          <w:tcPr>
            <w:tcW w:w="851" w:type="dxa"/>
            <w:noWrap w:val="0"/>
            <w:vAlign w:val="center"/>
          </w:tcPr>
          <w:p w14:paraId="4319A147">
            <w:pPr>
              <w:jc w:val="center"/>
              <w:rPr>
                <w:rFonts w:hint="eastAsia" w:ascii="宋体" w:hAnsi="宋体" w:eastAsia="宋体" w:cs="宋体"/>
                <w:color w:val="auto"/>
                <w:sz w:val="24"/>
                <w:szCs w:val="24"/>
                <w:highlight w:val="none"/>
              </w:rPr>
            </w:pPr>
          </w:p>
        </w:tc>
        <w:tc>
          <w:tcPr>
            <w:tcW w:w="1044" w:type="dxa"/>
            <w:noWrap w:val="0"/>
            <w:vAlign w:val="center"/>
          </w:tcPr>
          <w:p w14:paraId="225F1ED8">
            <w:pPr>
              <w:jc w:val="center"/>
              <w:rPr>
                <w:rFonts w:hint="eastAsia" w:ascii="宋体" w:hAnsi="宋体" w:eastAsia="宋体" w:cs="宋体"/>
                <w:color w:val="auto"/>
                <w:sz w:val="24"/>
                <w:szCs w:val="24"/>
                <w:highlight w:val="none"/>
              </w:rPr>
            </w:pPr>
          </w:p>
        </w:tc>
        <w:tc>
          <w:tcPr>
            <w:tcW w:w="1108" w:type="dxa"/>
            <w:noWrap w:val="0"/>
            <w:vAlign w:val="center"/>
          </w:tcPr>
          <w:p w14:paraId="656768CE">
            <w:pPr>
              <w:jc w:val="center"/>
              <w:rPr>
                <w:rFonts w:hint="eastAsia" w:ascii="宋体" w:hAnsi="宋体" w:eastAsia="宋体" w:cs="宋体"/>
                <w:color w:val="auto"/>
                <w:sz w:val="24"/>
                <w:szCs w:val="24"/>
                <w:highlight w:val="none"/>
              </w:rPr>
            </w:pPr>
          </w:p>
        </w:tc>
        <w:tc>
          <w:tcPr>
            <w:tcW w:w="825" w:type="dxa"/>
            <w:noWrap w:val="0"/>
            <w:vAlign w:val="center"/>
          </w:tcPr>
          <w:p w14:paraId="7513B724">
            <w:pPr>
              <w:jc w:val="center"/>
              <w:rPr>
                <w:rFonts w:hint="eastAsia" w:ascii="宋体" w:hAnsi="宋体" w:eastAsia="宋体" w:cs="宋体"/>
                <w:color w:val="auto"/>
                <w:sz w:val="24"/>
                <w:szCs w:val="24"/>
                <w:highlight w:val="none"/>
              </w:rPr>
            </w:pPr>
          </w:p>
        </w:tc>
        <w:tc>
          <w:tcPr>
            <w:tcW w:w="1139" w:type="dxa"/>
            <w:noWrap w:val="0"/>
            <w:vAlign w:val="center"/>
          </w:tcPr>
          <w:p w14:paraId="2B209DD2">
            <w:pPr>
              <w:jc w:val="center"/>
              <w:rPr>
                <w:rFonts w:hint="eastAsia" w:ascii="宋体" w:hAnsi="宋体" w:eastAsia="宋体" w:cs="宋体"/>
                <w:color w:val="auto"/>
                <w:sz w:val="24"/>
                <w:szCs w:val="24"/>
                <w:highlight w:val="none"/>
              </w:rPr>
            </w:pPr>
          </w:p>
        </w:tc>
        <w:tc>
          <w:tcPr>
            <w:tcW w:w="825" w:type="dxa"/>
            <w:noWrap w:val="0"/>
            <w:vAlign w:val="center"/>
          </w:tcPr>
          <w:p w14:paraId="022629FE">
            <w:pPr>
              <w:jc w:val="center"/>
              <w:rPr>
                <w:rFonts w:hint="eastAsia" w:ascii="宋体" w:hAnsi="宋体" w:eastAsia="宋体" w:cs="宋体"/>
                <w:color w:val="auto"/>
                <w:sz w:val="24"/>
                <w:szCs w:val="24"/>
                <w:highlight w:val="none"/>
              </w:rPr>
            </w:pPr>
          </w:p>
        </w:tc>
      </w:tr>
      <w:tr w14:paraId="043F51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4A38CD92">
            <w:pPr>
              <w:pStyle w:val="8"/>
              <w:keepNext/>
              <w:spacing w:line="440" w:lineRule="exact"/>
              <w:ind w:left="63" w:right="63"/>
              <w:rPr>
                <w:rFonts w:hint="eastAsia" w:ascii="宋体" w:hAnsi="宋体" w:eastAsia="宋体" w:cs="宋体"/>
                <w:color w:val="auto"/>
                <w:kern w:val="2"/>
                <w:sz w:val="24"/>
                <w:szCs w:val="24"/>
                <w:highlight w:val="none"/>
              </w:rPr>
            </w:pPr>
          </w:p>
        </w:tc>
        <w:tc>
          <w:tcPr>
            <w:tcW w:w="1256" w:type="dxa"/>
            <w:noWrap w:val="0"/>
            <w:vAlign w:val="center"/>
          </w:tcPr>
          <w:p w14:paraId="2A09E9DA">
            <w:pPr>
              <w:pStyle w:val="8"/>
              <w:keepNext/>
              <w:spacing w:line="440" w:lineRule="exact"/>
              <w:ind w:left="63" w:right="63"/>
              <w:rPr>
                <w:rFonts w:hint="eastAsia" w:ascii="宋体" w:hAnsi="宋体" w:eastAsia="宋体" w:cs="宋体"/>
                <w:color w:val="auto"/>
                <w:kern w:val="2"/>
                <w:sz w:val="24"/>
                <w:szCs w:val="24"/>
                <w:highlight w:val="none"/>
              </w:rPr>
            </w:pPr>
          </w:p>
        </w:tc>
        <w:tc>
          <w:tcPr>
            <w:tcW w:w="1149" w:type="dxa"/>
            <w:noWrap w:val="0"/>
            <w:vAlign w:val="center"/>
          </w:tcPr>
          <w:p w14:paraId="33A401BE">
            <w:pPr>
              <w:pStyle w:val="8"/>
              <w:keepNext/>
              <w:spacing w:line="440" w:lineRule="exact"/>
              <w:ind w:left="63" w:right="63"/>
              <w:rPr>
                <w:rFonts w:hint="eastAsia" w:ascii="宋体" w:hAnsi="宋体" w:eastAsia="宋体" w:cs="宋体"/>
                <w:color w:val="auto"/>
                <w:kern w:val="2"/>
                <w:sz w:val="24"/>
                <w:szCs w:val="24"/>
                <w:highlight w:val="none"/>
              </w:rPr>
            </w:pPr>
          </w:p>
        </w:tc>
        <w:tc>
          <w:tcPr>
            <w:tcW w:w="940" w:type="dxa"/>
            <w:noWrap w:val="0"/>
            <w:vAlign w:val="center"/>
          </w:tcPr>
          <w:p w14:paraId="02A23A04">
            <w:pPr>
              <w:pStyle w:val="8"/>
              <w:keepNext/>
              <w:spacing w:line="440" w:lineRule="exact"/>
              <w:ind w:left="63" w:right="63"/>
              <w:rPr>
                <w:rFonts w:hint="eastAsia" w:ascii="宋体" w:hAnsi="宋体" w:eastAsia="宋体" w:cs="宋体"/>
                <w:color w:val="auto"/>
                <w:kern w:val="2"/>
                <w:sz w:val="24"/>
                <w:szCs w:val="24"/>
                <w:highlight w:val="none"/>
              </w:rPr>
            </w:pPr>
          </w:p>
        </w:tc>
        <w:tc>
          <w:tcPr>
            <w:tcW w:w="851" w:type="dxa"/>
            <w:noWrap w:val="0"/>
            <w:vAlign w:val="center"/>
          </w:tcPr>
          <w:p w14:paraId="696F132E">
            <w:pPr>
              <w:pStyle w:val="8"/>
              <w:keepNext/>
              <w:spacing w:line="440" w:lineRule="exact"/>
              <w:ind w:left="63" w:right="63"/>
              <w:rPr>
                <w:rFonts w:hint="eastAsia" w:ascii="宋体" w:hAnsi="宋体" w:eastAsia="宋体" w:cs="宋体"/>
                <w:color w:val="auto"/>
                <w:kern w:val="2"/>
                <w:sz w:val="24"/>
                <w:szCs w:val="24"/>
                <w:highlight w:val="none"/>
              </w:rPr>
            </w:pPr>
          </w:p>
        </w:tc>
        <w:tc>
          <w:tcPr>
            <w:tcW w:w="1044" w:type="dxa"/>
            <w:noWrap w:val="0"/>
            <w:vAlign w:val="center"/>
          </w:tcPr>
          <w:p w14:paraId="4666CC0A">
            <w:pPr>
              <w:pStyle w:val="8"/>
              <w:keepNext/>
              <w:spacing w:line="440" w:lineRule="exact"/>
              <w:ind w:left="63" w:right="63"/>
              <w:rPr>
                <w:rFonts w:hint="eastAsia" w:ascii="宋体" w:hAnsi="宋体" w:eastAsia="宋体" w:cs="宋体"/>
                <w:color w:val="auto"/>
                <w:kern w:val="2"/>
                <w:sz w:val="24"/>
                <w:szCs w:val="24"/>
                <w:highlight w:val="none"/>
              </w:rPr>
            </w:pPr>
          </w:p>
        </w:tc>
        <w:tc>
          <w:tcPr>
            <w:tcW w:w="1108" w:type="dxa"/>
            <w:noWrap w:val="0"/>
            <w:vAlign w:val="center"/>
          </w:tcPr>
          <w:p w14:paraId="21B5F662">
            <w:pPr>
              <w:pStyle w:val="8"/>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3FF963DD">
            <w:pPr>
              <w:pStyle w:val="8"/>
              <w:keepNext/>
              <w:spacing w:line="440" w:lineRule="exact"/>
              <w:ind w:left="63" w:right="63"/>
              <w:rPr>
                <w:rFonts w:hint="eastAsia" w:ascii="宋体" w:hAnsi="宋体" w:eastAsia="宋体" w:cs="宋体"/>
                <w:color w:val="auto"/>
                <w:kern w:val="2"/>
                <w:sz w:val="24"/>
                <w:szCs w:val="24"/>
                <w:highlight w:val="none"/>
              </w:rPr>
            </w:pPr>
          </w:p>
        </w:tc>
        <w:tc>
          <w:tcPr>
            <w:tcW w:w="1139" w:type="dxa"/>
            <w:noWrap w:val="0"/>
            <w:vAlign w:val="center"/>
          </w:tcPr>
          <w:p w14:paraId="79CFE3CE">
            <w:pPr>
              <w:pStyle w:val="8"/>
              <w:keepNext/>
              <w:spacing w:line="440" w:lineRule="exact"/>
              <w:ind w:left="63" w:right="63"/>
              <w:rPr>
                <w:rFonts w:hint="eastAsia" w:ascii="宋体" w:hAnsi="宋体" w:eastAsia="宋体" w:cs="宋体"/>
                <w:color w:val="auto"/>
                <w:kern w:val="2"/>
                <w:sz w:val="24"/>
                <w:szCs w:val="24"/>
                <w:highlight w:val="none"/>
              </w:rPr>
            </w:pPr>
          </w:p>
        </w:tc>
        <w:tc>
          <w:tcPr>
            <w:tcW w:w="825" w:type="dxa"/>
            <w:noWrap w:val="0"/>
            <w:vAlign w:val="center"/>
          </w:tcPr>
          <w:p w14:paraId="53D5DD3A">
            <w:pPr>
              <w:pStyle w:val="8"/>
              <w:keepNext/>
              <w:spacing w:line="440" w:lineRule="exact"/>
              <w:ind w:left="63" w:right="63"/>
              <w:rPr>
                <w:rFonts w:hint="eastAsia" w:ascii="宋体" w:hAnsi="宋体" w:eastAsia="宋体" w:cs="宋体"/>
                <w:color w:val="auto"/>
                <w:kern w:val="2"/>
                <w:sz w:val="24"/>
                <w:szCs w:val="24"/>
                <w:highlight w:val="none"/>
              </w:rPr>
            </w:pPr>
          </w:p>
        </w:tc>
      </w:tr>
      <w:tr w14:paraId="0AD1D2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2BB837D4">
            <w:pPr>
              <w:jc w:val="center"/>
              <w:rPr>
                <w:rFonts w:hint="eastAsia" w:ascii="宋体" w:hAnsi="宋体" w:eastAsia="宋体" w:cs="宋体"/>
                <w:color w:val="auto"/>
                <w:sz w:val="24"/>
                <w:szCs w:val="24"/>
                <w:highlight w:val="none"/>
              </w:rPr>
            </w:pPr>
          </w:p>
        </w:tc>
        <w:tc>
          <w:tcPr>
            <w:tcW w:w="1256" w:type="dxa"/>
            <w:noWrap w:val="0"/>
            <w:vAlign w:val="center"/>
          </w:tcPr>
          <w:p w14:paraId="557780D6">
            <w:pPr>
              <w:jc w:val="center"/>
              <w:rPr>
                <w:rFonts w:hint="eastAsia" w:ascii="宋体" w:hAnsi="宋体" w:eastAsia="宋体" w:cs="宋体"/>
                <w:color w:val="auto"/>
                <w:sz w:val="24"/>
                <w:szCs w:val="24"/>
                <w:highlight w:val="none"/>
              </w:rPr>
            </w:pPr>
          </w:p>
        </w:tc>
        <w:tc>
          <w:tcPr>
            <w:tcW w:w="1149" w:type="dxa"/>
            <w:noWrap w:val="0"/>
            <w:vAlign w:val="center"/>
          </w:tcPr>
          <w:p w14:paraId="412A9289">
            <w:pPr>
              <w:jc w:val="center"/>
              <w:rPr>
                <w:rFonts w:hint="eastAsia" w:ascii="宋体" w:hAnsi="宋体" w:eastAsia="宋体" w:cs="宋体"/>
                <w:color w:val="auto"/>
                <w:sz w:val="24"/>
                <w:szCs w:val="24"/>
                <w:highlight w:val="none"/>
              </w:rPr>
            </w:pPr>
          </w:p>
        </w:tc>
        <w:tc>
          <w:tcPr>
            <w:tcW w:w="940" w:type="dxa"/>
            <w:noWrap w:val="0"/>
            <w:vAlign w:val="center"/>
          </w:tcPr>
          <w:p w14:paraId="5C47321D">
            <w:pPr>
              <w:jc w:val="center"/>
              <w:rPr>
                <w:rFonts w:hint="eastAsia" w:ascii="宋体" w:hAnsi="宋体" w:eastAsia="宋体" w:cs="宋体"/>
                <w:color w:val="auto"/>
                <w:sz w:val="24"/>
                <w:szCs w:val="24"/>
                <w:highlight w:val="none"/>
              </w:rPr>
            </w:pPr>
          </w:p>
        </w:tc>
        <w:tc>
          <w:tcPr>
            <w:tcW w:w="851" w:type="dxa"/>
            <w:noWrap w:val="0"/>
            <w:vAlign w:val="center"/>
          </w:tcPr>
          <w:p w14:paraId="55A42962">
            <w:pPr>
              <w:jc w:val="center"/>
              <w:rPr>
                <w:rFonts w:hint="eastAsia" w:ascii="宋体" w:hAnsi="宋体" w:eastAsia="宋体" w:cs="宋体"/>
                <w:color w:val="auto"/>
                <w:sz w:val="24"/>
                <w:szCs w:val="24"/>
                <w:highlight w:val="none"/>
              </w:rPr>
            </w:pPr>
          </w:p>
        </w:tc>
        <w:tc>
          <w:tcPr>
            <w:tcW w:w="1044" w:type="dxa"/>
            <w:noWrap w:val="0"/>
            <w:vAlign w:val="center"/>
          </w:tcPr>
          <w:p w14:paraId="0EBD4AF6">
            <w:pPr>
              <w:jc w:val="center"/>
              <w:rPr>
                <w:rFonts w:hint="eastAsia" w:ascii="宋体" w:hAnsi="宋体" w:eastAsia="宋体" w:cs="宋体"/>
                <w:color w:val="auto"/>
                <w:sz w:val="24"/>
                <w:szCs w:val="24"/>
                <w:highlight w:val="none"/>
              </w:rPr>
            </w:pPr>
          </w:p>
        </w:tc>
        <w:tc>
          <w:tcPr>
            <w:tcW w:w="1108" w:type="dxa"/>
            <w:noWrap w:val="0"/>
            <w:vAlign w:val="center"/>
          </w:tcPr>
          <w:p w14:paraId="1CE96E18">
            <w:pPr>
              <w:jc w:val="center"/>
              <w:rPr>
                <w:rFonts w:hint="eastAsia" w:ascii="宋体" w:hAnsi="宋体" w:eastAsia="宋体" w:cs="宋体"/>
                <w:color w:val="auto"/>
                <w:sz w:val="24"/>
                <w:szCs w:val="24"/>
                <w:highlight w:val="none"/>
              </w:rPr>
            </w:pPr>
          </w:p>
        </w:tc>
        <w:tc>
          <w:tcPr>
            <w:tcW w:w="825" w:type="dxa"/>
            <w:noWrap w:val="0"/>
            <w:vAlign w:val="center"/>
          </w:tcPr>
          <w:p w14:paraId="08ACD454">
            <w:pPr>
              <w:jc w:val="center"/>
              <w:rPr>
                <w:rFonts w:hint="eastAsia" w:ascii="宋体" w:hAnsi="宋体" w:eastAsia="宋体" w:cs="宋体"/>
                <w:color w:val="auto"/>
                <w:sz w:val="24"/>
                <w:szCs w:val="24"/>
                <w:highlight w:val="none"/>
              </w:rPr>
            </w:pPr>
          </w:p>
        </w:tc>
        <w:tc>
          <w:tcPr>
            <w:tcW w:w="1139" w:type="dxa"/>
            <w:noWrap w:val="0"/>
            <w:vAlign w:val="center"/>
          </w:tcPr>
          <w:p w14:paraId="1F2AD1E0">
            <w:pPr>
              <w:jc w:val="center"/>
              <w:rPr>
                <w:rFonts w:hint="eastAsia" w:ascii="宋体" w:hAnsi="宋体" w:eastAsia="宋体" w:cs="宋体"/>
                <w:color w:val="auto"/>
                <w:sz w:val="24"/>
                <w:szCs w:val="24"/>
                <w:highlight w:val="none"/>
              </w:rPr>
            </w:pPr>
          </w:p>
        </w:tc>
        <w:tc>
          <w:tcPr>
            <w:tcW w:w="825" w:type="dxa"/>
            <w:noWrap w:val="0"/>
            <w:vAlign w:val="center"/>
          </w:tcPr>
          <w:p w14:paraId="28F13835">
            <w:pPr>
              <w:jc w:val="center"/>
              <w:rPr>
                <w:rFonts w:hint="eastAsia" w:ascii="宋体" w:hAnsi="宋体" w:eastAsia="宋体" w:cs="宋体"/>
                <w:color w:val="auto"/>
                <w:sz w:val="24"/>
                <w:szCs w:val="24"/>
                <w:highlight w:val="none"/>
              </w:rPr>
            </w:pPr>
          </w:p>
        </w:tc>
      </w:tr>
      <w:tr w14:paraId="4DE1E0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3C2047DE">
            <w:pPr>
              <w:jc w:val="center"/>
              <w:rPr>
                <w:rFonts w:hint="eastAsia" w:ascii="宋体" w:hAnsi="宋体" w:eastAsia="宋体" w:cs="宋体"/>
                <w:color w:val="auto"/>
                <w:sz w:val="24"/>
                <w:szCs w:val="24"/>
                <w:highlight w:val="none"/>
              </w:rPr>
            </w:pPr>
          </w:p>
        </w:tc>
        <w:tc>
          <w:tcPr>
            <w:tcW w:w="1256" w:type="dxa"/>
            <w:noWrap w:val="0"/>
            <w:vAlign w:val="center"/>
          </w:tcPr>
          <w:p w14:paraId="6850B045">
            <w:pPr>
              <w:jc w:val="center"/>
              <w:rPr>
                <w:rFonts w:hint="eastAsia" w:ascii="宋体" w:hAnsi="宋体" w:eastAsia="宋体" w:cs="宋体"/>
                <w:color w:val="auto"/>
                <w:sz w:val="24"/>
                <w:szCs w:val="24"/>
                <w:highlight w:val="none"/>
              </w:rPr>
            </w:pPr>
          </w:p>
        </w:tc>
        <w:tc>
          <w:tcPr>
            <w:tcW w:w="1149" w:type="dxa"/>
            <w:noWrap w:val="0"/>
            <w:vAlign w:val="center"/>
          </w:tcPr>
          <w:p w14:paraId="5A6ECF89">
            <w:pPr>
              <w:jc w:val="center"/>
              <w:rPr>
                <w:rFonts w:hint="eastAsia" w:ascii="宋体" w:hAnsi="宋体" w:eastAsia="宋体" w:cs="宋体"/>
                <w:color w:val="auto"/>
                <w:sz w:val="24"/>
                <w:szCs w:val="24"/>
                <w:highlight w:val="none"/>
              </w:rPr>
            </w:pPr>
          </w:p>
        </w:tc>
        <w:tc>
          <w:tcPr>
            <w:tcW w:w="940" w:type="dxa"/>
            <w:noWrap w:val="0"/>
            <w:vAlign w:val="center"/>
          </w:tcPr>
          <w:p w14:paraId="42770C44">
            <w:pPr>
              <w:jc w:val="center"/>
              <w:rPr>
                <w:rFonts w:hint="eastAsia" w:ascii="宋体" w:hAnsi="宋体" w:eastAsia="宋体" w:cs="宋体"/>
                <w:color w:val="auto"/>
                <w:sz w:val="24"/>
                <w:szCs w:val="24"/>
                <w:highlight w:val="none"/>
              </w:rPr>
            </w:pPr>
          </w:p>
        </w:tc>
        <w:tc>
          <w:tcPr>
            <w:tcW w:w="851" w:type="dxa"/>
            <w:noWrap w:val="0"/>
            <w:vAlign w:val="center"/>
          </w:tcPr>
          <w:p w14:paraId="58F03CDB">
            <w:pPr>
              <w:jc w:val="center"/>
              <w:rPr>
                <w:rFonts w:hint="eastAsia" w:ascii="宋体" w:hAnsi="宋体" w:eastAsia="宋体" w:cs="宋体"/>
                <w:color w:val="auto"/>
                <w:sz w:val="24"/>
                <w:szCs w:val="24"/>
                <w:highlight w:val="none"/>
              </w:rPr>
            </w:pPr>
          </w:p>
        </w:tc>
        <w:tc>
          <w:tcPr>
            <w:tcW w:w="1044" w:type="dxa"/>
            <w:noWrap w:val="0"/>
            <w:vAlign w:val="center"/>
          </w:tcPr>
          <w:p w14:paraId="22F44029">
            <w:pPr>
              <w:jc w:val="center"/>
              <w:rPr>
                <w:rFonts w:hint="eastAsia" w:ascii="宋体" w:hAnsi="宋体" w:eastAsia="宋体" w:cs="宋体"/>
                <w:color w:val="auto"/>
                <w:sz w:val="24"/>
                <w:szCs w:val="24"/>
                <w:highlight w:val="none"/>
              </w:rPr>
            </w:pPr>
          </w:p>
        </w:tc>
        <w:tc>
          <w:tcPr>
            <w:tcW w:w="1108" w:type="dxa"/>
            <w:noWrap w:val="0"/>
            <w:vAlign w:val="center"/>
          </w:tcPr>
          <w:p w14:paraId="3284CAA6">
            <w:pPr>
              <w:jc w:val="center"/>
              <w:rPr>
                <w:rFonts w:hint="eastAsia" w:ascii="宋体" w:hAnsi="宋体" w:eastAsia="宋体" w:cs="宋体"/>
                <w:color w:val="auto"/>
                <w:sz w:val="24"/>
                <w:szCs w:val="24"/>
                <w:highlight w:val="none"/>
              </w:rPr>
            </w:pPr>
          </w:p>
        </w:tc>
        <w:tc>
          <w:tcPr>
            <w:tcW w:w="825" w:type="dxa"/>
            <w:noWrap w:val="0"/>
            <w:vAlign w:val="center"/>
          </w:tcPr>
          <w:p w14:paraId="6AA02D68">
            <w:pPr>
              <w:jc w:val="center"/>
              <w:rPr>
                <w:rFonts w:hint="eastAsia" w:ascii="宋体" w:hAnsi="宋体" w:eastAsia="宋体" w:cs="宋体"/>
                <w:color w:val="auto"/>
                <w:sz w:val="24"/>
                <w:szCs w:val="24"/>
                <w:highlight w:val="none"/>
              </w:rPr>
            </w:pPr>
          </w:p>
        </w:tc>
        <w:tc>
          <w:tcPr>
            <w:tcW w:w="1139" w:type="dxa"/>
            <w:noWrap w:val="0"/>
            <w:vAlign w:val="center"/>
          </w:tcPr>
          <w:p w14:paraId="0C120003">
            <w:pPr>
              <w:jc w:val="center"/>
              <w:rPr>
                <w:rFonts w:hint="eastAsia" w:ascii="宋体" w:hAnsi="宋体" w:eastAsia="宋体" w:cs="宋体"/>
                <w:color w:val="auto"/>
                <w:sz w:val="24"/>
                <w:szCs w:val="24"/>
                <w:highlight w:val="none"/>
              </w:rPr>
            </w:pPr>
          </w:p>
        </w:tc>
        <w:tc>
          <w:tcPr>
            <w:tcW w:w="825" w:type="dxa"/>
            <w:noWrap w:val="0"/>
            <w:vAlign w:val="center"/>
          </w:tcPr>
          <w:p w14:paraId="68774E24">
            <w:pPr>
              <w:jc w:val="center"/>
              <w:rPr>
                <w:rFonts w:hint="eastAsia" w:ascii="宋体" w:hAnsi="宋体" w:eastAsia="宋体" w:cs="宋体"/>
                <w:color w:val="auto"/>
                <w:sz w:val="24"/>
                <w:szCs w:val="24"/>
                <w:highlight w:val="none"/>
              </w:rPr>
            </w:pPr>
          </w:p>
        </w:tc>
      </w:tr>
      <w:tr w14:paraId="5F033F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552AB0CC">
            <w:pPr>
              <w:jc w:val="center"/>
              <w:rPr>
                <w:rFonts w:hint="eastAsia" w:ascii="宋体" w:hAnsi="宋体" w:eastAsia="宋体" w:cs="宋体"/>
                <w:color w:val="auto"/>
                <w:sz w:val="24"/>
                <w:szCs w:val="24"/>
                <w:highlight w:val="none"/>
              </w:rPr>
            </w:pPr>
          </w:p>
        </w:tc>
        <w:tc>
          <w:tcPr>
            <w:tcW w:w="1256" w:type="dxa"/>
            <w:noWrap w:val="0"/>
            <w:vAlign w:val="center"/>
          </w:tcPr>
          <w:p w14:paraId="076F1D7B">
            <w:pPr>
              <w:jc w:val="center"/>
              <w:rPr>
                <w:rFonts w:hint="eastAsia" w:ascii="宋体" w:hAnsi="宋体" w:eastAsia="宋体" w:cs="宋体"/>
                <w:color w:val="auto"/>
                <w:sz w:val="24"/>
                <w:szCs w:val="24"/>
                <w:highlight w:val="none"/>
              </w:rPr>
            </w:pPr>
          </w:p>
        </w:tc>
        <w:tc>
          <w:tcPr>
            <w:tcW w:w="1149" w:type="dxa"/>
            <w:noWrap w:val="0"/>
            <w:vAlign w:val="center"/>
          </w:tcPr>
          <w:p w14:paraId="0B050473">
            <w:pPr>
              <w:jc w:val="center"/>
              <w:rPr>
                <w:rFonts w:hint="eastAsia" w:ascii="宋体" w:hAnsi="宋体" w:eastAsia="宋体" w:cs="宋体"/>
                <w:color w:val="auto"/>
                <w:sz w:val="24"/>
                <w:szCs w:val="24"/>
                <w:highlight w:val="none"/>
              </w:rPr>
            </w:pPr>
          </w:p>
        </w:tc>
        <w:tc>
          <w:tcPr>
            <w:tcW w:w="940" w:type="dxa"/>
            <w:noWrap w:val="0"/>
            <w:vAlign w:val="center"/>
          </w:tcPr>
          <w:p w14:paraId="409E3582">
            <w:pPr>
              <w:jc w:val="center"/>
              <w:rPr>
                <w:rFonts w:hint="eastAsia" w:ascii="宋体" w:hAnsi="宋体" w:eastAsia="宋体" w:cs="宋体"/>
                <w:color w:val="auto"/>
                <w:sz w:val="24"/>
                <w:szCs w:val="24"/>
                <w:highlight w:val="none"/>
              </w:rPr>
            </w:pPr>
          </w:p>
        </w:tc>
        <w:tc>
          <w:tcPr>
            <w:tcW w:w="851" w:type="dxa"/>
            <w:noWrap w:val="0"/>
            <w:vAlign w:val="center"/>
          </w:tcPr>
          <w:p w14:paraId="5014DB6F">
            <w:pPr>
              <w:jc w:val="center"/>
              <w:rPr>
                <w:rFonts w:hint="eastAsia" w:ascii="宋体" w:hAnsi="宋体" w:eastAsia="宋体" w:cs="宋体"/>
                <w:color w:val="auto"/>
                <w:sz w:val="24"/>
                <w:szCs w:val="24"/>
                <w:highlight w:val="none"/>
              </w:rPr>
            </w:pPr>
          </w:p>
        </w:tc>
        <w:tc>
          <w:tcPr>
            <w:tcW w:w="1044" w:type="dxa"/>
            <w:noWrap w:val="0"/>
            <w:vAlign w:val="center"/>
          </w:tcPr>
          <w:p w14:paraId="79EBF46D">
            <w:pPr>
              <w:jc w:val="center"/>
              <w:rPr>
                <w:rFonts w:hint="eastAsia" w:ascii="宋体" w:hAnsi="宋体" w:eastAsia="宋体" w:cs="宋体"/>
                <w:color w:val="auto"/>
                <w:sz w:val="24"/>
                <w:szCs w:val="24"/>
                <w:highlight w:val="none"/>
              </w:rPr>
            </w:pPr>
          </w:p>
        </w:tc>
        <w:tc>
          <w:tcPr>
            <w:tcW w:w="1108" w:type="dxa"/>
            <w:noWrap w:val="0"/>
            <w:vAlign w:val="center"/>
          </w:tcPr>
          <w:p w14:paraId="3C77BE72">
            <w:pPr>
              <w:jc w:val="center"/>
              <w:rPr>
                <w:rFonts w:hint="eastAsia" w:ascii="宋体" w:hAnsi="宋体" w:eastAsia="宋体" w:cs="宋体"/>
                <w:color w:val="auto"/>
                <w:sz w:val="24"/>
                <w:szCs w:val="24"/>
                <w:highlight w:val="none"/>
              </w:rPr>
            </w:pPr>
          </w:p>
        </w:tc>
        <w:tc>
          <w:tcPr>
            <w:tcW w:w="825" w:type="dxa"/>
            <w:noWrap w:val="0"/>
            <w:vAlign w:val="center"/>
          </w:tcPr>
          <w:p w14:paraId="45AF0D64">
            <w:pPr>
              <w:jc w:val="center"/>
              <w:rPr>
                <w:rFonts w:hint="eastAsia" w:ascii="宋体" w:hAnsi="宋体" w:eastAsia="宋体" w:cs="宋体"/>
                <w:color w:val="auto"/>
                <w:sz w:val="24"/>
                <w:szCs w:val="24"/>
                <w:highlight w:val="none"/>
              </w:rPr>
            </w:pPr>
          </w:p>
        </w:tc>
        <w:tc>
          <w:tcPr>
            <w:tcW w:w="1139" w:type="dxa"/>
            <w:noWrap w:val="0"/>
            <w:vAlign w:val="center"/>
          </w:tcPr>
          <w:p w14:paraId="7F8F79B9">
            <w:pPr>
              <w:jc w:val="center"/>
              <w:rPr>
                <w:rFonts w:hint="eastAsia" w:ascii="宋体" w:hAnsi="宋体" w:eastAsia="宋体" w:cs="宋体"/>
                <w:color w:val="auto"/>
                <w:sz w:val="24"/>
                <w:szCs w:val="24"/>
                <w:highlight w:val="none"/>
              </w:rPr>
            </w:pPr>
          </w:p>
        </w:tc>
        <w:tc>
          <w:tcPr>
            <w:tcW w:w="825" w:type="dxa"/>
            <w:noWrap w:val="0"/>
            <w:vAlign w:val="center"/>
          </w:tcPr>
          <w:p w14:paraId="7D040A5F">
            <w:pPr>
              <w:jc w:val="center"/>
              <w:rPr>
                <w:rFonts w:hint="eastAsia" w:ascii="宋体" w:hAnsi="宋体" w:eastAsia="宋体" w:cs="宋体"/>
                <w:color w:val="auto"/>
                <w:sz w:val="24"/>
                <w:szCs w:val="24"/>
                <w:highlight w:val="none"/>
              </w:rPr>
            </w:pPr>
          </w:p>
        </w:tc>
      </w:tr>
      <w:tr w14:paraId="077F2C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7E73C274">
            <w:pPr>
              <w:jc w:val="center"/>
              <w:rPr>
                <w:rFonts w:hint="eastAsia" w:ascii="宋体" w:hAnsi="宋体" w:eastAsia="宋体" w:cs="宋体"/>
                <w:color w:val="auto"/>
                <w:sz w:val="24"/>
                <w:szCs w:val="24"/>
                <w:highlight w:val="none"/>
              </w:rPr>
            </w:pPr>
          </w:p>
        </w:tc>
        <w:tc>
          <w:tcPr>
            <w:tcW w:w="1256" w:type="dxa"/>
            <w:noWrap w:val="0"/>
            <w:vAlign w:val="center"/>
          </w:tcPr>
          <w:p w14:paraId="48E9EC76">
            <w:pPr>
              <w:jc w:val="center"/>
              <w:rPr>
                <w:rFonts w:hint="eastAsia" w:ascii="宋体" w:hAnsi="宋体" w:eastAsia="宋体" w:cs="宋体"/>
                <w:color w:val="auto"/>
                <w:sz w:val="24"/>
                <w:szCs w:val="24"/>
                <w:highlight w:val="none"/>
              </w:rPr>
            </w:pPr>
          </w:p>
        </w:tc>
        <w:tc>
          <w:tcPr>
            <w:tcW w:w="1149" w:type="dxa"/>
            <w:noWrap w:val="0"/>
            <w:vAlign w:val="center"/>
          </w:tcPr>
          <w:p w14:paraId="21636489">
            <w:pPr>
              <w:jc w:val="center"/>
              <w:rPr>
                <w:rFonts w:hint="eastAsia" w:ascii="宋体" w:hAnsi="宋体" w:eastAsia="宋体" w:cs="宋体"/>
                <w:color w:val="auto"/>
                <w:sz w:val="24"/>
                <w:szCs w:val="24"/>
                <w:highlight w:val="none"/>
              </w:rPr>
            </w:pPr>
          </w:p>
        </w:tc>
        <w:tc>
          <w:tcPr>
            <w:tcW w:w="940" w:type="dxa"/>
            <w:noWrap w:val="0"/>
            <w:vAlign w:val="center"/>
          </w:tcPr>
          <w:p w14:paraId="7FB66217">
            <w:pPr>
              <w:jc w:val="center"/>
              <w:rPr>
                <w:rFonts w:hint="eastAsia" w:ascii="宋体" w:hAnsi="宋体" w:eastAsia="宋体" w:cs="宋体"/>
                <w:color w:val="auto"/>
                <w:sz w:val="24"/>
                <w:szCs w:val="24"/>
                <w:highlight w:val="none"/>
              </w:rPr>
            </w:pPr>
          </w:p>
        </w:tc>
        <w:tc>
          <w:tcPr>
            <w:tcW w:w="851" w:type="dxa"/>
            <w:noWrap w:val="0"/>
            <w:vAlign w:val="center"/>
          </w:tcPr>
          <w:p w14:paraId="72F75A1F">
            <w:pPr>
              <w:jc w:val="center"/>
              <w:rPr>
                <w:rFonts w:hint="eastAsia" w:ascii="宋体" w:hAnsi="宋体" w:eastAsia="宋体" w:cs="宋体"/>
                <w:color w:val="auto"/>
                <w:sz w:val="24"/>
                <w:szCs w:val="24"/>
                <w:highlight w:val="none"/>
              </w:rPr>
            </w:pPr>
          </w:p>
        </w:tc>
        <w:tc>
          <w:tcPr>
            <w:tcW w:w="1044" w:type="dxa"/>
            <w:noWrap w:val="0"/>
            <w:vAlign w:val="center"/>
          </w:tcPr>
          <w:p w14:paraId="7650B497">
            <w:pPr>
              <w:jc w:val="center"/>
              <w:rPr>
                <w:rFonts w:hint="eastAsia" w:ascii="宋体" w:hAnsi="宋体" w:eastAsia="宋体" w:cs="宋体"/>
                <w:color w:val="auto"/>
                <w:sz w:val="24"/>
                <w:szCs w:val="24"/>
                <w:highlight w:val="none"/>
              </w:rPr>
            </w:pPr>
          </w:p>
        </w:tc>
        <w:tc>
          <w:tcPr>
            <w:tcW w:w="1108" w:type="dxa"/>
            <w:noWrap w:val="0"/>
            <w:vAlign w:val="center"/>
          </w:tcPr>
          <w:p w14:paraId="21AC74C4">
            <w:pPr>
              <w:jc w:val="center"/>
              <w:rPr>
                <w:rFonts w:hint="eastAsia" w:ascii="宋体" w:hAnsi="宋体" w:eastAsia="宋体" w:cs="宋体"/>
                <w:color w:val="auto"/>
                <w:sz w:val="24"/>
                <w:szCs w:val="24"/>
                <w:highlight w:val="none"/>
              </w:rPr>
            </w:pPr>
          </w:p>
        </w:tc>
        <w:tc>
          <w:tcPr>
            <w:tcW w:w="825" w:type="dxa"/>
            <w:noWrap w:val="0"/>
            <w:vAlign w:val="center"/>
          </w:tcPr>
          <w:p w14:paraId="04E6AD9A">
            <w:pPr>
              <w:jc w:val="center"/>
              <w:rPr>
                <w:rFonts w:hint="eastAsia" w:ascii="宋体" w:hAnsi="宋体" w:eastAsia="宋体" w:cs="宋体"/>
                <w:color w:val="auto"/>
                <w:sz w:val="24"/>
                <w:szCs w:val="24"/>
                <w:highlight w:val="none"/>
              </w:rPr>
            </w:pPr>
          </w:p>
        </w:tc>
        <w:tc>
          <w:tcPr>
            <w:tcW w:w="1139" w:type="dxa"/>
            <w:noWrap w:val="0"/>
            <w:vAlign w:val="center"/>
          </w:tcPr>
          <w:p w14:paraId="12C714D2">
            <w:pPr>
              <w:jc w:val="center"/>
              <w:rPr>
                <w:rFonts w:hint="eastAsia" w:ascii="宋体" w:hAnsi="宋体" w:eastAsia="宋体" w:cs="宋体"/>
                <w:color w:val="auto"/>
                <w:sz w:val="24"/>
                <w:szCs w:val="24"/>
                <w:highlight w:val="none"/>
              </w:rPr>
            </w:pPr>
          </w:p>
        </w:tc>
        <w:tc>
          <w:tcPr>
            <w:tcW w:w="825" w:type="dxa"/>
            <w:noWrap w:val="0"/>
            <w:vAlign w:val="center"/>
          </w:tcPr>
          <w:p w14:paraId="4970443D">
            <w:pPr>
              <w:jc w:val="center"/>
              <w:rPr>
                <w:rFonts w:hint="eastAsia" w:ascii="宋体" w:hAnsi="宋体" w:eastAsia="宋体" w:cs="宋体"/>
                <w:color w:val="auto"/>
                <w:sz w:val="24"/>
                <w:szCs w:val="24"/>
                <w:highlight w:val="none"/>
              </w:rPr>
            </w:pPr>
          </w:p>
        </w:tc>
      </w:tr>
      <w:tr w14:paraId="759292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22D60C63">
            <w:pPr>
              <w:jc w:val="center"/>
              <w:rPr>
                <w:rFonts w:hint="eastAsia" w:ascii="宋体" w:hAnsi="宋体" w:eastAsia="宋体" w:cs="宋体"/>
                <w:color w:val="auto"/>
                <w:sz w:val="24"/>
                <w:szCs w:val="24"/>
                <w:highlight w:val="none"/>
              </w:rPr>
            </w:pPr>
          </w:p>
        </w:tc>
        <w:tc>
          <w:tcPr>
            <w:tcW w:w="1256" w:type="dxa"/>
            <w:noWrap w:val="0"/>
            <w:vAlign w:val="center"/>
          </w:tcPr>
          <w:p w14:paraId="3FDBA58F">
            <w:pPr>
              <w:jc w:val="center"/>
              <w:rPr>
                <w:rFonts w:hint="eastAsia" w:ascii="宋体" w:hAnsi="宋体" w:eastAsia="宋体" w:cs="宋体"/>
                <w:color w:val="auto"/>
                <w:sz w:val="24"/>
                <w:szCs w:val="24"/>
                <w:highlight w:val="none"/>
              </w:rPr>
            </w:pPr>
          </w:p>
        </w:tc>
        <w:tc>
          <w:tcPr>
            <w:tcW w:w="1149" w:type="dxa"/>
            <w:noWrap w:val="0"/>
            <w:vAlign w:val="center"/>
          </w:tcPr>
          <w:p w14:paraId="579F6473">
            <w:pPr>
              <w:jc w:val="center"/>
              <w:rPr>
                <w:rFonts w:hint="eastAsia" w:ascii="宋体" w:hAnsi="宋体" w:eastAsia="宋体" w:cs="宋体"/>
                <w:color w:val="auto"/>
                <w:sz w:val="24"/>
                <w:szCs w:val="24"/>
                <w:highlight w:val="none"/>
              </w:rPr>
            </w:pPr>
          </w:p>
        </w:tc>
        <w:tc>
          <w:tcPr>
            <w:tcW w:w="940" w:type="dxa"/>
            <w:noWrap w:val="0"/>
            <w:vAlign w:val="center"/>
          </w:tcPr>
          <w:p w14:paraId="414DB555">
            <w:pPr>
              <w:jc w:val="center"/>
              <w:rPr>
                <w:rFonts w:hint="eastAsia" w:ascii="宋体" w:hAnsi="宋体" w:eastAsia="宋体" w:cs="宋体"/>
                <w:color w:val="auto"/>
                <w:sz w:val="24"/>
                <w:szCs w:val="24"/>
                <w:highlight w:val="none"/>
              </w:rPr>
            </w:pPr>
          </w:p>
        </w:tc>
        <w:tc>
          <w:tcPr>
            <w:tcW w:w="851" w:type="dxa"/>
            <w:noWrap w:val="0"/>
            <w:vAlign w:val="center"/>
          </w:tcPr>
          <w:p w14:paraId="34B3FBEF">
            <w:pPr>
              <w:jc w:val="center"/>
              <w:rPr>
                <w:rFonts w:hint="eastAsia" w:ascii="宋体" w:hAnsi="宋体" w:eastAsia="宋体" w:cs="宋体"/>
                <w:color w:val="auto"/>
                <w:sz w:val="24"/>
                <w:szCs w:val="24"/>
                <w:highlight w:val="none"/>
              </w:rPr>
            </w:pPr>
          </w:p>
        </w:tc>
        <w:tc>
          <w:tcPr>
            <w:tcW w:w="1044" w:type="dxa"/>
            <w:noWrap w:val="0"/>
            <w:vAlign w:val="center"/>
          </w:tcPr>
          <w:p w14:paraId="43AE4ECD">
            <w:pPr>
              <w:jc w:val="center"/>
              <w:rPr>
                <w:rFonts w:hint="eastAsia" w:ascii="宋体" w:hAnsi="宋体" w:eastAsia="宋体" w:cs="宋体"/>
                <w:color w:val="auto"/>
                <w:sz w:val="24"/>
                <w:szCs w:val="24"/>
                <w:highlight w:val="none"/>
              </w:rPr>
            </w:pPr>
          </w:p>
        </w:tc>
        <w:tc>
          <w:tcPr>
            <w:tcW w:w="1108" w:type="dxa"/>
            <w:noWrap w:val="0"/>
            <w:vAlign w:val="center"/>
          </w:tcPr>
          <w:p w14:paraId="19F38334">
            <w:pPr>
              <w:jc w:val="center"/>
              <w:rPr>
                <w:rFonts w:hint="eastAsia" w:ascii="宋体" w:hAnsi="宋体" w:eastAsia="宋体" w:cs="宋体"/>
                <w:color w:val="auto"/>
                <w:sz w:val="24"/>
                <w:szCs w:val="24"/>
                <w:highlight w:val="none"/>
              </w:rPr>
            </w:pPr>
          </w:p>
        </w:tc>
        <w:tc>
          <w:tcPr>
            <w:tcW w:w="825" w:type="dxa"/>
            <w:noWrap w:val="0"/>
            <w:vAlign w:val="center"/>
          </w:tcPr>
          <w:p w14:paraId="586B793B">
            <w:pPr>
              <w:jc w:val="center"/>
              <w:rPr>
                <w:rFonts w:hint="eastAsia" w:ascii="宋体" w:hAnsi="宋体" w:eastAsia="宋体" w:cs="宋体"/>
                <w:color w:val="auto"/>
                <w:sz w:val="24"/>
                <w:szCs w:val="24"/>
                <w:highlight w:val="none"/>
              </w:rPr>
            </w:pPr>
          </w:p>
        </w:tc>
        <w:tc>
          <w:tcPr>
            <w:tcW w:w="1139" w:type="dxa"/>
            <w:noWrap w:val="0"/>
            <w:vAlign w:val="center"/>
          </w:tcPr>
          <w:p w14:paraId="67979540">
            <w:pPr>
              <w:jc w:val="center"/>
              <w:rPr>
                <w:rFonts w:hint="eastAsia" w:ascii="宋体" w:hAnsi="宋体" w:eastAsia="宋体" w:cs="宋体"/>
                <w:color w:val="auto"/>
                <w:sz w:val="24"/>
                <w:szCs w:val="24"/>
                <w:highlight w:val="none"/>
              </w:rPr>
            </w:pPr>
          </w:p>
        </w:tc>
        <w:tc>
          <w:tcPr>
            <w:tcW w:w="825" w:type="dxa"/>
            <w:noWrap w:val="0"/>
            <w:vAlign w:val="center"/>
          </w:tcPr>
          <w:p w14:paraId="1D81458E">
            <w:pPr>
              <w:jc w:val="center"/>
              <w:rPr>
                <w:rFonts w:hint="eastAsia" w:ascii="宋体" w:hAnsi="宋体" w:eastAsia="宋体" w:cs="宋体"/>
                <w:color w:val="auto"/>
                <w:sz w:val="24"/>
                <w:szCs w:val="24"/>
                <w:highlight w:val="none"/>
              </w:rPr>
            </w:pPr>
          </w:p>
        </w:tc>
      </w:tr>
      <w:tr w14:paraId="15624C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497623FB">
            <w:pPr>
              <w:jc w:val="center"/>
              <w:rPr>
                <w:rFonts w:hint="eastAsia" w:ascii="宋体" w:hAnsi="宋体" w:eastAsia="宋体" w:cs="宋体"/>
                <w:color w:val="auto"/>
                <w:sz w:val="24"/>
                <w:szCs w:val="24"/>
                <w:highlight w:val="none"/>
              </w:rPr>
            </w:pPr>
          </w:p>
        </w:tc>
        <w:tc>
          <w:tcPr>
            <w:tcW w:w="1256" w:type="dxa"/>
            <w:noWrap w:val="0"/>
            <w:vAlign w:val="center"/>
          </w:tcPr>
          <w:p w14:paraId="70DC94AF">
            <w:pPr>
              <w:jc w:val="center"/>
              <w:rPr>
                <w:rFonts w:hint="eastAsia" w:ascii="宋体" w:hAnsi="宋体" w:eastAsia="宋体" w:cs="宋体"/>
                <w:color w:val="auto"/>
                <w:sz w:val="24"/>
                <w:szCs w:val="24"/>
                <w:highlight w:val="none"/>
              </w:rPr>
            </w:pPr>
          </w:p>
        </w:tc>
        <w:tc>
          <w:tcPr>
            <w:tcW w:w="1149" w:type="dxa"/>
            <w:noWrap w:val="0"/>
            <w:vAlign w:val="center"/>
          </w:tcPr>
          <w:p w14:paraId="024545FC">
            <w:pPr>
              <w:jc w:val="center"/>
              <w:rPr>
                <w:rFonts w:hint="eastAsia" w:ascii="宋体" w:hAnsi="宋体" w:eastAsia="宋体" w:cs="宋体"/>
                <w:color w:val="auto"/>
                <w:sz w:val="24"/>
                <w:szCs w:val="24"/>
                <w:highlight w:val="none"/>
              </w:rPr>
            </w:pPr>
          </w:p>
        </w:tc>
        <w:tc>
          <w:tcPr>
            <w:tcW w:w="940" w:type="dxa"/>
            <w:noWrap w:val="0"/>
            <w:vAlign w:val="center"/>
          </w:tcPr>
          <w:p w14:paraId="0E5DDBA7">
            <w:pPr>
              <w:jc w:val="center"/>
              <w:rPr>
                <w:rFonts w:hint="eastAsia" w:ascii="宋体" w:hAnsi="宋体" w:eastAsia="宋体" w:cs="宋体"/>
                <w:color w:val="auto"/>
                <w:sz w:val="24"/>
                <w:szCs w:val="24"/>
                <w:highlight w:val="none"/>
              </w:rPr>
            </w:pPr>
          </w:p>
        </w:tc>
        <w:tc>
          <w:tcPr>
            <w:tcW w:w="851" w:type="dxa"/>
            <w:noWrap w:val="0"/>
            <w:vAlign w:val="center"/>
          </w:tcPr>
          <w:p w14:paraId="706B1D8F">
            <w:pPr>
              <w:jc w:val="center"/>
              <w:rPr>
                <w:rFonts w:hint="eastAsia" w:ascii="宋体" w:hAnsi="宋体" w:eastAsia="宋体" w:cs="宋体"/>
                <w:color w:val="auto"/>
                <w:sz w:val="24"/>
                <w:szCs w:val="24"/>
                <w:highlight w:val="none"/>
              </w:rPr>
            </w:pPr>
          </w:p>
        </w:tc>
        <w:tc>
          <w:tcPr>
            <w:tcW w:w="1044" w:type="dxa"/>
            <w:noWrap w:val="0"/>
            <w:vAlign w:val="center"/>
          </w:tcPr>
          <w:p w14:paraId="2E4247D4">
            <w:pPr>
              <w:jc w:val="center"/>
              <w:rPr>
                <w:rFonts w:hint="eastAsia" w:ascii="宋体" w:hAnsi="宋体" w:eastAsia="宋体" w:cs="宋体"/>
                <w:color w:val="auto"/>
                <w:sz w:val="24"/>
                <w:szCs w:val="24"/>
                <w:highlight w:val="none"/>
              </w:rPr>
            </w:pPr>
          </w:p>
        </w:tc>
        <w:tc>
          <w:tcPr>
            <w:tcW w:w="1108" w:type="dxa"/>
            <w:noWrap w:val="0"/>
            <w:vAlign w:val="center"/>
          </w:tcPr>
          <w:p w14:paraId="1AD5DC83">
            <w:pPr>
              <w:jc w:val="center"/>
              <w:rPr>
                <w:rFonts w:hint="eastAsia" w:ascii="宋体" w:hAnsi="宋体" w:eastAsia="宋体" w:cs="宋体"/>
                <w:color w:val="auto"/>
                <w:sz w:val="24"/>
                <w:szCs w:val="24"/>
                <w:highlight w:val="none"/>
              </w:rPr>
            </w:pPr>
          </w:p>
        </w:tc>
        <w:tc>
          <w:tcPr>
            <w:tcW w:w="825" w:type="dxa"/>
            <w:noWrap w:val="0"/>
            <w:vAlign w:val="center"/>
          </w:tcPr>
          <w:p w14:paraId="79300C52">
            <w:pPr>
              <w:jc w:val="center"/>
              <w:rPr>
                <w:rFonts w:hint="eastAsia" w:ascii="宋体" w:hAnsi="宋体" w:eastAsia="宋体" w:cs="宋体"/>
                <w:color w:val="auto"/>
                <w:sz w:val="24"/>
                <w:szCs w:val="24"/>
                <w:highlight w:val="none"/>
              </w:rPr>
            </w:pPr>
          </w:p>
        </w:tc>
        <w:tc>
          <w:tcPr>
            <w:tcW w:w="1139" w:type="dxa"/>
            <w:noWrap w:val="0"/>
            <w:vAlign w:val="center"/>
          </w:tcPr>
          <w:p w14:paraId="738EBF48">
            <w:pPr>
              <w:jc w:val="center"/>
              <w:rPr>
                <w:rFonts w:hint="eastAsia" w:ascii="宋体" w:hAnsi="宋体" w:eastAsia="宋体" w:cs="宋体"/>
                <w:color w:val="auto"/>
                <w:sz w:val="24"/>
                <w:szCs w:val="24"/>
                <w:highlight w:val="none"/>
              </w:rPr>
            </w:pPr>
          </w:p>
        </w:tc>
        <w:tc>
          <w:tcPr>
            <w:tcW w:w="825" w:type="dxa"/>
            <w:noWrap w:val="0"/>
            <w:vAlign w:val="center"/>
          </w:tcPr>
          <w:p w14:paraId="017919B0">
            <w:pPr>
              <w:jc w:val="center"/>
              <w:rPr>
                <w:rFonts w:hint="eastAsia" w:ascii="宋体" w:hAnsi="宋体" w:eastAsia="宋体" w:cs="宋体"/>
                <w:color w:val="auto"/>
                <w:sz w:val="24"/>
                <w:szCs w:val="24"/>
                <w:highlight w:val="none"/>
              </w:rPr>
            </w:pPr>
          </w:p>
        </w:tc>
      </w:tr>
      <w:tr w14:paraId="314E23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3274B899">
            <w:pPr>
              <w:jc w:val="center"/>
              <w:rPr>
                <w:rFonts w:hint="eastAsia" w:ascii="宋体" w:hAnsi="宋体" w:eastAsia="宋体" w:cs="宋体"/>
                <w:color w:val="auto"/>
                <w:sz w:val="24"/>
                <w:szCs w:val="24"/>
                <w:highlight w:val="none"/>
              </w:rPr>
            </w:pPr>
          </w:p>
        </w:tc>
        <w:tc>
          <w:tcPr>
            <w:tcW w:w="1256" w:type="dxa"/>
            <w:noWrap w:val="0"/>
            <w:vAlign w:val="center"/>
          </w:tcPr>
          <w:p w14:paraId="31F8A4A8">
            <w:pPr>
              <w:jc w:val="center"/>
              <w:rPr>
                <w:rFonts w:hint="eastAsia" w:ascii="宋体" w:hAnsi="宋体" w:eastAsia="宋体" w:cs="宋体"/>
                <w:color w:val="auto"/>
                <w:sz w:val="24"/>
                <w:szCs w:val="24"/>
                <w:highlight w:val="none"/>
              </w:rPr>
            </w:pPr>
          </w:p>
        </w:tc>
        <w:tc>
          <w:tcPr>
            <w:tcW w:w="1149" w:type="dxa"/>
            <w:noWrap w:val="0"/>
            <w:vAlign w:val="center"/>
          </w:tcPr>
          <w:p w14:paraId="1D3C7869">
            <w:pPr>
              <w:jc w:val="center"/>
              <w:rPr>
                <w:rFonts w:hint="eastAsia" w:ascii="宋体" w:hAnsi="宋体" w:eastAsia="宋体" w:cs="宋体"/>
                <w:color w:val="auto"/>
                <w:sz w:val="24"/>
                <w:szCs w:val="24"/>
                <w:highlight w:val="none"/>
              </w:rPr>
            </w:pPr>
          </w:p>
        </w:tc>
        <w:tc>
          <w:tcPr>
            <w:tcW w:w="940" w:type="dxa"/>
            <w:noWrap w:val="0"/>
            <w:vAlign w:val="center"/>
          </w:tcPr>
          <w:p w14:paraId="10723DF2">
            <w:pPr>
              <w:jc w:val="center"/>
              <w:rPr>
                <w:rFonts w:hint="eastAsia" w:ascii="宋体" w:hAnsi="宋体" w:eastAsia="宋体" w:cs="宋体"/>
                <w:color w:val="auto"/>
                <w:sz w:val="24"/>
                <w:szCs w:val="24"/>
                <w:highlight w:val="none"/>
              </w:rPr>
            </w:pPr>
          </w:p>
        </w:tc>
        <w:tc>
          <w:tcPr>
            <w:tcW w:w="851" w:type="dxa"/>
            <w:noWrap w:val="0"/>
            <w:vAlign w:val="center"/>
          </w:tcPr>
          <w:p w14:paraId="0CE8DF80">
            <w:pPr>
              <w:jc w:val="center"/>
              <w:rPr>
                <w:rFonts w:hint="eastAsia" w:ascii="宋体" w:hAnsi="宋体" w:eastAsia="宋体" w:cs="宋体"/>
                <w:color w:val="auto"/>
                <w:sz w:val="24"/>
                <w:szCs w:val="24"/>
                <w:highlight w:val="none"/>
              </w:rPr>
            </w:pPr>
          </w:p>
        </w:tc>
        <w:tc>
          <w:tcPr>
            <w:tcW w:w="1044" w:type="dxa"/>
            <w:noWrap w:val="0"/>
            <w:vAlign w:val="center"/>
          </w:tcPr>
          <w:p w14:paraId="7B0133EB">
            <w:pPr>
              <w:jc w:val="center"/>
              <w:rPr>
                <w:rFonts w:hint="eastAsia" w:ascii="宋体" w:hAnsi="宋体" w:eastAsia="宋体" w:cs="宋体"/>
                <w:color w:val="auto"/>
                <w:sz w:val="24"/>
                <w:szCs w:val="24"/>
                <w:highlight w:val="none"/>
              </w:rPr>
            </w:pPr>
          </w:p>
        </w:tc>
        <w:tc>
          <w:tcPr>
            <w:tcW w:w="1108" w:type="dxa"/>
            <w:noWrap w:val="0"/>
            <w:vAlign w:val="center"/>
          </w:tcPr>
          <w:p w14:paraId="41CE5C0A">
            <w:pPr>
              <w:jc w:val="center"/>
              <w:rPr>
                <w:rFonts w:hint="eastAsia" w:ascii="宋体" w:hAnsi="宋体" w:eastAsia="宋体" w:cs="宋体"/>
                <w:color w:val="auto"/>
                <w:sz w:val="24"/>
                <w:szCs w:val="24"/>
                <w:highlight w:val="none"/>
              </w:rPr>
            </w:pPr>
          </w:p>
        </w:tc>
        <w:tc>
          <w:tcPr>
            <w:tcW w:w="825" w:type="dxa"/>
            <w:noWrap w:val="0"/>
            <w:vAlign w:val="center"/>
          </w:tcPr>
          <w:p w14:paraId="7129655C">
            <w:pPr>
              <w:jc w:val="center"/>
              <w:rPr>
                <w:rFonts w:hint="eastAsia" w:ascii="宋体" w:hAnsi="宋体" w:eastAsia="宋体" w:cs="宋体"/>
                <w:color w:val="auto"/>
                <w:sz w:val="24"/>
                <w:szCs w:val="24"/>
                <w:highlight w:val="none"/>
              </w:rPr>
            </w:pPr>
          </w:p>
        </w:tc>
        <w:tc>
          <w:tcPr>
            <w:tcW w:w="1139" w:type="dxa"/>
            <w:noWrap w:val="0"/>
            <w:vAlign w:val="center"/>
          </w:tcPr>
          <w:p w14:paraId="6AA5A47B">
            <w:pPr>
              <w:jc w:val="center"/>
              <w:rPr>
                <w:rFonts w:hint="eastAsia" w:ascii="宋体" w:hAnsi="宋体" w:eastAsia="宋体" w:cs="宋体"/>
                <w:color w:val="auto"/>
                <w:sz w:val="24"/>
                <w:szCs w:val="24"/>
                <w:highlight w:val="none"/>
              </w:rPr>
            </w:pPr>
          </w:p>
        </w:tc>
        <w:tc>
          <w:tcPr>
            <w:tcW w:w="825" w:type="dxa"/>
            <w:noWrap w:val="0"/>
            <w:vAlign w:val="center"/>
          </w:tcPr>
          <w:p w14:paraId="4C8DCEF7">
            <w:pPr>
              <w:jc w:val="center"/>
              <w:rPr>
                <w:rFonts w:hint="eastAsia" w:ascii="宋体" w:hAnsi="宋体" w:eastAsia="宋体" w:cs="宋体"/>
                <w:color w:val="auto"/>
                <w:sz w:val="24"/>
                <w:szCs w:val="24"/>
                <w:highlight w:val="none"/>
              </w:rPr>
            </w:pPr>
          </w:p>
        </w:tc>
      </w:tr>
      <w:tr w14:paraId="5EE1C0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62" w:type="dxa"/>
            <w:noWrap w:val="0"/>
            <w:vAlign w:val="center"/>
          </w:tcPr>
          <w:p w14:paraId="078A0358">
            <w:pPr>
              <w:jc w:val="center"/>
              <w:rPr>
                <w:rFonts w:hint="eastAsia" w:ascii="宋体" w:hAnsi="宋体" w:eastAsia="宋体" w:cs="宋体"/>
                <w:color w:val="auto"/>
                <w:sz w:val="24"/>
                <w:szCs w:val="24"/>
                <w:highlight w:val="none"/>
              </w:rPr>
            </w:pPr>
          </w:p>
        </w:tc>
        <w:tc>
          <w:tcPr>
            <w:tcW w:w="1256" w:type="dxa"/>
            <w:noWrap w:val="0"/>
            <w:vAlign w:val="center"/>
          </w:tcPr>
          <w:p w14:paraId="6AF22674">
            <w:pPr>
              <w:jc w:val="center"/>
              <w:rPr>
                <w:rFonts w:hint="eastAsia" w:ascii="宋体" w:hAnsi="宋体" w:eastAsia="宋体" w:cs="宋体"/>
                <w:color w:val="auto"/>
                <w:sz w:val="24"/>
                <w:szCs w:val="24"/>
                <w:highlight w:val="none"/>
              </w:rPr>
            </w:pPr>
          </w:p>
        </w:tc>
        <w:tc>
          <w:tcPr>
            <w:tcW w:w="1149" w:type="dxa"/>
            <w:noWrap w:val="0"/>
            <w:vAlign w:val="center"/>
          </w:tcPr>
          <w:p w14:paraId="72820FB1">
            <w:pPr>
              <w:jc w:val="center"/>
              <w:rPr>
                <w:rFonts w:hint="eastAsia" w:ascii="宋体" w:hAnsi="宋体" w:eastAsia="宋体" w:cs="宋体"/>
                <w:color w:val="auto"/>
                <w:sz w:val="24"/>
                <w:szCs w:val="24"/>
                <w:highlight w:val="none"/>
              </w:rPr>
            </w:pPr>
          </w:p>
        </w:tc>
        <w:tc>
          <w:tcPr>
            <w:tcW w:w="940" w:type="dxa"/>
            <w:noWrap w:val="0"/>
            <w:vAlign w:val="center"/>
          </w:tcPr>
          <w:p w14:paraId="5B6F81F1">
            <w:pPr>
              <w:jc w:val="center"/>
              <w:rPr>
                <w:rFonts w:hint="eastAsia" w:ascii="宋体" w:hAnsi="宋体" w:eastAsia="宋体" w:cs="宋体"/>
                <w:color w:val="auto"/>
                <w:sz w:val="24"/>
                <w:szCs w:val="24"/>
                <w:highlight w:val="none"/>
              </w:rPr>
            </w:pPr>
          </w:p>
        </w:tc>
        <w:tc>
          <w:tcPr>
            <w:tcW w:w="851" w:type="dxa"/>
            <w:noWrap w:val="0"/>
            <w:vAlign w:val="center"/>
          </w:tcPr>
          <w:p w14:paraId="44628702">
            <w:pPr>
              <w:jc w:val="center"/>
              <w:rPr>
                <w:rFonts w:hint="eastAsia" w:ascii="宋体" w:hAnsi="宋体" w:eastAsia="宋体" w:cs="宋体"/>
                <w:color w:val="auto"/>
                <w:sz w:val="24"/>
                <w:szCs w:val="24"/>
                <w:highlight w:val="none"/>
              </w:rPr>
            </w:pPr>
          </w:p>
        </w:tc>
        <w:tc>
          <w:tcPr>
            <w:tcW w:w="1044" w:type="dxa"/>
            <w:noWrap w:val="0"/>
            <w:vAlign w:val="center"/>
          </w:tcPr>
          <w:p w14:paraId="43A3E5DC">
            <w:pPr>
              <w:jc w:val="center"/>
              <w:rPr>
                <w:rFonts w:hint="eastAsia" w:ascii="宋体" w:hAnsi="宋体" w:eastAsia="宋体" w:cs="宋体"/>
                <w:color w:val="auto"/>
                <w:sz w:val="24"/>
                <w:szCs w:val="24"/>
                <w:highlight w:val="none"/>
              </w:rPr>
            </w:pPr>
          </w:p>
        </w:tc>
        <w:tc>
          <w:tcPr>
            <w:tcW w:w="1108" w:type="dxa"/>
            <w:noWrap w:val="0"/>
            <w:vAlign w:val="center"/>
          </w:tcPr>
          <w:p w14:paraId="4EF99655">
            <w:pPr>
              <w:jc w:val="center"/>
              <w:rPr>
                <w:rFonts w:hint="eastAsia" w:ascii="宋体" w:hAnsi="宋体" w:eastAsia="宋体" w:cs="宋体"/>
                <w:color w:val="auto"/>
                <w:sz w:val="24"/>
                <w:szCs w:val="24"/>
                <w:highlight w:val="none"/>
              </w:rPr>
            </w:pPr>
          </w:p>
        </w:tc>
        <w:tc>
          <w:tcPr>
            <w:tcW w:w="825" w:type="dxa"/>
            <w:noWrap w:val="0"/>
            <w:vAlign w:val="center"/>
          </w:tcPr>
          <w:p w14:paraId="08490CD5">
            <w:pPr>
              <w:jc w:val="center"/>
              <w:rPr>
                <w:rFonts w:hint="eastAsia" w:ascii="宋体" w:hAnsi="宋体" w:eastAsia="宋体" w:cs="宋体"/>
                <w:color w:val="auto"/>
                <w:sz w:val="24"/>
                <w:szCs w:val="24"/>
                <w:highlight w:val="none"/>
              </w:rPr>
            </w:pPr>
          </w:p>
        </w:tc>
        <w:tc>
          <w:tcPr>
            <w:tcW w:w="1139" w:type="dxa"/>
            <w:noWrap w:val="0"/>
            <w:vAlign w:val="center"/>
          </w:tcPr>
          <w:p w14:paraId="4F3E582A">
            <w:pPr>
              <w:jc w:val="center"/>
              <w:rPr>
                <w:rFonts w:hint="eastAsia" w:ascii="宋体" w:hAnsi="宋体" w:eastAsia="宋体" w:cs="宋体"/>
                <w:color w:val="auto"/>
                <w:sz w:val="24"/>
                <w:szCs w:val="24"/>
                <w:highlight w:val="none"/>
              </w:rPr>
            </w:pPr>
          </w:p>
        </w:tc>
        <w:tc>
          <w:tcPr>
            <w:tcW w:w="825" w:type="dxa"/>
            <w:noWrap w:val="0"/>
            <w:vAlign w:val="center"/>
          </w:tcPr>
          <w:p w14:paraId="651B4BE8">
            <w:pPr>
              <w:jc w:val="center"/>
              <w:rPr>
                <w:rFonts w:hint="eastAsia" w:ascii="宋体" w:hAnsi="宋体" w:eastAsia="宋体" w:cs="宋体"/>
                <w:color w:val="auto"/>
                <w:sz w:val="24"/>
                <w:szCs w:val="24"/>
                <w:highlight w:val="none"/>
              </w:rPr>
            </w:pPr>
          </w:p>
        </w:tc>
      </w:tr>
    </w:tbl>
    <w:p w14:paraId="45B3F90F">
      <w:pPr>
        <w:spacing w:line="440" w:lineRule="exact"/>
        <w:rPr>
          <w:rFonts w:hint="eastAsia" w:ascii="宋体" w:hAnsi="宋体" w:eastAsia="宋体" w:cs="宋体"/>
          <w:color w:val="auto"/>
          <w:sz w:val="24"/>
          <w:szCs w:val="24"/>
          <w:highlight w:val="none"/>
        </w:rPr>
      </w:pPr>
    </w:p>
    <w:p w14:paraId="7CA42F87">
      <w:pPr>
        <w:spacing w:line="440" w:lineRule="exact"/>
        <w:rPr>
          <w:rFonts w:hint="eastAsia" w:ascii="宋体" w:hAnsi="宋体" w:eastAsia="宋体" w:cs="宋体"/>
          <w:color w:val="auto"/>
          <w:sz w:val="24"/>
          <w:szCs w:val="24"/>
          <w:highlight w:val="none"/>
        </w:rPr>
      </w:pPr>
    </w:p>
    <w:p w14:paraId="42EAE727">
      <w:pPr>
        <w:spacing w:line="440" w:lineRule="exact"/>
        <w:rPr>
          <w:rFonts w:hint="eastAsia" w:ascii="宋体" w:hAnsi="宋体" w:eastAsia="宋体" w:cs="宋体"/>
          <w:color w:val="auto"/>
          <w:sz w:val="24"/>
          <w:szCs w:val="24"/>
          <w:highlight w:val="none"/>
        </w:rPr>
      </w:pPr>
    </w:p>
    <w:p w14:paraId="48816216">
      <w:pPr>
        <w:tabs>
          <w:tab w:val="left" w:pos="2119"/>
        </w:tabs>
        <w:bidi w:val="0"/>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ab/>
      </w:r>
    </w:p>
    <w:p w14:paraId="32C6975C">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1159" w:name="_Toc296503226"/>
      <w:bookmarkStart w:id="1160" w:name="_Toc267261693"/>
      <w:bookmarkStart w:id="1161" w:name="_Toc296944565"/>
      <w:bookmarkStart w:id="1162" w:name="_Toc296891054"/>
      <w:bookmarkStart w:id="1163" w:name="_Toc296347225"/>
      <w:bookmarkStart w:id="1164" w:name="_Toc296891266"/>
      <w:bookmarkStart w:id="1165" w:name="_Toc296346727"/>
      <w:r>
        <w:rPr>
          <w:rFonts w:hint="eastAsia" w:ascii="宋体" w:hAnsi="宋体" w:eastAsia="宋体" w:cs="宋体"/>
          <w:color w:val="auto"/>
          <w:sz w:val="24"/>
          <w:szCs w:val="24"/>
          <w:highlight w:val="none"/>
        </w:rPr>
        <w:t>件3：</w:t>
      </w:r>
      <w:bookmarkEnd w:id="1159"/>
      <w:bookmarkEnd w:id="1160"/>
      <w:bookmarkEnd w:id="1161"/>
      <w:bookmarkEnd w:id="1162"/>
      <w:bookmarkEnd w:id="1163"/>
      <w:bookmarkEnd w:id="1164"/>
      <w:bookmarkEnd w:id="1165"/>
      <w:r>
        <w:rPr>
          <w:rFonts w:hint="eastAsia" w:ascii="宋体" w:hAnsi="宋体" w:eastAsia="宋体" w:cs="宋体"/>
          <w:color w:val="auto"/>
          <w:sz w:val="24"/>
          <w:szCs w:val="24"/>
          <w:highlight w:val="none"/>
        </w:rPr>
        <w:t xml:space="preserve">    </w:t>
      </w:r>
    </w:p>
    <w:p w14:paraId="31A1B4B3">
      <w:pPr>
        <w:spacing w:before="156" w:beforeLines="50" w:after="156" w:afterLines="5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40E39C7A">
      <w:pPr>
        <w:spacing w:line="44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2DFAF50">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CA1D180">
      <w:pPr>
        <w:spacing w:line="440" w:lineRule="exact"/>
        <w:rPr>
          <w:rFonts w:hint="eastAsia" w:ascii="宋体" w:hAnsi="宋体" w:eastAsia="宋体" w:cs="宋体"/>
          <w:color w:val="auto"/>
          <w:sz w:val="24"/>
          <w:szCs w:val="24"/>
          <w:highlight w:val="none"/>
        </w:rPr>
      </w:pPr>
    </w:p>
    <w:p w14:paraId="714CE33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发包人和承包人根据《中华人民共和国建筑法》和《建设工程质量管理条例》，经协商一致就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（工程全称）签订工程质量保修书。</w:t>
      </w:r>
    </w:p>
    <w:p w14:paraId="351B06D7">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bookmarkStart w:id="1166" w:name="_Toc7770"/>
      <w:bookmarkStart w:id="1167" w:name="_Toc10163"/>
      <w:bookmarkStart w:id="1168" w:name="_Toc513"/>
      <w:bookmarkStart w:id="1169" w:name="_Toc18128"/>
      <w:r>
        <w:rPr>
          <w:rFonts w:hint="eastAsia" w:ascii="宋体" w:hAnsi="宋体" w:eastAsia="宋体" w:cs="宋体"/>
          <w:color w:val="auto"/>
          <w:sz w:val="24"/>
          <w:szCs w:val="24"/>
          <w:highlight w:val="none"/>
        </w:rPr>
        <w:t>一、工程质量保修范围和内容</w:t>
      </w:r>
      <w:bookmarkEnd w:id="1166"/>
      <w:bookmarkEnd w:id="1167"/>
      <w:bookmarkEnd w:id="1168"/>
      <w:bookmarkEnd w:id="1169"/>
    </w:p>
    <w:p w14:paraId="2179C1E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承包人在质量保修期内，按照有关法律规定和合同约定，承担工程质量保修责任。</w:t>
      </w:r>
    </w:p>
    <w:p w14:paraId="0B67FE9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917FB9">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　　</w:t>
      </w:r>
      <w:bookmarkStart w:id="1170" w:name="_Toc28312"/>
      <w:bookmarkStart w:id="1171" w:name="_Toc23151"/>
      <w:bookmarkStart w:id="1172" w:name="_Toc31691"/>
      <w:bookmarkStart w:id="1173" w:name="_Toc12022"/>
      <w:r>
        <w:rPr>
          <w:rFonts w:hint="eastAsia" w:ascii="宋体" w:hAnsi="宋体" w:eastAsia="宋体" w:cs="宋体"/>
          <w:color w:val="auto"/>
          <w:sz w:val="24"/>
          <w:szCs w:val="24"/>
          <w:highlight w:val="none"/>
        </w:rPr>
        <w:t>二、质量保修期</w:t>
      </w:r>
      <w:bookmarkEnd w:id="1170"/>
      <w:bookmarkEnd w:id="1171"/>
      <w:bookmarkEnd w:id="1172"/>
      <w:bookmarkEnd w:id="1173"/>
    </w:p>
    <w:p w14:paraId="64D852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根据《建设工程质量管理条例》及有关规定，工程的质量保修期如下：</w:t>
      </w:r>
    </w:p>
    <w:p w14:paraId="480D934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1．地基基础工程和主体结构工程为设计文件规定的工程合理使用年限；</w:t>
      </w:r>
    </w:p>
    <w:p w14:paraId="7A9E70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2．屋面防水工程、有防水要求的卫生间、房间和外墙面的防渗为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5715B08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3．装修工程为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5D45B1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4．电气管线、给排水管道、设备安装工程为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77170BB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5．供热与供冷系统为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个采暖期、供冷期；</w:t>
      </w:r>
    </w:p>
    <w:p w14:paraId="0ABF47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6．住宅小区内的给排水设施、道路等配套工程为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p>
    <w:p w14:paraId="4F2A8A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7．其他项目保修期限约定如下：</w:t>
      </w:r>
    </w:p>
    <w:p w14:paraId="60D94AC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07B779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质量保修期自工程竣工验收合格之日起计算。</w:t>
      </w:r>
    </w:p>
    <w:p w14:paraId="587E66E2">
      <w:pPr>
        <w:spacing w:line="360" w:lineRule="auto"/>
        <w:ind w:firstLine="480" w:firstLineChars="200"/>
        <w:outlineLvl w:val="0"/>
        <w:rPr>
          <w:rFonts w:hint="eastAsia" w:ascii="宋体" w:hAnsi="宋体" w:eastAsia="宋体" w:cs="宋体"/>
          <w:color w:val="auto"/>
          <w:sz w:val="24"/>
          <w:szCs w:val="24"/>
          <w:highlight w:val="none"/>
        </w:rPr>
      </w:pPr>
      <w:bookmarkStart w:id="1174" w:name="_Toc21743"/>
      <w:bookmarkStart w:id="1175" w:name="_Toc29891"/>
      <w:bookmarkStart w:id="1176" w:name="_Toc384"/>
      <w:bookmarkStart w:id="1177" w:name="_Toc27430"/>
      <w:r>
        <w:rPr>
          <w:rFonts w:hint="eastAsia" w:ascii="宋体" w:hAnsi="宋体" w:eastAsia="宋体" w:cs="宋体"/>
          <w:color w:val="auto"/>
          <w:sz w:val="24"/>
          <w:szCs w:val="24"/>
          <w:highlight w:val="none"/>
        </w:rPr>
        <w:t>三、缺陷责任期</w:t>
      </w:r>
      <w:bookmarkEnd w:id="1174"/>
      <w:bookmarkEnd w:id="1175"/>
      <w:bookmarkEnd w:id="1176"/>
      <w:bookmarkEnd w:id="1177"/>
    </w:p>
    <w:p w14:paraId="4A5C81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14:paraId="5481B5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p>
    <w:p w14:paraId="782BB8C6">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bookmarkStart w:id="1178" w:name="_Toc2978"/>
      <w:bookmarkStart w:id="1179" w:name="_Toc0"/>
      <w:bookmarkStart w:id="1180" w:name="_Toc5880"/>
      <w:bookmarkStart w:id="1181" w:name="_Toc1577"/>
      <w:r>
        <w:rPr>
          <w:rFonts w:hint="eastAsia" w:ascii="宋体" w:hAnsi="宋体" w:eastAsia="宋体" w:cs="宋体"/>
          <w:color w:val="auto"/>
          <w:sz w:val="24"/>
          <w:szCs w:val="24"/>
          <w:highlight w:val="none"/>
        </w:rPr>
        <w:t>四、质量保修责任</w:t>
      </w:r>
      <w:bookmarkEnd w:id="1178"/>
      <w:bookmarkEnd w:id="1179"/>
      <w:bookmarkEnd w:id="1180"/>
      <w:bookmarkEnd w:id="1181"/>
    </w:p>
    <w:p w14:paraId="06D97D1B">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1．属于保修范围、内容的项目，承包人应当在接到保修通知之日起7天内派人保修。承包人不在约定期限内派人保修的，发包人可以委托他人修理。</w:t>
      </w:r>
    </w:p>
    <w:p w14:paraId="0152FC03">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2．发生紧急事故需抢修的，承包人在接到事故通知后，应当立即到达事故现场抢修。</w:t>
      </w:r>
    </w:p>
    <w:p w14:paraId="52DDC23D">
      <w:pPr>
        <w:spacing w:line="360" w:lineRule="auto"/>
        <w:ind w:left="105" w:leftChars="50" w:firstLine="491" w:firstLineChars="20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C760271">
      <w:pPr>
        <w:spacing w:line="360" w:lineRule="auto"/>
        <w:ind w:left="42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4．质量保修完成后，由发包人组织验收。</w:t>
      </w:r>
    </w:p>
    <w:p w14:paraId="7F151320">
      <w:pPr>
        <w:spacing w:line="360" w:lineRule="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bookmarkStart w:id="1182" w:name="_Toc25444"/>
      <w:bookmarkStart w:id="1183" w:name="_Toc12116"/>
      <w:bookmarkStart w:id="1184" w:name="_Toc8379"/>
      <w:bookmarkStart w:id="1185" w:name="_Toc17846"/>
      <w:r>
        <w:rPr>
          <w:rFonts w:hint="eastAsia" w:ascii="宋体" w:hAnsi="宋体" w:eastAsia="宋体" w:cs="宋体"/>
          <w:color w:val="auto"/>
          <w:sz w:val="24"/>
          <w:szCs w:val="24"/>
          <w:highlight w:val="none"/>
        </w:rPr>
        <w:t>五、保修费用</w:t>
      </w:r>
      <w:bookmarkEnd w:id="1182"/>
      <w:bookmarkEnd w:id="1183"/>
      <w:bookmarkEnd w:id="1184"/>
      <w:bookmarkEnd w:id="1185"/>
    </w:p>
    <w:p w14:paraId="460D97E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保修费用由造成质量缺陷的责任方承担。</w:t>
      </w:r>
    </w:p>
    <w:p w14:paraId="2D085A76">
      <w:pPr>
        <w:spacing w:line="360" w:lineRule="auto"/>
        <w:ind w:firstLine="480" w:firstLineChars="200"/>
        <w:outlineLvl w:val="0"/>
        <w:rPr>
          <w:rFonts w:hint="eastAsia" w:ascii="宋体" w:hAnsi="宋体" w:eastAsia="宋体" w:cs="宋体"/>
          <w:color w:val="auto"/>
          <w:sz w:val="24"/>
          <w:szCs w:val="24"/>
          <w:highlight w:val="none"/>
        </w:rPr>
      </w:pPr>
      <w:bookmarkStart w:id="1186" w:name="_Toc23854"/>
      <w:bookmarkStart w:id="1187" w:name="_Toc5970"/>
      <w:bookmarkStart w:id="1188" w:name="_Toc28512"/>
      <w:bookmarkStart w:id="1189" w:name="_Toc11038"/>
      <w:r>
        <w:rPr>
          <w:rFonts w:hint="eastAsia" w:ascii="宋体" w:hAnsi="宋体" w:eastAsia="宋体" w:cs="宋体"/>
          <w:color w:val="auto"/>
          <w:sz w:val="24"/>
          <w:szCs w:val="24"/>
          <w:highlight w:val="none"/>
        </w:rPr>
        <w:t>六、双方约定的其他工程质量保修事项：</w:t>
      </w:r>
      <w:bookmarkEnd w:id="1186"/>
      <w:bookmarkEnd w:id="1187"/>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188"/>
      <w:bookmarkEnd w:id="1189"/>
    </w:p>
    <w:p w14:paraId="0E6B2E18">
      <w:pPr>
        <w:spacing w:line="360" w:lineRule="auto"/>
        <w:ind w:firstLine="456" w:firstLineChars="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1CC44B62">
      <w:pPr>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51457D03">
      <w:pPr>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4473B19C">
      <w:pPr>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法定代表人(签字)：</w:t>
      </w:r>
      <w:r>
        <w:rPr>
          <w:rFonts w:hint="eastAsia" w:ascii="宋体" w:hAnsi="宋体" w:eastAsia="宋体" w:cs="宋体"/>
          <w:color w:val="auto"/>
          <w:sz w:val="24"/>
          <w:szCs w:val="24"/>
          <w:highlight w:val="none"/>
          <w:u w:val="single"/>
        </w:rPr>
        <w:t xml:space="preserve">            </w:t>
      </w:r>
    </w:p>
    <w:p w14:paraId="21EE873B">
      <w:pPr>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委托代理人(签字)：</w:t>
      </w:r>
      <w:r>
        <w:rPr>
          <w:rFonts w:hint="eastAsia" w:ascii="宋体" w:hAnsi="宋体" w:eastAsia="宋体" w:cs="宋体"/>
          <w:color w:val="auto"/>
          <w:sz w:val="24"/>
          <w:szCs w:val="24"/>
          <w:highlight w:val="none"/>
          <w:u w:val="single"/>
        </w:rPr>
        <w:t xml:space="preserve">            </w:t>
      </w:r>
    </w:p>
    <w:p w14:paraId="75C54F16">
      <w:pPr>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14:paraId="23E6896A">
      <w:pPr>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134EFB6F">
      <w:pPr>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198A4806">
      <w:pPr>
        <w:spacing w:line="360" w:lineRule="auto"/>
        <w:ind w:firstLine="720" w:firstLineChars="3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p>
    <w:p w14:paraId="27F2C406">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bookmarkEnd w:id="467"/>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CE4409">
    <w:pPr>
      <w:pStyle w:val="9"/>
      <w:tabs>
        <w:tab w:val="left" w:pos="3776"/>
      </w:tabs>
      <w:jc w:val="left"/>
      <w:rPr>
        <w:rFonts w:hint="eastAsia" w:ascii="宋体" w:hAnsi="宋体" w:eastAsia="宋体" w:cs="宋体"/>
        <w:sz w:val="28"/>
        <w:szCs w:val="28"/>
        <w:lang w:eastAsia="zh-CN"/>
      </w:rPr>
    </w:pPr>
    <w:r>
      <w:rPr>
        <w:sz w:val="2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2C501FA">
                          <w:pPr>
                            <w:pStyle w:val="9"/>
                          </w:pPr>
                          <w:r>
                            <w:fldChar w:fldCharType="begin"/>
                          </w:r>
                          <w:r>
                            <w:instrText xml:space="preserve"> PAGE  \* MERGEFORMAT </w:instrText>
                          </w:r>
                          <w:r>
                            <w:fldChar w:fldCharType="separate"/>
                          </w:r>
                          <w:r>
                            <w:t>75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12C501FA">
                    <w:pPr>
                      <w:pStyle w:val="9"/>
                    </w:pPr>
                    <w:r>
                      <w:fldChar w:fldCharType="begin"/>
                    </w:r>
                    <w:r>
                      <w:instrText xml:space="preserve"> PAGE  \* MERGEFORMAT </w:instrText>
                    </w:r>
                    <w:r>
                      <w:fldChar w:fldCharType="separate"/>
                    </w:r>
                    <w:r>
                      <w:t>75</w:t>
                    </w:r>
                    <w:r>
                      <w:fldChar w:fldCharType="end"/>
                    </w:r>
                  </w:p>
                </w:txbxContent>
              </v:textbox>
            </v:shape>
          </w:pict>
        </mc:Fallback>
      </mc:AlternateContent>
    </w:r>
    <w:r>
      <w:rPr>
        <w:rFonts w:hint="eastAsia" w:ascii="宋体" w:hAnsi="宋体" w:cs="宋体"/>
        <w:sz w:val="28"/>
        <w:szCs w:val="28"/>
        <w:lang w:eastAsia="zh-CN"/>
      </w:rPr>
      <w:tab/>
    </w:r>
    <w:r>
      <w:rPr>
        <w:rFonts w:hint="eastAsia" w:ascii="宋体" w:hAnsi="宋体" w:cs="宋体"/>
        <w:sz w:val="28"/>
        <w:szCs w:val="28"/>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85BFC">
    <w:pPr>
      <w:pStyle w:val="9"/>
      <w:pBdr>
        <w:top w:val="none" w:color="auto" w:sz="0" w:space="1"/>
        <w:left w:val="none" w:color="auto" w:sz="0" w:space="4"/>
        <w:bottom w:val="none" w:color="auto" w:sz="0" w:space="1"/>
        <w:right w:val="none" w:color="auto" w:sz="0" w:space="4"/>
        <w:between w:val="none" w:color="auto" w:sz="0" w:space="0"/>
      </w:pBdr>
      <w:snapToGrid w:val="0"/>
      <w:jc w:val="both"/>
      <w:rPr>
        <w:i/>
        <w:iCs/>
        <w:sz w:val="20"/>
        <w:szCs w:val="20"/>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0EA05B9">
                          <w:pPr>
                            <w:pStyle w:val="9"/>
                            <w:pBdr>
                              <w:top w:val="none" w:color="auto" w:sz="0" w:space="1"/>
                              <w:left w:val="none" w:color="auto" w:sz="0" w:space="4"/>
                              <w:bottom w:val="none" w:color="auto" w:sz="0" w:space="1"/>
                              <w:right w:val="none" w:color="auto" w:sz="0" w:space="4"/>
                              <w:between w:val="none" w:color="auto" w:sz="0" w:space="0"/>
                            </w:pBdr>
                            <w:snapToGrid w:val="0"/>
                            <w:rPr>
                              <w:rFonts w:hint="eastAsia" w:ascii="仿宋" w:hAnsi="仿宋" w:eastAsia="仿宋" w:cs="仿宋"/>
                            </w:rPr>
                          </w:pPr>
                          <w:r>
                            <w:rPr>
                              <w:rFonts w:hint="eastAsia" w:ascii="仿宋" w:hAnsi="仿宋" w:eastAsia="仿宋" w:cs="仿宋"/>
                            </w:rPr>
                            <w:t xml:space="preserve">第 </w:t>
                          </w: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w:t>
                          </w:r>
                          <w:r>
                            <w:rPr>
                              <w:rFonts w:hint="eastAsia" w:ascii="仿宋" w:hAnsi="仿宋" w:eastAsia="仿宋" w:cs="仿宋"/>
                            </w:rPr>
                            <w:fldChar w:fldCharType="end"/>
                          </w:r>
                          <w:r>
                            <w:rPr>
                              <w:rFonts w:hint="eastAsia" w:ascii="仿宋" w:hAnsi="仿宋" w:eastAsia="仿宋" w:cs="仿宋"/>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ZerI4AgAAb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Vl6sjgCAABvBAAADgAAAAAAAAABACAAAAAfAQAAZHJzL2Uyb0RvYy54&#10;bWxQSwUGAAAAAAYABgBZAQAAyQUAAAAA&#10;">
              <v:fill on="f" focussize="0,0"/>
              <v:stroke on="f" weight="0.5pt"/>
              <v:imagedata o:title=""/>
              <o:lock v:ext="edit" aspectratio="f"/>
              <v:textbox inset="0mm,0mm,0mm,0mm" style="mso-fit-shape-to-text:t;">
                <w:txbxContent>
                  <w:p w14:paraId="20EA05B9">
                    <w:pPr>
                      <w:pStyle w:val="9"/>
                      <w:pBdr>
                        <w:top w:val="none" w:color="auto" w:sz="0" w:space="1"/>
                        <w:left w:val="none" w:color="auto" w:sz="0" w:space="4"/>
                        <w:bottom w:val="none" w:color="auto" w:sz="0" w:space="1"/>
                        <w:right w:val="none" w:color="auto" w:sz="0" w:space="4"/>
                        <w:between w:val="none" w:color="auto" w:sz="0" w:space="0"/>
                      </w:pBdr>
                      <w:snapToGrid w:val="0"/>
                      <w:rPr>
                        <w:rFonts w:hint="eastAsia" w:ascii="仿宋" w:hAnsi="仿宋" w:eastAsia="仿宋" w:cs="仿宋"/>
                      </w:rPr>
                    </w:pPr>
                    <w:r>
                      <w:rPr>
                        <w:rFonts w:hint="eastAsia" w:ascii="仿宋" w:hAnsi="仿宋" w:eastAsia="仿宋" w:cs="仿宋"/>
                      </w:rPr>
                      <w:t xml:space="preserve">第 </w:t>
                    </w: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4</w:t>
                    </w:r>
                    <w:r>
                      <w:rPr>
                        <w:rFonts w:hint="eastAsia" w:ascii="仿宋" w:hAnsi="仿宋" w:eastAsia="仿宋" w:cs="仿宋"/>
                      </w:rPr>
                      <w:fldChar w:fldCharType="end"/>
                    </w:r>
                    <w:r>
                      <w:rPr>
                        <w:rFonts w:hint="eastAsia" w:ascii="仿宋" w:hAnsi="仿宋" w:eastAsia="仿宋" w:cs="仿宋"/>
                      </w:rPr>
                      <w:t xml:space="preserve"> 页</w:t>
                    </w:r>
                  </w:p>
                </w:txbxContent>
              </v:textbox>
            </v:shape>
          </w:pict>
        </mc:Fallback>
      </mc:AlternateContent>
    </w:r>
    <w:r>
      <w:rPr>
        <w:rFonts w:hint="eastAsia"/>
        <w:sz w:val="24"/>
        <w:szCs w:val="24"/>
      </w:rPr>
      <w:t xml:space="preserve">                  </w:t>
    </w:r>
    <w:r>
      <w:rPr>
        <w:rFonts w:hint="eastAsia"/>
        <w:sz w:val="21"/>
        <w:szCs w:val="21"/>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C5EB1C">
    <w:pPr>
      <w:pStyle w:val="9"/>
      <w:pBdr>
        <w:top w:val="none" w:color="auto" w:sz="0" w:space="1"/>
        <w:left w:val="none" w:color="auto" w:sz="0" w:space="4"/>
        <w:bottom w:val="none" w:color="auto" w:sz="0" w:space="0"/>
        <w:right w:val="none" w:color="auto" w:sz="0" w:space="4"/>
        <w:between w:val="none" w:color="auto" w:sz="0" w:space="0"/>
      </w:pBdr>
      <w:snapToGrid w:val="0"/>
      <w:rPr>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FC0F016">
                          <w:pPr>
                            <w:pStyle w:val="9"/>
                            <w:pBdr>
                              <w:top w:val="none" w:color="auto" w:sz="0" w:space="1"/>
                              <w:left w:val="none" w:color="auto" w:sz="0" w:space="4"/>
                              <w:bottom w:val="none" w:color="auto" w:sz="0" w:space="1"/>
                              <w:right w:val="none" w:color="auto" w:sz="0" w:space="4"/>
                              <w:between w:val="none" w:color="auto" w:sz="0" w:space="0"/>
                            </w:pBdr>
                            <w:snapToGrid w:val="0"/>
                            <w:rPr>
                              <w:rFonts w:hint="eastAsia" w:ascii="仿宋" w:hAnsi="仿宋" w:eastAsia="仿宋" w:cs="仿宋"/>
                            </w:rPr>
                          </w:pPr>
                          <w:r>
                            <w:rPr>
                              <w:rFonts w:hint="eastAsia" w:ascii="仿宋" w:hAnsi="仿宋" w:eastAsia="仿宋" w:cs="仿宋"/>
                            </w:rPr>
                            <w:t xml:space="preserve">第 </w:t>
                          </w: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w:t>
                          </w:r>
                          <w:r>
                            <w:rPr>
                              <w:rFonts w:hint="eastAsia" w:ascii="仿宋" w:hAnsi="仿宋" w:eastAsia="仿宋" w:cs="仿宋"/>
                            </w:rPr>
                            <w:fldChar w:fldCharType="end"/>
                          </w:r>
                          <w:r>
                            <w:rPr>
                              <w:rFonts w:hint="eastAsia" w:ascii="仿宋" w:hAnsi="仿宋" w:eastAsia="仿宋" w:cs="仿宋"/>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rBCXA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awQlwNwIAAHEEAAAOAAAAAAAAAAEAIAAAAB8BAABkcnMvZTJvRG9jLnht&#10;bFBLBQYAAAAABgAGAFkBAADIBQAAAAA=&#10;">
              <v:fill on="f" focussize="0,0"/>
              <v:stroke on="f" weight="0.5pt"/>
              <v:imagedata o:title=""/>
              <o:lock v:ext="edit" aspectratio="f"/>
              <v:textbox inset="0mm,0mm,0mm,0mm" style="mso-fit-shape-to-text:t;">
                <w:txbxContent>
                  <w:p w14:paraId="5FC0F016">
                    <w:pPr>
                      <w:pStyle w:val="9"/>
                      <w:pBdr>
                        <w:top w:val="none" w:color="auto" w:sz="0" w:space="1"/>
                        <w:left w:val="none" w:color="auto" w:sz="0" w:space="4"/>
                        <w:bottom w:val="none" w:color="auto" w:sz="0" w:space="1"/>
                        <w:right w:val="none" w:color="auto" w:sz="0" w:space="4"/>
                        <w:between w:val="none" w:color="auto" w:sz="0" w:space="0"/>
                      </w:pBdr>
                      <w:snapToGrid w:val="0"/>
                      <w:rPr>
                        <w:rFonts w:hint="eastAsia" w:ascii="仿宋" w:hAnsi="仿宋" w:eastAsia="仿宋" w:cs="仿宋"/>
                      </w:rPr>
                    </w:pPr>
                    <w:r>
                      <w:rPr>
                        <w:rFonts w:hint="eastAsia" w:ascii="仿宋" w:hAnsi="仿宋" w:eastAsia="仿宋" w:cs="仿宋"/>
                      </w:rPr>
                      <w:t xml:space="preserve">第 </w:t>
                    </w: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3</w:t>
                    </w:r>
                    <w:r>
                      <w:rPr>
                        <w:rFonts w:hint="eastAsia" w:ascii="仿宋" w:hAnsi="仿宋" w:eastAsia="仿宋" w:cs="仿宋"/>
                      </w:rPr>
                      <w:fldChar w:fldCharType="end"/>
                    </w:r>
                    <w:r>
                      <w:rPr>
                        <w:rFonts w:hint="eastAsia" w:ascii="仿宋" w:hAnsi="仿宋" w:eastAsia="仿宋" w:cs="仿宋"/>
                      </w:rPr>
                      <w:t xml:space="preserve"> 页</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posOffset>168910</wp:posOffset>
              </wp:positionH>
              <wp:positionV relativeFrom="paragraph">
                <wp:posOffset>168910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716A775E"/>
                      </w:txbxContent>
                    </wps:txbx>
                    <wps:bodyPr wrap="none" lIns="0" tIns="0" rIns="0" bIns="0" upright="0">
                      <a:spAutoFit/>
                    </wps:bodyPr>
                  </wps:wsp>
                </a:graphicData>
              </a:graphic>
            </wp:anchor>
          </w:drawing>
        </mc:Choice>
        <mc:Fallback>
          <w:pict>
            <v:shape id="_x0000_s1026" o:spid="_x0000_s1026" o:spt="202" type="#_x0000_t202" style="position:absolute;left:0pt;margin-left:13.3pt;margin-top:13.3pt;height:144pt;width:144pt;mso-position-horizontal-relative:margin;mso-wrap-style:none;z-index:251659264;mso-width-relative:page;mso-height-relative:page;" filled="f" stroked="f" coordsize="21600,21600" o:gfxdata="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wbOZM1AAAAAkBAAAPAAAAAAAAAAEAIAAA&#10;ACIAAABkcnMvZG93bnJldi54bWxQSwECFAAUAAAACACHTuJASM1XzNcBAACxAwAADgAAAAAAAAAB&#10;ACAAAAAjAQAAZHJzL2Uyb0RvYy54bWxQSwUGAAAAAAYABgBZAQAAbAUAAAAA&#10;">
              <v:fill on="f" focussize="0,0"/>
              <v:stroke on="f" weight="1.25pt"/>
              <v:imagedata o:title=""/>
              <o:lock v:ext="edit" aspectratio="f"/>
              <v:textbox inset="0mm,0mm,0mm,0mm" style="mso-fit-shape-to-text:t;">
                <w:txbxContent>
                  <w:p w14:paraId="716A775E"/>
                </w:txbxContent>
              </v:textbox>
            </v:shape>
          </w:pict>
        </mc:Fallback>
      </mc:AlternateContent>
    </w:r>
    <w:r>
      <w:rPr>
        <w:rFonts w:hint="eastAsia"/>
        <w:sz w:val="24"/>
        <w:szCs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8E86AC">
    <w:pPr>
      <w:pStyle w:val="10"/>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DDB8A">
    <w:pPr>
      <w:pStyle w:val="10"/>
      <w:pBdr>
        <w:top w:val="none" w:color="auto" w:sz="0" w:space="0"/>
        <w:left w:val="none" w:color="auto" w:sz="0" w:space="0"/>
        <w:bottom w:val="none" w:color="auto" w:sz="0" w:space="0"/>
        <w:right w:val="none" w:color="auto" w:sz="0" w:space="0"/>
        <w:between w:val="none" w:color="auto" w:sz="0" w:space="0"/>
      </w:pBdr>
      <w:ind w:firstLine="420" w:firstLineChars="200"/>
      <w:jc w:val="right"/>
      <w:rPr>
        <w:u w:val="none"/>
      </w:rPr>
    </w:pPr>
    <w:r>
      <w:rPr>
        <w:rFonts w:hint="eastAsia"/>
        <w:sz w:val="21"/>
        <w:szCs w:val="21"/>
        <w:u w:val="none"/>
      </w:rPr>
      <w:t xml:space="preserve">             </w:t>
    </w:r>
    <w:r>
      <w:rPr>
        <w:rFonts w:hint="eastAsia"/>
        <w:sz w:val="21"/>
        <w:szCs w:val="21"/>
        <w:u w:val="none"/>
        <w:lang w:val="en-US" w:eastAsia="zh-CN"/>
      </w:rPr>
      <w:t xml:space="preserve">  </w:t>
    </w:r>
    <w:r>
      <w:rPr>
        <w:rFonts w:hint="eastAsia"/>
        <w:sz w:val="21"/>
        <w:szCs w:val="21"/>
        <w:u w:val="none"/>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6C8B9">
    <w:pPr>
      <w:pStyle w:val="10"/>
      <w:pBdr>
        <w:top w:val="none" w:color="auto" w:sz="0" w:space="0"/>
        <w:left w:val="none" w:color="auto" w:sz="0" w:space="0"/>
        <w:bottom w:val="none" w:color="auto" w:sz="0" w:space="0"/>
        <w:right w:val="none" w:color="auto" w:sz="0" w:space="0"/>
        <w:between w:val="none" w:color="auto" w:sz="0" w:space="0"/>
      </w:pBdr>
      <w:ind w:firstLine="400" w:firstLineChars="200"/>
      <w:jc w:val="right"/>
    </w:pPr>
    <w:r>
      <w:rPr>
        <w:rFonts w:hint="eastAsia"/>
        <w:sz w:val="20"/>
        <w:szCs w:val="20"/>
        <w:u w:val="none"/>
      </w:rPr>
      <w:t xml:space="preserve"> </w:t>
    </w:r>
    <w:r>
      <w:rPr>
        <w:rFonts w:hint="eastAsia"/>
        <w:sz w:val="21"/>
        <w:szCs w:val="21"/>
        <w:u w:val="none"/>
      </w:rPr>
      <w:t xml:space="preserve">                 </w:t>
    </w:r>
    <w:r>
      <w:rPr>
        <w:rFonts w:hint="eastAsia"/>
        <w:sz w:val="21"/>
        <w:szCs w:val="21"/>
        <w:u w:val="none"/>
        <w:lang w:val="en-US" w:eastAsia="zh-CN"/>
      </w:rPr>
      <w:t xml:space="preserve">   </w:t>
    </w:r>
    <w:r>
      <w:rPr>
        <w:rFonts w:hint="eastAsia"/>
        <w:u w:val="none"/>
      </w:rPr>
      <w:t xml:space="preserve">                                                                         </w:t>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chineseCounting"/>
      <w:suff w:val="nothing"/>
      <w:lvlText w:val="%1、"/>
      <w:lvlJc w:val="left"/>
    </w:lvl>
  </w:abstractNum>
  <w:abstractNum w:abstractNumId="1">
    <w:nsid w:val="2B424E91"/>
    <w:multiLevelType w:val="singleLevel"/>
    <w:tmpl w:val="2B424E91"/>
    <w:lvl w:ilvl="0" w:tentative="0">
      <w:start w:val="3"/>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EB82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1"/>
    <w:basedOn w:val="1"/>
    <w:next w:val="1"/>
    <w:qFormat/>
    <w:uiPriority w:val="0"/>
    <w:pPr>
      <w:keepNext/>
      <w:keepLines/>
      <w:spacing w:before="340" w:after="330" w:line="576" w:lineRule="auto"/>
      <w:outlineLvl w:val="0"/>
    </w:pPr>
    <w:rPr>
      <w:b/>
      <w:kern w:val="44"/>
      <w:sz w:val="32"/>
      <w:szCs w:val="20"/>
    </w:rPr>
  </w:style>
  <w:style w:type="paragraph" w:styleId="5">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paragraph" w:styleId="6">
    <w:name w:val="heading 3"/>
    <w:basedOn w:val="1"/>
    <w:next w:val="1"/>
    <w:qFormat/>
    <w:uiPriority w:val="0"/>
    <w:pPr>
      <w:keepNext/>
      <w:keepLines/>
      <w:spacing w:before="260" w:after="260" w:line="415" w:lineRule="auto"/>
      <w:outlineLvl w:val="2"/>
    </w:pPr>
    <w:rPr>
      <w:b/>
      <w:bCs/>
      <w:sz w:val="32"/>
      <w:szCs w:val="32"/>
    </w:rPr>
  </w:style>
  <w:style w:type="paragraph" w:styleId="7">
    <w:name w:val="heading 4"/>
    <w:basedOn w:val="1"/>
    <w:next w:val="1"/>
    <w:qFormat/>
    <w:uiPriority w:val="0"/>
    <w:pPr>
      <w:keepNext/>
      <w:keepLines/>
      <w:spacing w:before="280" w:after="290" w:line="374" w:lineRule="auto"/>
      <w:outlineLvl w:val="3"/>
    </w:pPr>
    <w:rPr>
      <w:rFonts w:ascii="Arial" w:hAnsi="Arial" w:eastAsia="黑体"/>
      <w:b/>
      <w:bCs/>
      <w:sz w:val="28"/>
      <w:szCs w:val="28"/>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lock Text"/>
    <w:basedOn w:val="1"/>
    <w:next w:val="3"/>
    <w:qFormat/>
    <w:uiPriority w:val="0"/>
    <w:pPr>
      <w:ind w:left="2" w:right="25" w:rightChars="12" w:hanging="2"/>
    </w:pPr>
    <w:rPr>
      <w:rFonts w:ascii="楷体_GB2312" w:hAnsi="宋体" w:eastAsia="楷体_GB2312" w:cs="Times New Roman"/>
    </w:rPr>
  </w:style>
  <w:style w:type="paragraph" w:styleId="3">
    <w:name w:val="Plain Text"/>
    <w:basedOn w:val="1"/>
    <w:qFormat/>
    <w:uiPriority w:val="0"/>
    <w:rPr>
      <w:rFonts w:ascii="宋体" w:hAnsi="Courier New" w:cs="Courier New"/>
      <w:szCs w:val="21"/>
    </w:rPr>
  </w:style>
  <w:style w:type="paragraph" w:styleId="8">
    <w:name w:val="Body Text"/>
    <w:basedOn w:val="1"/>
    <w:semiHidden/>
    <w:qFormat/>
    <w:uiPriority w:val="0"/>
    <w:rPr>
      <w:rFonts w:ascii="Arial" w:hAnsi="Arial" w:eastAsia="Arial" w:cs="Arial"/>
      <w:sz w:val="21"/>
      <w:szCs w:val="21"/>
      <w:lang w:val="en-US" w:eastAsia="en-US" w:bidi="ar-SA"/>
    </w:rPr>
  </w:style>
  <w:style w:type="paragraph" w:styleId="9">
    <w:name w:val="footer"/>
    <w:basedOn w:val="1"/>
    <w:qFormat/>
    <w:uiPriority w:val="0"/>
    <w:pPr>
      <w:tabs>
        <w:tab w:val="center" w:pos="4153"/>
        <w:tab w:val="right" w:pos="8306"/>
      </w:tabs>
      <w:snapToGrid w:val="0"/>
      <w:jc w:val="left"/>
    </w:pPr>
    <w:rPr>
      <w:sz w:val="18"/>
      <w:szCs w:val="20"/>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11">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5.w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image" Target="media/image4.wmf"/><Relationship Id="rId18" Type="http://schemas.openxmlformats.org/officeDocument/2006/relationships/oleObject" Target="embeddings/oleObject4.bin"/><Relationship Id="rId17" Type="http://schemas.openxmlformats.org/officeDocument/2006/relationships/image" Target="media/image3.wmf"/><Relationship Id="rId16" Type="http://schemas.openxmlformats.org/officeDocument/2006/relationships/oleObject" Target="embeddings/oleObject3.bin"/><Relationship Id="rId15" Type="http://schemas.openxmlformats.org/officeDocument/2006/relationships/image" Target="media/image2.wmf"/><Relationship Id="rId14" Type="http://schemas.openxmlformats.org/officeDocument/2006/relationships/oleObject" Target="embeddings/oleObject2.bin"/><Relationship Id="rId13" Type="http://schemas.openxmlformats.org/officeDocument/2006/relationships/image" Target="media/image1.wmf"/><Relationship Id="rId12" Type="http://schemas.openxmlformats.org/officeDocument/2006/relationships/oleObject" Target="embeddings/oleObject1.bin"/><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2025-06-27T02:47:58Z</dcterms:created>
  <dc:creator>Administrator</dc:creator>
  <cp:lastModifiedBy>┏ ☞岗か子™</cp:lastModifiedBy>
  <dcterms:modified xsi:type="dcterms:W3CDTF">2025-06-27T02:48:14Z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eyJoZGlkIjoiNjIxMDI2NjM3MzgyYzQ0NTJmZDVhODRjOWE1OTQyYWMiLCJ1c2VySWQiOiIyMzMyNDUzMjgifQ==</vt:lpwstr>
  </property>
  <property fmtid="{D5CDD505-2E9C-101B-9397-08002B2CF9AE}" pid="4" name="ICV">
    <vt:lpwstr>6E2A05CF500142AEBFA1C41CF544D53B_12</vt:lpwstr>
  </property>
</Properties>
</file>